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C61" w:rsidRPr="006F1AFF" w:rsidRDefault="002E4C61" w:rsidP="002E4C61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6F1AFF">
        <w:rPr>
          <w:sz w:val="21"/>
          <w:szCs w:val="21"/>
          <w:lang w:val="it-IT"/>
        </w:rPr>
        <w:t>UDHËZIM</w:t>
      </w:r>
    </w:p>
    <w:p w:rsidR="002E4C61" w:rsidRPr="006F1AFF" w:rsidRDefault="002E4C61" w:rsidP="002E4C61">
      <w:pPr>
        <w:pStyle w:val="NumriData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Nr.10, datë 24.11.2006</w:t>
      </w: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6F1AFF" w:rsidRDefault="002E4C61" w:rsidP="002E4C61">
      <w:pPr>
        <w:pStyle w:val="Titulli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 xml:space="preserve">PËR PROCEDURËN E HEDHJES SË SHORTIT PËR NDARJEN E MANDATIT TË FUNDIT PËR KËSHILLAT VENDORË </w:t>
      </w:r>
    </w:p>
    <w:p w:rsidR="002E4C61" w:rsidRPr="006F1AFF" w:rsidRDefault="002E4C61" w:rsidP="002E4C61">
      <w:pPr>
        <w:pStyle w:val="Paragrafi"/>
        <w:ind w:firstLine="0"/>
        <w:rPr>
          <w:sz w:val="21"/>
          <w:szCs w:val="21"/>
          <w:lang w:val="it-IT"/>
        </w:rPr>
      </w:pP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 xml:space="preserve">Komisioni Qendror i Zgjedhjeve, në mbështetje të nenit 29 pika 1 dhe nenit 77 pika 3 gërma “b” dhe “ç” të ligjit nr.9087, datë 19.6.2003 “Kodi Zgjedhor i Republikës së Shqipërisë”, i ndryshuar, </w:t>
      </w: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6F1AFF" w:rsidRDefault="002E4C61" w:rsidP="002E4C61">
      <w:pPr>
        <w:pStyle w:val="VENDOSI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Udhëzon:</w:t>
      </w: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6F1AFF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Neni 1</w:t>
      </w: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Për të gjitha rastet e parashikuara në nenin 77 pika 3 germa “b” dhe “ç” të Kodit Zgjedhor, Komisioni i Zgjedhjeve për Qeverisjen  Vendore (KZQV) merr vendim për organizimin e shortit. KZQV-ja shpall në hyrje të saj datën, vendin dhe orën e zhvillimit të shortit.</w:t>
      </w: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Neni 2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Shorti hidhet nga KZQV-ja në prani të vëzhguesve të akredituar pranë KZQV-së.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Neni 3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1. Në datën dhe orën e caktuar për organizimin e shortit, sekretari i KZQV-së sigurohet paraprakisht për praninë e vëzhguesve dhe/ose të përfaqësuesve të autorizuar të subjekteve zgjedhore pjesëmarrës në short dhe i fton ata të zënë vendet e caktuara.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2. Mosparaqitja e ndonjë prej subjekteve zgjedhore midis të cilëve hidhet shorti, nuk pezullon procedurat e shortit. Në këtë rast, me vendim të KZQV-së, caktohet një person për tërheqjen e shortit për subjektin në mungesë.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3. Në një enë trasparente futen aq gogla sa është edhe numri i subjekteve zgjedhore, pjesëmarrës në short.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4. Në secilën gogël futet nga një shirit letre, ku n</w:t>
      </w:r>
      <w:r w:rsidRPr="006F1AFF">
        <w:rPr>
          <w:rFonts w:ascii="Times New Roman" w:hAnsi="Times New Roman"/>
          <w:sz w:val="21"/>
          <w:szCs w:val="21"/>
        </w:rPr>
        <w:t>ё</w:t>
      </w:r>
      <w:r w:rsidRPr="002E4C61">
        <w:rPr>
          <w:rFonts w:cs="CG Times"/>
          <w:sz w:val="21"/>
          <w:szCs w:val="21"/>
          <w:lang w:val="it-IT"/>
        </w:rPr>
        <w:t xml:space="preserve"> nj</w:t>
      </w:r>
      <w:r w:rsidRPr="006F1AFF">
        <w:rPr>
          <w:rFonts w:ascii="Times New Roman" w:hAnsi="Times New Roman"/>
          <w:sz w:val="21"/>
          <w:szCs w:val="21"/>
        </w:rPr>
        <w:t>ё</w:t>
      </w:r>
      <w:r w:rsidRPr="002E4C61">
        <w:rPr>
          <w:rFonts w:cs="CG Times"/>
          <w:sz w:val="21"/>
          <w:szCs w:val="21"/>
          <w:lang w:val="it-IT"/>
        </w:rPr>
        <w:t>rin prej tyre shënohet fjala “FITUES”.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5. Radha e tërheqjes së goglave sipas pikës 3, përcaktohet me parashort, i cili zhvillohet sipas kësaj procedure: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Në një enë tjetër trasparente futen aq gogla sa është edhe numri i subjekteve zgjedhore, pjesëmarrës në short. Në çdo gogël futet një shirit letre, në të cilin është shënuar emri i subjektit zgjedhor pjesëmarrës në short.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 xml:space="preserve">KZQV-ja cakton një person për tërheqjen e goglave. Subjekti zgjedhor, emri i të cilit është shënuar në goglën që tërhiqet e para, do të jetë i pari në radhën e tërheqjes së shortit sipas pikës 3 të këtij neni. Në këtë mënyrë do të procedohet deri në tërheqjen e goglës së fundit. 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6. Sekretari i KZQV-së fton me radhë përfaqësuesit e autorizuar të subjekteve zgjedhore pjesëmarrëse në short për tërheqjen e shortit.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Neni 4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Personi që tërheq goglën, e hap atë dhe ia dorëzon Kryetarit të KZQV-së. Kryetari lexon me zë të lartë atë çfarë përmban gogla dhe ua tregon të gjithë vëzhguesve dhe/ose përfaqësuesve të autorizuar të subjekteve zgjedhore pjesëmarrës në short.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Neni 5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Rezultati i shortit pasqyrohet në procesverbal.</w:t>
      </w:r>
    </w:p>
    <w:p w:rsidR="002E4C61" w:rsidRPr="006F1AFF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Neni 6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Në përfundim të procedurës së hedhjes së shortit, KZQV-ja merr vendim për shpalljen e rezultatit të shortit.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NeniNr"/>
        <w:keepNext w:val="0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Neni 7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Ky udhëzim hyn në fuqi menjëherë.</w:t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 xml:space="preserve">Ç.Gjata Kryetar </w:t>
      </w:r>
      <w:r w:rsidRPr="002E4C61">
        <w:rPr>
          <w:sz w:val="21"/>
          <w:szCs w:val="21"/>
          <w:lang w:val="it-IT"/>
        </w:rPr>
        <w:tab/>
      </w:r>
    </w:p>
    <w:p w:rsidR="002E4C61" w:rsidRPr="002E4C61" w:rsidRDefault="002E4C61" w:rsidP="002E4C61">
      <w:pPr>
        <w:pStyle w:val="Paragrafi"/>
        <w:rPr>
          <w:sz w:val="21"/>
          <w:szCs w:val="21"/>
          <w:lang w:val="it-IT"/>
        </w:rPr>
      </w:pPr>
      <w:r w:rsidRPr="002E4C61">
        <w:rPr>
          <w:sz w:val="21"/>
          <w:szCs w:val="21"/>
          <w:lang w:val="it-IT"/>
        </w:rPr>
        <w:t>F.Çato Zëvendëskryetar</w:t>
      </w:r>
    </w:p>
    <w:p w:rsidR="00A0784B" w:rsidRPr="0003399E" w:rsidRDefault="002E4C61" w:rsidP="002E4C61">
      <w:pPr>
        <w:pStyle w:val="Paragrafi"/>
        <w:rPr>
          <w:lang w:val="sq-AL"/>
        </w:rPr>
      </w:pPr>
      <w:r w:rsidRPr="00927F67">
        <w:rPr>
          <w:sz w:val="21"/>
          <w:szCs w:val="21"/>
          <w:lang w:val="it-IT"/>
        </w:rPr>
        <w:t>Anëtar</w:t>
      </w:r>
      <w:r>
        <w:rPr>
          <w:sz w:val="21"/>
          <w:szCs w:val="21"/>
          <w:lang w:val="it-IT"/>
        </w:rPr>
        <w:t>ë: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 xml:space="preserve">A. </w:t>
      </w:r>
      <w:r w:rsidRPr="00927F67">
        <w:rPr>
          <w:sz w:val="21"/>
          <w:szCs w:val="21"/>
          <w:lang w:val="it-IT"/>
        </w:rPr>
        <w:t>Ristani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D.</w:t>
      </w:r>
      <w:r w:rsidRPr="00927F67">
        <w:rPr>
          <w:sz w:val="21"/>
          <w:szCs w:val="21"/>
          <w:lang w:val="it-IT"/>
        </w:rPr>
        <w:t>Subashi</w:t>
      </w:r>
      <w:r>
        <w:rPr>
          <w:sz w:val="21"/>
          <w:szCs w:val="21"/>
          <w:lang w:val="it-IT"/>
        </w:rPr>
        <w:t>, D.</w:t>
      </w:r>
      <w:r w:rsidRPr="00927F67">
        <w:rPr>
          <w:sz w:val="21"/>
          <w:szCs w:val="21"/>
          <w:lang w:val="it-IT"/>
        </w:rPr>
        <w:t>Prenga</w:t>
      </w:r>
      <w:r>
        <w:rPr>
          <w:sz w:val="21"/>
          <w:szCs w:val="21"/>
          <w:lang w:val="it-IT"/>
        </w:rPr>
        <w:t>,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F.</w:t>
      </w:r>
      <w:r w:rsidRPr="00927F67">
        <w:rPr>
          <w:sz w:val="21"/>
          <w:szCs w:val="21"/>
          <w:lang w:val="it-IT"/>
        </w:rPr>
        <w:t>Kumbaro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K.</w:t>
      </w:r>
      <w:r w:rsidRPr="00927F67">
        <w:rPr>
          <w:sz w:val="21"/>
          <w:szCs w:val="21"/>
          <w:lang w:val="it-IT"/>
        </w:rPr>
        <w:t xml:space="preserve">Zguri    </w:t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23A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4C61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6FF2D0-ECB3-45BF-886F-2F246735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4C6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