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FC6" w:rsidRPr="00DF37EB" w:rsidRDefault="00B52FC6" w:rsidP="00B52FC6">
      <w:pPr>
        <w:pStyle w:val="Akti"/>
        <w:keepNext w:val="0"/>
        <w:rPr>
          <w:rFonts w:ascii="Garamond" w:hAnsi="Garamond"/>
          <w:color w:val="auto"/>
          <w:sz w:val="24"/>
          <w:szCs w:val="24"/>
        </w:rPr>
      </w:pPr>
      <w:r w:rsidRPr="00DF37EB">
        <w:rPr>
          <w:rFonts w:ascii="Garamond" w:hAnsi="Garamond"/>
          <w:color w:val="auto"/>
          <w:sz w:val="24"/>
          <w:szCs w:val="24"/>
        </w:rPr>
        <w:t>UDHËZIM</w:t>
      </w:r>
    </w:p>
    <w:p w:rsidR="00B52FC6" w:rsidRPr="00DF37EB" w:rsidRDefault="00B52FC6" w:rsidP="00B52FC6">
      <w:pPr>
        <w:pStyle w:val="NumriData"/>
        <w:keepNext w:val="0"/>
        <w:rPr>
          <w:rFonts w:ascii="Garamond" w:hAnsi="Garamond"/>
          <w:sz w:val="24"/>
          <w:szCs w:val="24"/>
        </w:rPr>
      </w:pPr>
      <w:r w:rsidRPr="00DF37EB">
        <w:rPr>
          <w:rFonts w:ascii="Garamond" w:hAnsi="Garamond"/>
          <w:sz w:val="24"/>
          <w:szCs w:val="24"/>
        </w:rPr>
        <w:t>Nr.</w:t>
      </w:r>
      <w:r w:rsidR="00FC6FD5" w:rsidRPr="00DF37EB">
        <w:rPr>
          <w:rFonts w:ascii="Garamond" w:hAnsi="Garamond"/>
          <w:sz w:val="24"/>
          <w:szCs w:val="24"/>
        </w:rPr>
        <w:t xml:space="preserve"> </w:t>
      </w:r>
      <w:r w:rsidRPr="00DF37EB">
        <w:rPr>
          <w:rFonts w:ascii="Garamond" w:hAnsi="Garamond"/>
          <w:sz w:val="24"/>
          <w:szCs w:val="24"/>
        </w:rPr>
        <w:t>13, datë 19.12.2006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DF37EB" w:rsidP="00B52FC6">
      <w:pPr>
        <w:pStyle w:val="Titulli"/>
        <w:keepNext w:val="0"/>
        <w:rPr>
          <w:rFonts w:ascii="Garamond" w:hAnsi="Garamond"/>
          <w:sz w:val="24"/>
          <w:szCs w:val="24"/>
        </w:rPr>
      </w:pPr>
      <w:r w:rsidRPr="00DF37EB">
        <w:rPr>
          <w:rFonts w:ascii="Garamond" w:hAnsi="Garamond"/>
          <w:sz w:val="24"/>
          <w:szCs w:val="24"/>
        </w:rPr>
        <w:t xml:space="preserve">PËR CAKTIMIN DHE </w:t>
      </w:r>
      <w:r w:rsidR="00B52FC6" w:rsidRPr="00DF37EB">
        <w:rPr>
          <w:rFonts w:ascii="Garamond" w:hAnsi="Garamond"/>
          <w:sz w:val="24"/>
          <w:szCs w:val="24"/>
        </w:rPr>
        <w:t xml:space="preserve">PËRGATITJEN E </w:t>
      </w:r>
      <w:r w:rsidR="00EE65A2">
        <w:rPr>
          <w:rFonts w:ascii="Garamond" w:hAnsi="Garamond"/>
          <w:sz w:val="24"/>
          <w:szCs w:val="24"/>
        </w:rPr>
        <w:t xml:space="preserve">VENDIT TË NUMËRIMIT TË VOTAVE, </w:t>
      </w:r>
      <w:bookmarkStart w:id="0" w:name="_GoBack"/>
      <w:bookmarkEnd w:id="0"/>
      <w:r w:rsidR="00B52FC6" w:rsidRPr="00DF37EB">
        <w:rPr>
          <w:rFonts w:ascii="Garamond" w:hAnsi="Garamond"/>
          <w:sz w:val="24"/>
          <w:szCs w:val="24"/>
        </w:rPr>
        <w:t>DHE MËNYRËN E NGRITJES SË GRUPEVE TË NUMËRIMIT</w:t>
      </w:r>
    </w:p>
    <w:p w:rsidR="00B52FC6" w:rsidRPr="00DF37EB" w:rsidRDefault="00747E98" w:rsidP="00747E98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  <w:lang w:val="en-GB"/>
        </w:rPr>
      </w:pPr>
      <w:r w:rsidRPr="00DF37EB">
        <w:rPr>
          <w:rFonts w:ascii="Garamond" w:hAnsi="Garamond"/>
          <w:i/>
          <w:sz w:val="24"/>
          <w:szCs w:val="24"/>
          <w:lang w:val="en-GB"/>
        </w:rPr>
        <w:t xml:space="preserve">(Ndryshuar me </w:t>
      </w:r>
      <w:r w:rsidR="00FC6FD5" w:rsidRPr="00DF37EB">
        <w:rPr>
          <w:rFonts w:ascii="Garamond" w:hAnsi="Garamond"/>
          <w:i/>
          <w:sz w:val="24"/>
          <w:szCs w:val="24"/>
          <w:lang w:val="en-GB"/>
        </w:rPr>
        <w:t>udhëzimin nr. 2, datë</w:t>
      </w:r>
      <w:r w:rsidRPr="00DF37EB">
        <w:rPr>
          <w:rFonts w:ascii="Garamond" w:hAnsi="Garamond"/>
          <w:i/>
          <w:sz w:val="24"/>
          <w:szCs w:val="24"/>
          <w:lang w:val="en-GB"/>
        </w:rPr>
        <w:t xml:space="preserve"> 18.1.2007)</w:t>
      </w:r>
    </w:p>
    <w:p w:rsidR="00747E98" w:rsidRPr="00DF37EB" w:rsidRDefault="00747E98" w:rsidP="00747E98">
      <w:pPr>
        <w:pStyle w:val="Paragrafi"/>
        <w:ind w:firstLine="0"/>
        <w:jc w:val="right"/>
        <w:rPr>
          <w:rFonts w:ascii="Garamond" w:hAnsi="Garamond"/>
          <w:i/>
          <w:sz w:val="24"/>
          <w:szCs w:val="24"/>
          <w:lang w:val="sq-AL"/>
        </w:rPr>
      </w:pPr>
      <w:r w:rsidRPr="00DF37EB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747E98" w:rsidRPr="00DF37EB" w:rsidRDefault="00747E98" w:rsidP="00747E98">
      <w:pPr>
        <w:pStyle w:val="Paragrafi"/>
        <w:ind w:firstLine="0"/>
        <w:jc w:val="right"/>
        <w:rPr>
          <w:rFonts w:ascii="Garamond" w:hAnsi="Garamond"/>
          <w:i/>
          <w:sz w:val="24"/>
          <w:szCs w:val="24"/>
          <w:lang w:val="sq-AL"/>
        </w:rPr>
      </w:pP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Komisioni Qendror i Zgjedhjeve, në mbështetje të nenit 29 pika 1, nenit 95, nenit 95/1, nenit 95/2, nenit 109/3, nenit 109/4, nenit 109/5 dhe nenit 109/6 të ligjit nr.</w:t>
      </w:r>
      <w:r w:rsidR="00DF37EB" w:rsidRPr="00DF37EB">
        <w:rPr>
          <w:rFonts w:ascii="Garamond" w:hAnsi="Garamond"/>
          <w:sz w:val="24"/>
          <w:szCs w:val="24"/>
          <w:lang w:val="sq-AL"/>
        </w:rPr>
        <w:t xml:space="preserve"> </w:t>
      </w:r>
      <w:r w:rsidRPr="00DF37EB">
        <w:rPr>
          <w:rFonts w:ascii="Garamond" w:hAnsi="Garamond"/>
          <w:sz w:val="24"/>
          <w:szCs w:val="24"/>
          <w:lang w:val="sq-AL"/>
        </w:rPr>
        <w:t xml:space="preserve">9087, datë 19.6.2003 “Kodi Zgjedhor i Republikës së Shqipërisë”, i ndryshuar, 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VENDOSI"/>
        <w:keepNext w:val="0"/>
        <w:rPr>
          <w:rFonts w:ascii="Garamond" w:hAnsi="Garamond"/>
          <w:sz w:val="24"/>
          <w:szCs w:val="24"/>
        </w:rPr>
      </w:pPr>
      <w:r w:rsidRPr="00DF37EB">
        <w:rPr>
          <w:rFonts w:ascii="Garamond" w:hAnsi="Garamond"/>
          <w:sz w:val="24"/>
          <w:szCs w:val="24"/>
        </w:rPr>
        <w:t>UDHËZON: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KapitulliNr"/>
        <w:keepNext w:val="0"/>
        <w:rPr>
          <w:rFonts w:ascii="Garamond" w:hAnsi="Garamond"/>
          <w:sz w:val="24"/>
          <w:szCs w:val="24"/>
        </w:rPr>
      </w:pPr>
      <w:r w:rsidRPr="00DF37EB">
        <w:rPr>
          <w:rFonts w:ascii="Garamond" w:hAnsi="Garamond"/>
          <w:sz w:val="24"/>
          <w:szCs w:val="24"/>
        </w:rPr>
        <w:t>PJESA I</w:t>
      </w:r>
    </w:p>
    <w:p w:rsidR="00B52FC6" w:rsidRPr="00DF37EB" w:rsidRDefault="00B52FC6" w:rsidP="00B52FC6">
      <w:pPr>
        <w:pStyle w:val="KapitulliTitull"/>
        <w:keepNext w:val="0"/>
        <w:rPr>
          <w:rFonts w:ascii="Garamond" w:hAnsi="Garamond"/>
          <w:sz w:val="24"/>
          <w:szCs w:val="24"/>
        </w:rPr>
      </w:pPr>
      <w:r w:rsidRPr="00DF37EB">
        <w:rPr>
          <w:rFonts w:ascii="Garamond" w:hAnsi="Garamond"/>
          <w:sz w:val="24"/>
          <w:szCs w:val="24"/>
        </w:rPr>
        <w:t>TË PËRGJITHSHME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NeniNr"/>
        <w:keepNext w:val="0"/>
        <w:rPr>
          <w:rFonts w:ascii="Garamond" w:hAnsi="Garamond"/>
          <w:sz w:val="24"/>
          <w:szCs w:val="24"/>
        </w:rPr>
      </w:pPr>
      <w:r w:rsidRPr="00DF37EB">
        <w:rPr>
          <w:rFonts w:ascii="Garamond" w:hAnsi="Garamond"/>
          <w:sz w:val="24"/>
          <w:szCs w:val="24"/>
        </w:rPr>
        <w:t>Neni 1</w:t>
      </w:r>
    </w:p>
    <w:p w:rsidR="00B52FC6" w:rsidRPr="00DF37EB" w:rsidRDefault="00B52FC6" w:rsidP="00B52FC6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DF37EB">
        <w:rPr>
          <w:rFonts w:ascii="Garamond" w:hAnsi="Garamond"/>
          <w:sz w:val="24"/>
          <w:szCs w:val="24"/>
        </w:rPr>
        <w:t>Qëllimi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</w:rPr>
      </w:pP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Ky udhëzim ka për qëllim të përcaktojë rregullat për caktimin e vendndodhjes së vendit të numërimit të votave (VNV), përgatitjen e tyre, si dhe të rregullojë mënyrën e ngritjes, organizimit dhe funksionimit të grupeve të numërimit (GN).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KapitulliNr"/>
        <w:keepNext w:val="0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Parime të përgjithshme</w:t>
      </w:r>
    </w:p>
    <w:p w:rsidR="00B52FC6" w:rsidRPr="00DF37EB" w:rsidRDefault="00B52FC6" w:rsidP="00B52FC6">
      <w:pPr>
        <w:pStyle w:val="KapitulliNr"/>
        <w:keepNext w:val="0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NeniNr"/>
        <w:keepNext w:val="0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Neni 2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1. KZQV-ja organizon dhe përgatit vendin e numërimit të votave.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2. Vendndodhja e VNV-së caktohet me vendim të KQZ-së, mbi bazën e propozimit të paraqitur nga komisioni i zgjedhjeve për qeverisjen vendore.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3. Grupi i numërimit është përgjegjës për numërimin dhe vlerësimin e votave, si dhe për plotësimin e tabelave të rezultateve për çdo qendër  votimi.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4. Grupet e numërimit ngrihen me vendim të KZQV-së. Propozimet për anëtarët e GN-së bëhen nga partitë politike, që kanë propozuar anëtarët e KZQV-ve. Anëtarët e GN-së caktohen nga KZQV-ja, sipas modelit tip të vendimit të miratuar nga KQZ-ja.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NeniNr"/>
        <w:keepNext w:val="0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Neni 3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1. Vendi i numërimit të votave caktohet si rregull në ndërtesa publike si: pallat sporti, pallat kulture, qendër kulturore e fëmijëve, palestra sportive, salla kinemaje, ambiente shkollash etj.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2. Vendi i numërimit të votave mund të caktohet në ndërtesa private vetëm me vendim të veçantë të KQZ-së.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KapitulliNr"/>
        <w:keepNext w:val="0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PJESA II</w:t>
      </w:r>
    </w:p>
    <w:p w:rsidR="00B52FC6" w:rsidRPr="00DF37EB" w:rsidRDefault="00B52FC6" w:rsidP="00B52FC6">
      <w:pPr>
        <w:pStyle w:val="KapitulliTitull"/>
        <w:keepNext w:val="0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CAKTIMI I VENDNDODHJES SË VENDIT TË NUMËRIMIT TË VOTAVE (VNV)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NeniNr"/>
        <w:keepNext w:val="0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Neni 4</w:t>
      </w:r>
    </w:p>
    <w:p w:rsidR="00B52FC6" w:rsidRPr="00DF37EB" w:rsidRDefault="00B52FC6" w:rsidP="00B52FC6">
      <w:pPr>
        <w:pStyle w:val="NeniTitull"/>
        <w:keepNext w:val="0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Vendndodhja e VNV-së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 xml:space="preserve">1. Vendndodhja e VNV-së caktohet me vendim të KQZ-së, mbi bazën e propozimit të </w:t>
      </w:r>
      <w:r w:rsidRPr="00DF37EB">
        <w:rPr>
          <w:rFonts w:ascii="Garamond" w:hAnsi="Garamond"/>
          <w:sz w:val="24"/>
          <w:szCs w:val="24"/>
          <w:lang w:val="sq-AL"/>
        </w:rPr>
        <w:lastRenderedPageBreak/>
        <w:t xml:space="preserve">paraqitur nga komisioni i zgjedhjeve për qeverisjen vendore përkatëse, sipas modelit të miratuar nga KQZ-ja.   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 xml:space="preserve">2. Vendndodhja e vendit të numërimit të votave si rregull caktohet sa më afër vendit, ku është ngritur zyra e KZQV-së. 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 xml:space="preserve">3. Vendndodhja e VNV-ve të njësive bashkiake të Tiranës duhet të jetë brenda territorit administrativ të këtyre njësive. 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NeniNr"/>
        <w:keepNext w:val="0"/>
        <w:rPr>
          <w:rFonts w:ascii="Garamond" w:hAnsi="Garamond"/>
          <w:sz w:val="24"/>
          <w:szCs w:val="24"/>
          <w:lang w:val="de-DE"/>
        </w:rPr>
      </w:pPr>
      <w:r w:rsidRPr="00DF37EB">
        <w:rPr>
          <w:rFonts w:ascii="Garamond" w:hAnsi="Garamond"/>
          <w:sz w:val="24"/>
          <w:szCs w:val="24"/>
          <w:lang w:val="de-DE"/>
        </w:rPr>
        <w:t>Neni 5</w:t>
      </w:r>
    </w:p>
    <w:p w:rsidR="00B52FC6" w:rsidRPr="00DF37EB" w:rsidRDefault="00B52FC6" w:rsidP="00B52FC6">
      <w:pPr>
        <w:pStyle w:val="NeniTitull"/>
        <w:keepNext w:val="0"/>
        <w:rPr>
          <w:rFonts w:ascii="Garamond" w:hAnsi="Garamond"/>
          <w:sz w:val="24"/>
          <w:szCs w:val="24"/>
          <w:lang w:val="de-DE"/>
        </w:rPr>
      </w:pPr>
      <w:r w:rsidRPr="00DF37EB">
        <w:rPr>
          <w:rFonts w:ascii="Garamond" w:hAnsi="Garamond"/>
          <w:sz w:val="24"/>
          <w:szCs w:val="24"/>
          <w:lang w:val="de-DE"/>
        </w:rPr>
        <w:t>Kritere teknike të VNV-së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1. Vendi i numërimit të votave, i përzgjedhur nga komisioni i zgjedhjeve për qeverisjen vendore, duhet të plotësojë të paktën kriteret e mëposhtme teknike: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a) Për njësitë zgjedhore të cilat kanë në përbërje të tyre mbi 20 qendra votimi, sipërfaqja e ambientit të VNV-së, si rregull, duhet të jetë jo më e vogël se 200 m</w:t>
      </w:r>
      <w:r w:rsidRPr="00DF37EB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DF37EB">
        <w:rPr>
          <w:rFonts w:ascii="Garamond" w:hAnsi="Garamond"/>
          <w:sz w:val="24"/>
          <w:szCs w:val="24"/>
          <w:lang w:val="sq-AL"/>
        </w:rPr>
        <w:t>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b) Për njësitë zgjedhore të cilat kanë në përbërje të tyre 15 deri 20 qendra votimi, sipërfaqja e ambientit të VNV-së, si rregull, duhet të jetë jo më e vogël se 100 m</w:t>
      </w:r>
      <w:r w:rsidRPr="00DF37EB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DF37EB">
        <w:rPr>
          <w:rFonts w:ascii="Garamond" w:hAnsi="Garamond"/>
          <w:sz w:val="24"/>
          <w:szCs w:val="24"/>
          <w:lang w:val="sq-AL"/>
        </w:rPr>
        <w:t>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c) Për njësitë zgjedhore të cilat kanë në përbërje të tyre deri në 15 qendra votimi, sipërfaqja e ambientit të VNV-së, si rregull, duhet të jetë jo më e vogël se 50 m</w:t>
      </w:r>
      <w:r w:rsidRPr="00DF37EB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DF37EB">
        <w:rPr>
          <w:rFonts w:ascii="Garamond" w:hAnsi="Garamond"/>
          <w:sz w:val="24"/>
          <w:szCs w:val="24"/>
          <w:lang w:val="sq-AL"/>
        </w:rPr>
        <w:t>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d) Të ketë sistem të siguruar ndriçimi, të mjaftueshëm dhe të pandërprerë si në mjediset e brendshme, ashtu edhe përreth godinës.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e) Për aq sa është e mundur, të ketë më shumë se një derë komunikuese me mjedisin e jashtëm.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f) Të jetë e pajisur me mjete të mbrojtjes kundër zjarrit, si dhe të ndihmës së shpejtë.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2. Propozimi duhet të shoqërohet me skicën përkatëse të ambientit.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NeniNr"/>
        <w:keepNext w:val="0"/>
        <w:rPr>
          <w:rFonts w:ascii="Garamond" w:hAnsi="Garamond"/>
          <w:sz w:val="24"/>
          <w:szCs w:val="24"/>
        </w:rPr>
      </w:pPr>
      <w:r w:rsidRPr="00DF37EB">
        <w:rPr>
          <w:rFonts w:ascii="Garamond" w:hAnsi="Garamond"/>
          <w:sz w:val="24"/>
          <w:szCs w:val="24"/>
        </w:rPr>
        <w:t>Neni 6</w:t>
      </w:r>
    </w:p>
    <w:p w:rsidR="00B52FC6" w:rsidRPr="00DF37EB" w:rsidRDefault="00B52FC6" w:rsidP="00B52FC6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DF37EB">
        <w:rPr>
          <w:rFonts w:ascii="Garamond" w:hAnsi="Garamond"/>
          <w:sz w:val="24"/>
          <w:szCs w:val="24"/>
        </w:rPr>
        <w:t>Organizimi i vendit të numërimit të votave</w:t>
      </w:r>
    </w:p>
    <w:p w:rsidR="00E974E8" w:rsidRPr="00DF37EB" w:rsidRDefault="00FC6FD5" w:rsidP="00E974E8">
      <w:pPr>
        <w:jc w:val="center"/>
        <w:rPr>
          <w:rFonts w:ascii="Garamond" w:hAnsi="Garamond"/>
          <w:sz w:val="24"/>
          <w:szCs w:val="24"/>
          <w:lang w:val="en-GB"/>
        </w:rPr>
      </w:pPr>
      <w:r w:rsidRPr="00DF37EB">
        <w:rPr>
          <w:rFonts w:ascii="Garamond" w:hAnsi="Garamond"/>
          <w:i/>
          <w:sz w:val="24"/>
          <w:szCs w:val="24"/>
          <w:lang w:val="en-GB"/>
        </w:rPr>
        <w:t xml:space="preserve">(Ndryshuar shkronjat </w:t>
      </w:r>
      <w:r w:rsidRPr="00DF37EB">
        <w:rPr>
          <w:rFonts w:ascii="Garamond" w:hAnsi="Garamond"/>
          <w:i/>
          <w:sz w:val="24"/>
          <w:szCs w:val="24"/>
          <w:lang w:val="en-GB"/>
        </w:rPr>
        <w:t>“a” dhe</w:t>
      </w:r>
      <w:r w:rsidRPr="00DF37EB">
        <w:rPr>
          <w:rFonts w:ascii="Garamond" w:hAnsi="Garamond"/>
          <w:i/>
          <w:sz w:val="24"/>
          <w:szCs w:val="24"/>
          <w:lang w:val="en-GB"/>
        </w:rPr>
        <w:t xml:space="preserve"> “b” të pikës 4 me udhëzimin nr. 2, datë</w:t>
      </w:r>
      <w:r w:rsidR="00E974E8" w:rsidRPr="00DF37EB">
        <w:rPr>
          <w:rFonts w:ascii="Garamond" w:hAnsi="Garamond"/>
          <w:i/>
          <w:sz w:val="24"/>
          <w:szCs w:val="24"/>
          <w:lang w:val="en-GB"/>
        </w:rPr>
        <w:t xml:space="preserve"> 18.1.2007</w:t>
      </w:r>
      <w:r w:rsidR="00E974E8" w:rsidRPr="00DF37EB">
        <w:rPr>
          <w:rFonts w:ascii="Garamond" w:hAnsi="Garamond"/>
          <w:sz w:val="24"/>
          <w:szCs w:val="24"/>
          <w:lang w:val="en-GB"/>
        </w:rPr>
        <w:t>)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 xml:space="preserve">1. KZQV-ja organizon dhe përgatit VNV, në mënyrë të tillë që të garantojë zhvillimin normal të punës për numërimin e votave. 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 xml:space="preserve">2. KZQV-ja organizon hapësirën e VNV në mënyrë të tillë, që të jetë e ndarë në mënyrë të qartë nga hapësira për vëzhguesit, kandidatët dhe mediat, por në çdo rast pa cenuar mundësinë e ndjekjes nga afër të procesit të numërimit. 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3. Organizimi fizik i hapësirës në dispozicion të çdo GN-je, duhet të bëhet në mënyrë të tillë, që të pengojë ndërhyrjen e personave të tjerë të pranishëm në VNV.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4. Në çdo rast, KZQV-ja në bashkëpunim me organet e qeverisjes vendore, jo më vonë se pesë ditë para ditës së zgjedhjeve, bën rregullimin e VNV sipas planvendosjes orientuese bashkëlidhur këtij udhëzimi, si edhe vendos pajisjet logjistike të nevojshme për kryerjen e procesit të numërimit, si më poshtë:</w:t>
      </w:r>
    </w:p>
    <w:p w:rsidR="00B52FC6" w:rsidRPr="00DF37EB" w:rsidRDefault="00B52FC6" w:rsidP="00B52FC6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DF37EB">
        <w:rPr>
          <w:rFonts w:ascii="Garamond" w:hAnsi="Garamond"/>
          <w:i/>
          <w:sz w:val="24"/>
          <w:szCs w:val="24"/>
          <w:lang w:val="sq-AL"/>
        </w:rPr>
        <w:t>a</w:t>
      </w:r>
      <w:r w:rsidR="00E974E8" w:rsidRPr="00DF37EB">
        <w:rPr>
          <w:rFonts w:ascii="Garamond" w:hAnsi="Garamond"/>
          <w:i/>
          <w:sz w:val="24"/>
          <w:szCs w:val="24"/>
        </w:rPr>
        <w:t>)Tavolina pune dhe 14 karrige për KZQV-në;</w:t>
      </w:r>
    </w:p>
    <w:p w:rsidR="00B52FC6" w:rsidRPr="00DF37EB" w:rsidRDefault="00B52FC6" w:rsidP="00B52FC6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DF37EB">
        <w:rPr>
          <w:rFonts w:ascii="Garamond" w:hAnsi="Garamond"/>
          <w:i/>
          <w:sz w:val="24"/>
          <w:szCs w:val="24"/>
          <w:lang w:val="sq-AL"/>
        </w:rPr>
        <w:t xml:space="preserve">b) </w:t>
      </w:r>
      <w:r w:rsidR="00E974E8" w:rsidRPr="00DF37EB">
        <w:rPr>
          <w:rFonts w:ascii="Garamond" w:hAnsi="Garamond"/>
          <w:i/>
          <w:sz w:val="24"/>
          <w:szCs w:val="24"/>
        </w:rPr>
        <w:t>Treshe tavolinash (vendosen në formë T-je sipas shpjegimit në skemën orientuese) me nga 14 karrige për çdo grup të numërimit të votave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c) strukturën ndarëse të hapësirës për publikun me hapësirën për numërimin e votave;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ç) tabelat treguese të dërguara nga KQZ-ja;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d) tabelat treguese për drejtimin e lëvizjes në mjediset e brendshme të VNV.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KapitulliNr"/>
        <w:keepNext w:val="0"/>
        <w:rPr>
          <w:rFonts w:ascii="Garamond" w:hAnsi="Garamond"/>
          <w:sz w:val="24"/>
          <w:szCs w:val="24"/>
          <w:lang w:val="de-DE"/>
        </w:rPr>
      </w:pPr>
      <w:r w:rsidRPr="00DF37EB">
        <w:rPr>
          <w:rFonts w:ascii="Garamond" w:hAnsi="Garamond"/>
          <w:sz w:val="24"/>
          <w:szCs w:val="24"/>
          <w:lang w:val="de-DE"/>
        </w:rPr>
        <w:t>PJESA III</w:t>
      </w:r>
    </w:p>
    <w:p w:rsidR="00B52FC6" w:rsidRPr="00DF37EB" w:rsidRDefault="00B52FC6" w:rsidP="00B52FC6">
      <w:pPr>
        <w:pStyle w:val="KapitulliTitull"/>
        <w:keepNext w:val="0"/>
        <w:rPr>
          <w:rFonts w:ascii="Garamond" w:hAnsi="Garamond"/>
          <w:sz w:val="24"/>
          <w:szCs w:val="24"/>
          <w:lang w:val="de-DE"/>
        </w:rPr>
      </w:pPr>
      <w:r w:rsidRPr="00DF37EB">
        <w:rPr>
          <w:rFonts w:ascii="Garamond" w:hAnsi="Garamond"/>
          <w:sz w:val="24"/>
          <w:szCs w:val="24"/>
          <w:lang w:val="de-DE"/>
        </w:rPr>
        <w:t>NGRITJA E GRUPEVE TË NUMËRIMIT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NeniNr"/>
        <w:keepNext w:val="0"/>
        <w:rPr>
          <w:rFonts w:ascii="Garamond" w:hAnsi="Garamond"/>
          <w:sz w:val="24"/>
          <w:szCs w:val="24"/>
        </w:rPr>
      </w:pPr>
      <w:r w:rsidRPr="00DF37EB">
        <w:rPr>
          <w:rFonts w:ascii="Garamond" w:hAnsi="Garamond"/>
          <w:sz w:val="24"/>
          <w:szCs w:val="24"/>
        </w:rPr>
        <w:t>Neni 7</w:t>
      </w:r>
    </w:p>
    <w:p w:rsidR="00B52FC6" w:rsidRPr="00DF37EB" w:rsidRDefault="00B52FC6" w:rsidP="00B52FC6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DF37EB">
        <w:rPr>
          <w:rFonts w:ascii="Garamond" w:hAnsi="Garamond"/>
          <w:sz w:val="24"/>
          <w:szCs w:val="24"/>
        </w:rPr>
        <w:lastRenderedPageBreak/>
        <w:t>Caktimi i numrit të grupeve të numërimit</w:t>
      </w:r>
    </w:p>
    <w:p w:rsidR="00B52FC6" w:rsidRPr="00DF37EB" w:rsidRDefault="00E974E8" w:rsidP="00E974E8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DF37EB">
        <w:rPr>
          <w:rFonts w:ascii="Garamond" w:hAnsi="Garamond"/>
          <w:i/>
          <w:sz w:val="24"/>
          <w:szCs w:val="24"/>
          <w:lang w:val="sq-AL"/>
        </w:rPr>
        <w:t>(Shtuar</w:t>
      </w:r>
      <w:r w:rsidR="005E3125" w:rsidRPr="00DF37EB">
        <w:rPr>
          <w:rFonts w:ascii="Garamond" w:hAnsi="Garamond"/>
          <w:i/>
          <w:sz w:val="24"/>
          <w:szCs w:val="24"/>
          <w:lang w:val="sq-AL"/>
        </w:rPr>
        <w:t xml:space="preserve"> paragrafë në pikën</w:t>
      </w:r>
      <w:r w:rsidRPr="00DF37EB">
        <w:rPr>
          <w:rFonts w:ascii="Garamond" w:hAnsi="Garamond"/>
          <w:i/>
          <w:sz w:val="24"/>
          <w:szCs w:val="24"/>
          <w:lang w:val="sq-AL"/>
        </w:rPr>
        <w:t xml:space="preserve"> 6 </w:t>
      </w:r>
      <w:r w:rsidR="005E3125" w:rsidRPr="00DF37EB">
        <w:rPr>
          <w:rFonts w:ascii="Garamond" w:hAnsi="Garamond"/>
          <w:i/>
          <w:sz w:val="24"/>
          <w:szCs w:val="24"/>
          <w:lang w:val="sq-AL"/>
        </w:rPr>
        <w:t xml:space="preserve">, ndryshuar </w:t>
      </w:r>
      <w:r w:rsidRPr="00DF37EB">
        <w:rPr>
          <w:rFonts w:ascii="Garamond" w:hAnsi="Garamond"/>
          <w:i/>
          <w:sz w:val="24"/>
          <w:szCs w:val="24"/>
          <w:lang w:val="sq-AL"/>
        </w:rPr>
        <w:t>pika 7</w:t>
      </w:r>
      <w:r w:rsidR="005E3125" w:rsidRPr="00DF37EB">
        <w:rPr>
          <w:rFonts w:ascii="Garamond" w:hAnsi="Garamond"/>
          <w:i/>
          <w:sz w:val="24"/>
          <w:szCs w:val="24"/>
          <w:lang w:val="sq-AL"/>
        </w:rPr>
        <w:t xml:space="preserve">, shtuar pika 8 me udhëzimin </w:t>
      </w:r>
      <w:r w:rsidRPr="00DF37EB">
        <w:rPr>
          <w:rFonts w:ascii="Garamond" w:hAnsi="Garamond"/>
          <w:i/>
          <w:sz w:val="24"/>
          <w:szCs w:val="24"/>
          <w:lang w:val="sq-AL"/>
        </w:rPr>
        <w:t>nr. 2, datë 18.1.2007)</w:t>
      </w:r>
    </w:p>
    <w:p w:rsidR="005E3125" w:rsidRPr="00DF37EB" w:rsidRDefault="005E3125" w:rsidP="00E974E8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 xml:space="preserve">1. Çdo KZQV cakton me vendim ngritjen e grupeve të numërimit. 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 xml:space="preserve">2. Në njësitë zgjedhore të cilat kanë deri në 5 qendra votimi, KZQV-ja cakton ngritjen e një grupi numërimi. 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 xml:space="preserve">3. Në njësitë zgjedhore të cilat kanë nga 6 deri në 10 qendra votimi, KZQV-ja cakton ngritjen e dy Grupeve Numërimi.  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 xml:space="preserve">4. Në njësitë zgjedhore të cilat kanë nga 11 deri në 15 Qendra Votimi, KZQV-ja cakton ngritjen e tri grupeve numërimi.  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 xml:space="preserve">5. Në njësitë zgjedhore të cilat kanë nga 16 deri në 20 qendra votimi, KZQV-ja cakton ngritjen e katër grupeve numërimi. </w:t>
      </w:r>
    </w:p>
    <w:p w:rsidR="00E974E8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6. Në njësitë zgjedhore të cilat kanë mbi 20 qendra votimi, KZQV-ja cakton ngritjen e pesë grupeve numërimi.</w:t>
      </w:r>
    </w:p>
    <w:p w:rsidR="00E974E8" w:rsidRPr="00DF37EB" w:rsidRDefault="00E974E8" w:rsidP="00E974E8">
      <w:pPr>
        <w:pStyle w:val="Paragrafi"/>
        <w:rPr>
          <w:rFonts w:ascii="Garamond" w:hAnsi="Garamond"/>
          <w:sz w:val="24"/>
          <w:szCs w:val="24"/>
        </w:rPr>
      </w:pPr>
      <w:r w:rsidRPr="00DF37EB">
        <w:rPr>
          <w:rFonts w:ascii="Garamond" w:hAnsi="Garamond"/>
          <w:sz w:val="24"/>
          <w:szCs w:val="24"/>
        </w:rPr>
        <w:t>I.</w:t>
      </w:r>
    </w:p>
    <w:p w:rsidR="00E974E8" w:rsidRPr="00DF37EB" w:rsidRDefault="00E974E8" w:rsidP="00E974E8">
      <w:pPr>
        <w:pStyle w:val="Paragrafi"/>
        <w:rPr>
          <w:rFonts w:ascii="Garamond" w:hAnsi="Garamond"/>
          <w:sz w:val="24"/>
          <w:szCs w:val="24"/>
        </w:rPr>
      </w:pPr>
      <w:r w:rsidRPr="00DF37EB">
        <w:rPr>
          <w:rFonts w:ascii="Garamond" w:hAnsi="Garamond"/>
          <w:sz w:val="24"/>
          <w:szCs w:val="24"/>
        </w:rPr>
        <w:t xml:space="preserve">A) Në bashkitë, të cilat kanë nga 2 deri 8 qendra votimi, KZQV-ja cakton ngritjen e një  grupi numërimi; </w:t>
      </w:r>
    </w:p>
    <w:p w:rsidR="00E974E8" w:rsidRPr="00DF37EB" w:rsidRDefault="00E974E8" w:rsidP="00E974E8">
      <w:pPr>
        <w:pStyle w:val="Paragrafi"/>
        <w:rPr>
          <w:rFonts w:ascii="Garamond" w:hAnsi="Garamond"/>
          <w:sz w:val="24"/>
          <w:szCs w:val="24"/>
        </w:rPr>
      </w:pPr>
      <w:r w:rsidRPr="00DF37EB">
        <w:rPr>
          <w:rFonts w:ascii="Garamond" w:hAnsi="Garamond"/>
          <w:sz w:val="24"/>
          <w:szCs w:val="24"/>
        </w:rPr>
        <w:t>B) Në bashkitë, të cilat kanë  nga 9 deri në 14 qendra votimi, KZQV-ja cakton ngritjen e dy grupeve të numërimit;</w:t>
      </w:r>
    </w:p>
    <w:p w:rsidR="00E974E8" w:rsidRPr="00DF37EB" w:rsidRDefault="00E974E8" w:rsidP="00E974E8">
      <w:pPr>
        <w:pStyle w:val="Paragrafi"/>
        <w:rPr>
          <w:rFonts w:ascii="Garamond" w:hAnsi="Garamond"/>
          <w:sz w:val="24"/>
          <w:szCs w:val="24"/>
        </w:rPr>
      </w:pPr>
      <w:r w:rsidRPr="00DF37EB">
        <w:rPr>
          <w:rFonts w:ascii="Garamond" w:hAnsi="Garamond"/>
          <w:sz w:val="24"/>
          <w:szCs w:val="24"/>
        </w:rPr>
        <w:t>C) Në bashkitë, të cilat kanë  nga 15 deri në 19 qendra votimi, KZQV-ja cakton ngritjen e tri grupeve të numërimit;</w:t>
      </w:r>
    </w:p>
    <w:p w:rsidR="00E974E8" w:rsidRPr="00DF37EB" w:rsidRDefault="00E974E8" w:rsidP="00E974E8">
      <w:pPr>
        <w:pStyle w:val="Paragrafi"/>
        <w:rPr>
          <w:rFonts w:ascii="Garamond" w:hAnsi="Garamond"/>
          <w:sz w:val="24"/>
          <w:szCs w:val="24"/>
        </w:rPr>
      </w:pPr>
      <w:r w:rsidRPr="00DF37EB">
        <w:rPr>
          <w:rFonts w:ascii="Garamond" w:hAnsi="Garamond"/>
          <w:sz w:val="24"/>
          <w:szCs w:val="24"/>
        </w:rPr>
        <w:t>D) Në bashkitë, të cilat kanë  nga 20 deri në 29 qendra votimi, KZQV-ja cakton ngritjen e katër grupeve të numërimit;</w:t>
      </w:r>
    </w:p>
    <w:p w:rsidR="00E974E8" w:rsidRPr="00DF37EB" w:rsidRDefault="00E974E8" w:rsidP="00E974E8">
      <w:pPr>
        <w:pStyle w:val="Paragrafi"/>
        <w:rPr>
          <w:rFonts w:ascii="Garamond" w:hAnsi="Garamond"/>
          <w:sz w:val="24"/>
          <w:szCs w:val="24"/>
        </w:rPr>
      </w:pPr>
      <w:r w:rsidRPr="00DF37EB">
        <w:rPr>
          <w:rFonts w:ascii="Garamond" w:hAnsi="Garamond"/>
          <w:sz w:val="24"/>
          <w:szCs w:val="24"/>
        </w:rPr>
        <w:t>E) Në bashkitë, të cilat kanë  nga 30 deri në 45 qendra votimi, KZQV-ja cakton ngritjen e pesë grupeve të numërimit;</w:t>
      </w:r>
    </w:p>
    <w:p w:rsidR="00E974E8" w:rsidRPr="00DF37EB" w:rsidRDefault="00E974E8" w:rsidP="00E974E8">
      <w:pPr>
        <w:pStyle w:val="Paragrafi"/>
        <w:rPr>
          <w:rFonts w:ascii="Garamond" w:hAnsi="Garamond"/>
          <w:sz w:val="24"/>
          <w:szCs w:val="24"/>
        </w:rPr>
      </w:pPr>
      <w:r w:rsidRPr="00DF37EB">
        <w:rPr>
          <w:rFonts w:ascii="Garamond" w:hAnsi="Garamond"/>
          <w:sz w:val="24"/>
          <w:szCs w:val="24"/>
        </w:rPr>
        <w:t>F) Në bashkitë, të cilat kanë  nga 46 deri në 70 qendra votimi, KZQV-ja cakton ngritjen e tetë grupeve të numërimit;</w:t>
      </w:r>
    </w:p>
    <w:p w:rsidR="00E974E8" w:rsidRPr="00DF37EB" w:rsidRDefault="00E974E8" w:rsidP="00E974E8">
      <w:pPr>
        <w:pStyle w:val="Paragrafi"/>
        <w:rPr>
          <w:rFonts w:ascii="Garamond" w:hAnsi="Garamond"/>
          <w:sz w:val="24"/>
          <w:szCs w:val="24"/>
        </w:rPr>
      </w:pPr>
      <w:r w:rsidRPr="00DF37EB">
        <w:rPr>
          <w:rFonts w:ascii="Garamond" w:hAnsi="Garamond"/>
          <w:sz w:val="24"/>
          <w:szCs w:val="24"/>
        </w:rPr>
        <w:t>G) Në bashkitë, të cilat kanë  nga 71 deri në 100 qendra votimi, KZQV-ja cakton ngritjen e dhjetë grupeve të numërimit;</w:t>
      </w:r>
    </w:p>
    <w:p w:rsidR="00E974E8" w:rsidRPr="00DF37EB" w:rsidRDefault="00E974E8" w:rsidP="00E974E8">
      <w:pPr>
        <w:pStyle w:val="Paragrafi"/>
        <w:rPr>
          <w:rFonts w:ascii="Garamond" w:hAnsi="Garamond"/>
          <w:sz w:val="24"/>
          <w:szCs w:val="24"/>
        </w:rPr>
      </w:pPr>
      <w:r w:rsidRPr="00DF37EB">
        <w:rPr>
          <w:rFonts w:ascii="Garamond" w:hAnsi="Garamond"/>
          <w:sz w:val="24"/>
          <w:szCs w:val="24"/>
        </w:rPr>
        <w:t>H) Në njësitë bashkiake të Tiranës, KZQV-ja cakton ngritjen e dhjetë grupeve të numërimit;</w:t>
      </w:r>
    </w:p>
    <w:p w:rsidR="00E974E8" w:rsidRPr="00DF37EB" w:rsidRDefault="00E974E8" w:rsidP="00E974E8">
      <w:pPr>
        <w:pStyle w:val="Paragrafi"/>
        <w:rPr>
          <w:rFonts w:ascii="Garamond" w:hAnsi="Garamond"/>
          <w:sz w:val="24"/>
          <w:szCs w:val="24"/>
        </w:rPr>
      </w:pPr>
      <w:r w:rsidRPr="00DF37EB">
        <w:rPr>
          <w:rFonts w:ascii="Garamond" w:hAnsi="Garamond"/>
          <w:sz w:val="24"/>
          <w:szCs w:val="24"/>
        </w:rPr>
        <w:t>I) Në bashkinë Durrës, KZQV-ja cakton ngritjen e dymbëdhjetë grupeve të numërimit.</w:t>
      </w:r>
    </w:p>
    <w:p w:rsidR="00E974E8" w:rsidRPr="00DF37EB" w:rsidRDefault="00E974E8" w:rsidP="00E974E8">
      <w:pPr>
        <w:pStyle w:val="Paragrafi"/>
        <w:rPr>
          <w:rFonts w:ascii="Garamond" w:hAnsi="Garamond"/>
          <w:sz w:val="24"/>
          <w:szCs w:val="24"/>
        </w:rPr>
      </w:pPr>
      <w:r w:rsidRPr="00DF37EB">
        <w:rPr>
          <w:rFonts w:ascii="Garamond" w:hAnsi="Garamond"/>
          <w:sz w:val="24"/>
          <w:szCs w:val="24"/>
        </w:rPr>
        <w:t>II.</w:t>
      </w:r>
    </w:p>
    <w:p w:rsidR="00E974E8" w:rsidRPr="00DF37EB" w:rsidRDefault="00E974E8" w:rsidP="00E974E8">
      <w:pPr>
        <w:pStyle w:val="Paragrafi"/>
        <w:rPr>
          <w:rFonts w:ascii="Garamond" w:hAnsi="Garamond"/>
          <w:sz w:val="24"/>
          <w:szCs w:val="24"/>
        </w:rPr>
      </w:pPr>
      <w:r w:rsidRPr="00DF37EB">
        <w:rPr>
          <w:rFonts w:ascii="Garamond" w:hAnsi="Garamond"/>
          <w:sz w:val="24"/>
          <w:szCs w:val="24"/>
        </w:rPr>
        <w:t>A) Në komunat, të cilat kanë 2 deri 9 qendra votimi, KZQV-ja cakton ngritjen e një grupi numërimi;</w:t>
      </w:r>
    </w:p>
    <w:p w:rsidR="00E974E8" w:rsidRPr="00DF37EB" w:rsidRDefault="00E974E8" w:rsidP="00E974E8">
      <w:pPr>
        <w:pStyle w:val="Paragrafi"/>
        <w:rPr>
          <w:rFonts w:ascii="Garamond" w:hAnsi="Garamond"/>
          <w:sz w:val="24"/>
          <w:szCs w:val="24"/>
        </w:rPr>
      </w:pPr>
      <w:r w:rsidRPr="00DF37EB">
        <w:rPr>
          <w:rFonts w:ascii="Garamond" w:hAnsi="Garamond"/>
          <w:sz w:val="24"/>
          <w:szCs w:val="24"/>
        </w:rPr>
        <w:t>B) Në komunat, të cilat kanë 10 deri 15 qendra votimi, KZQV-ja cakton ngritjen e dy grupeve të numërimit;</w:t>
      </w:r>
    </w:p>
    <w:p w:rsidR="00E974E8" w:rsidRPr="00DF37EB" w:rsidRDefault="00E974E8" w:rsidP="00E974E8">
      <w:pPr>
        <w:pStyle w:val="Paragrafi"/>
        <w:rPr>
          <w:rFonts w:ascii="Garamond" w:hAnsi="Garamond"/>
          <w:sz w:val="24"/>
          <w:szCs w:val="24"/>
        </w:rPr>
      </w:pPr>
      <w:r w:rsidRPr="00DF37EB">
        <w:rPr>
          <w:rFonts w:ascii="Garamond" w:hAnsi="Garamond"/>
          <w:sz w:val="24"/>
          <w:szCs w:val="24"/>
        </w:rPr>
        <w:t>C) Në komunat, të cilat kanë 16 deri 19 qendra votimi, KZQV-ja cakton ngritjen e tri grupeve të numërimit;</w:t>
      </w:r>
    </w:p>
    <w:p w:rsidR="00E974E8" w:rsidRPr="00DF37EB" w:rsidRDefault="00E974E8" w:rsidP="005E3125">
      <w:pPr>
        <w:pStyle w:val="Paragrafi"/>
        <w:rPr>
          <w:rFonts w:ascii="Garamond" w:hAnsi="Garamond"/>
          <w:sz w:val="24"/>
          <w:szCs w:val="24"/>
        </w:rPr>
      </w:pPr>
      <w:r w:rsidRPr="00DF37EB">
        <w:rPr>
          <w:rFonts w:ascii="Garamond" w:hAnsi="Garamond"/>
          <w:sz w:val="24"/>
          <w:szCs w:val="24"/>
        </w:rPr>
        <w:t>D) Në komunat, të cilat kanë 20 deri 30 qendra votimi, KZQV-ja cakton ngritjen e katër grupeve të numërimit.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7</w:t>
      </w:r>
      <w:r w:rsidR="00E974E8" w:rsidRPr="00DF37EB">
        <w:rPr>
          <w:rFonts w:ascii="Garamond" w:hAnsi="Garamond"/>
          <w:sz w:val="24"/>
          <w:szCs w:val="24"/>
          <w:lang w:val="sq-AL"/>
        </w:rPr>
        <w:t>.</w:t>
      </w:r>
      <w:r w:rsidR="00E974E8" w:rsidRPr="00DF37EB">
        <w:rPr>
          <w:rFonts w:ascii="Garamond" w:hAnsi="Garamond"/>
          <w:sz w:val="24"/>
          <w:szCs w:val="24"/>
        </w:rPr>
        <w:t xml:space="preserve"> Çdo grup numërimi përbëhet nga 13 anëtarë dhe sekretari</w:t>
      </w:r>
      <w:r w:rsidRPr="00DF37EB">
        <w:rPr>
          <w:rFonts w:ascii="Garamond" w:hAnsi="Garamond"/>
          <w:sz w:val="24"/>
          <w:szCs w:val="24"/>
          <w:lang w:val="sq-AL"/>
        </w:rPr>
        <w:t>.</w:t>
      </w:r>
    </w:p>
    <w:p w:rsidR="00B52FC6" w:rsidRPr="00DF37EB" w:rsidRDefault="00E974E8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8.</w:t>
      </w:r>
      <w:r w:rsidRPr="00DF37EB">
        <w:rPr>
          <w:rFonts w:ascii="Garamond" w:hAnsi="Garamond"/>
          <w:sz w:val="24"/>
          <w:szCs w:val="24"/>
        </w:rPr>
        <w:t xml:space="preserve"> Në të gjitha rastet, KZQV-ja duhet të ketë parasysh se një grup numërimi numëron jo më pak se 5 qendra votimi dhe jo më shumë 15 qendra votimi</w:t>
      </w:r>
      <w:r w:rsidR="005E3125" w:rsidRPr="00DF37EB">
        <w:rPr>
          <w:rFonts w:ascii="Garamond" w:hAnsi="Garamond"/>
          <w:sz w:val="24"/>
          <w:szCs w:val="24"/>
          <w:lang w:val="sq-AL"/>
        </w:rPr>
        <w:t>.</w:t>
      </w:r>
    </w:p>
    <w:p w:rsidR="005E3125" w:rsidRPr="00DF37EB" w:rsidRDefault="005E3125" w:rsidP="00B52FC6">
      <w:pPr>
        <w:pStyle w:val="Paragrafi"/>
        <w:rPr>
          <w:rFonts w:ascii="Garamond" w:hAnsi="Garamond"/>
          <w:i/>
          <w:sz w:val="24"/>
          <w:szCs w:val="24"/>
          <w:lang w:val="sq-AL"/>
        </w:rPr>
      </w:pPr>
    </w:p>
    <w:p w:rsidR="00B52FC6" w:rsidRPr="00DF37EB" w:rsidRDefault="00B52FC6" w:rsidP="00B52FC6">
      <w:pPr>
        <w:pStyle w:val="NeniNr"/>
        <w:keepNext w:val="0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Neni 8</w:t>
      </w:r>
    </w:p>
    <w:p w:rsidR="00B52FC6" w:rsidRPr="00DF37EB" w:rsidRDefault="00B52FC6" w:rsidP="00B52FC6">
      <w:pPr>
        <w:pStyle w:val="NeniTitull"/>
        <w:keepNext w:val="0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Emërimi i anëtarëve të grupeve të numërimit</w:t>
      </w:r>
    </w:p>
    <w:p w:rsidR="00033380" w:rsidRPr="00DF37EB" w:rsidRDefault="00551B25" w:rsidP="00033380">
      <w:pPr>
        <w:jc w:val="center"/>
        <w:rPr>
          <w:rFonts w:ascii="Garamond" w:hAnsi="Garamond"/>
          <w:i/>
          <w:sz w:val="24"/>
          <w:szCs w:val="24"/>
        </w:rPr>
      </w:pPr>
      <w:r w:rsidRPr="00DF37EB">
        <w:rPr>
          <w:rFonts w:ascii="Garamond" w:hAnsi="Garamond"/>
          <w:i/>
          <w:sz w:val="24"/>
          <w:szCs w:val="24"/>
        </w:rPr>
        <w:t xml:space="preserve">(Ndryshuar pika 1, </w:t>
      </w:r>
      <w:r w:rsidR="00033380" w:rsidRPr="00DF37EB">
        <w:rPr>
          <w:rFonts w:ascii="Garamond" w:hAnsi="Garamond"/>
          <w:i/>
          <w:sz w:val="24"/>
          <w:szCs w:val="24"/>
        </w:rPr>
        <w:t xml:space="preserve">shtuar </w:t>
      </w:r>
      <w:r w:rsidRPr="00DF37EB">
        <w:rPr>
          <w:rFonts w:ascii="Garamond" w:hAnsi="Garamond"/>
          <w:i/>
          <w:sz w:val="24"/>
          <w:szCs w:val="24"/>
        </w:rPr>
        <w:t xml:space="preserve">paragrafë në </w:t>
      </w:r>
      <w:r w:rsidR="00033380" w:rsidRPr="00DF37EB">
        <w:rPr>
          <w:rFonts w:ascii="Garamond" w:hAnsi="Garamond"/>
          <w:i/>
          <w:sz w:val="24"/>
          <w:szCs w:val="24"/>
        </w:rPr>
        <w:t>pika</w:t>
      </w:r>
      <w:r w:rsidRPr="00DF37EB">
        <w:rPr>
          <w:rFonts w:ascii="Garamond" w:hAnsi="Garamond"/>
          <w:i/>
          <w:sz w:val="24"/>
          <w:szCs w:val="24"/>
        </w:rPr>
        <w:t>t</w:t>
      </w:r>
      <w:r w:rsidR="00033380" w:rsidRPr="00DF37EB">
        <w:rPr>
          <w:rFonts w:ascii="Garamond" w:hAnsi="Garamond"/>
          <w:i/>
          <w:sz w:val="24"/>
          <w:szCs w:val="24"/>
        </w:rPr>
        <w:t xml:space="preserve"> 3 dhe 4 </w:t>
      </w:r>
      <w:r w:rsidRPr="00DF37EB">
        <w:rPr>
          <w:rFonts w:ascii="Garamond" w:hAnsi="Garamond"/>
          <w:i/>
          <w:sz w:val="24"/>
          <w:szCs w:val="24"/>
        </w:rPr>
        <w:t>me udhëzimin nr. 2. d</w:t>
      </w:r>
      <w:r w:rsidR="00033380" w:rsidRPr="00DF37EB">
        <w:rPr>
          <w:rFonts w:ascii="Garamond" w:hAnsi="Garamond"/>
          <w:i/>
          <w:sz w:val="24"/>
          <w:szCs w:val="24"/>
        </w:rPr>
        <w:t>atë 18.1.2007)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 xml:space="preserve">1. </w:t>
      </w:r>
      <w:r w:rsidR="00033380" w:rsidRPr="00DF37EB">
        <w:rPr>
          <w:rFonts w:ascii="Garamond" w:hAnsi="Garamond"/>
          <w:sz w:val="24"/>
          <w:szCs w:val="24"/>
        </w:rPr>
        <w:t xml:space="preserve">Dhjetë ditë përpara ditës së zgjedhjeve, KZQV-ja njofton subjektet zgjedhore përkatëse të paraqesin propozimet për anëtarë të </w:t>
      </w:r>
      <w:r w:rsidR="00551B25" w:rsidRPr="00DF37EB">
        <w:rPr>
          <w:rFonts w:ascii="Garamond" w:hAnsi="Garamond"/>
          <w:sz w:val="24"/>
          <w:szCs w:val="24"/>
        </w:rPr>
        <w:t>GNV-ve. KZQV-ja merr vendim për</w:t>
      </w:r>
      <w:r w:rsidR="00033380" w:rsidRPr="00DF37EB">
        <w:rPr>
          <w:rFonts w:ascii="Garamond" w:hAnsi="Garamond"/>
          <w:sz w:val="24"/>
          <w:szCs w:val="24"/>
        </w:rPr>
        <w:t xml:space="preserve"> caktimin e grupeve të </w:t>
      </w:r>
      <w:r w:rsidR="00033380" w:rsidRPr="00DF37EB">
        <w:rPr>
          <w:rFonts w:ascii="Garamond" w:hAnsi="Garamond"/>
          <w:sz w:val="24"/>
          <w:szCs w:val="24"/>
        </w:rPr>
        <w:lastRenderedPageBreak/>
        <w:t>numërimit dy ditë para datës së zgjedhjeve</w:t>
      </w:r>
      <w:r w:rsidRPr="00DF37EB">
        <w:rPr>
          <w:rFonts w:ascii="Garamond" w:hAnsi="Garamond"/>
          <w:sz w:val="24"/>
          <w:szCs w:val="24"/>
          <w:lang w:val="sq-AL"/>
        </w:rPr>
        <w:t xml:space="preserve">. 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 xml:space="preserve">2. Propozimi për emrat e anëtarëve të GN i paraqitet KZQV-së nga personi i autorizuar nga kryetari i partisë, që ka të drejtë të bëjë propozimin. 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3. Partia politike, e cila ka propozuar zëvendëskryetarin e KZQV-së, ka të drejtën të paraqesë propozime për dy anëtarë të grupit të parë të numërimit, njëri prej të cilëve caktohet nga KZQV-ja, kryetar i këtij grupi numërimi.</w:t>
      </w:r>
    </w:p>
    <w:p w:rsidR="00033380" w:rsidRPr="00DF37EB" w:rsidRDefault="00033380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</w:rPr>
        <w:t>Në rastin kur zëvendëskryetari i KZQV-së është propozuar nga Partia Socialiste, ajo ka të drejtë të paraqesë propozime për tre anëtarë të grupit të parë të numërimit, njëri prej të cilëve caktohet nga KZQV-ja, kryetar i këtij grupi numërimi.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4. Partia politike, e cila ka propozuar kryetarin e KZQV-së, ka të drejtën të paraqesë propozime për dy anëtarë të grupit të dytë të numërimit, njëri prej të cilëve caktohet nga KZQV-ja, kryetar i këtij grupi numërimi. Me këtë radhë vazhdohet me grupet e tjera të numërimit.</w:t>
      </w:r>
    </w:p>
    <w:p w:rsidR="00033380" w:rsidRPr="00DF37EB" w:rsidRDefault="00033380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</w:rPr>
        <w:t>Në rastin kur kryetari i KZQV-së është propozuar nga Partia Socialiste, ajo ka të drejtë të paraqesë propozime për tre anëtarë të grupit të dytë të numërimit, njëri prej të cilëve caktohet nga KZQV-ja, kryetar i këtij grupi numërimi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NeniNr"/>
        <w:keepNext w:val="0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Neni 9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Partitë politike duhet te paraqesin edhe një listë rezervë me anëtarë të grupeve të numërimit, në rastet kur anëtarët e GN-ve duhet të zëvendësohen, për shkak të lodhjes fizike apo për shkaqe të tjera.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NeniNr"/>
        <w:keepNext w:val="0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Neni 10</w:t>
      </w:r>
    </w:p>
    <w:p w:rsidR="00B52FC6" w:rsidRPr="00DF37EB" w:rsidRDefault="00B52FC6" w:rsidP="00B52FC6">
      <w:pPr>
        <w:pStyle w:val="NeniTitull"/>
        <w:keepNext w:val="0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Zëvendësimi i anëtarëve të grupit të numërimit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 xml:space="preserve">1. Në rast se një parti politike nuk paraqet propozim brenda afatit kohor të përcaktuar në nenin 95/2 pika 1 të Kodit Zgjedhor, KZQV-ja me vendim cakton anëtarin zëvendësues. 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2. Zëvendësuesi caktohet me short ndërmjet anëtarëve të KQV-ve të njësisë zgjedhore përkatëse, të emëruar me propozim të së njëjtës parti politike.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3. Procedura e shortit është si më poshtë: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a) Sekretari i KZQV-së përgatit dhe vendos në një enë një numër të barabartë shiritash letre me numrin e qendrave të votimit në njësinë e qeverisjes vendore. Secili nga shiritat e letrës ka të shënuar numrin e një qendre votimi.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b) Kryetari i KZQV-së tërheq njërin nga shiritat e letrës dhe lexon numrin e qendrës së votimit të shënuar në të.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c) Anëtari i kësaj KQV-je, i emëruar me propozim të partisë politike për të cilën hidhet shorti, caktohet anëtar i grupit të numërimit.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d) Kryetari i KZQV-së tërheq shirita letre në numër të barabartë me numrin e grupeve të numërimit që do të ngrihen.</w:t>
      </w:r>
    </w:p>
    <w:p w:rsidR="00B52FC6" w:rsidRPr="00DF37EB" w:rsidRDefault="00B52FC6" w:rsidP="00DF37E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e) Në rastet kur shorti hidhet si pasojë e mosparaqitjes së propozimeve nga një parti politike, e cila ka paraqitur propozime për emërimin e dy anëtarëve të KQV-së, atëherë pas çdo tërheqje shiriti letre me numrin e QV-së, kryetari i KZQV-së hedh short me monedhë, për të caktuar se cili nga dy anëtarët e KQV-së do të caktohet në grupin e numërimit. Procedura vazhdon e njëjtë derisa të plotësohen vendet e mbetura bosh.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4. Në rastet kur vendi i një anëtari të Grupit të Numërimit mbetet vakant gjatë procesit të numërimit të votave, partia politike e cila kishte propozuar anëtarin paraqet menjëherë propozimin e ri.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5. Nëse partia politike nuk paraqet propozimin për plotësimin e vendit të mbetur bosh brenda 1 ore, KZQV-ja zbaton procedurën e shortit sipas pikës 3 të këtij neni.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KapitulliNr"/>
        <w:keepNext w:val="0"/>
        <w:rPr>
          <w:rFonts w:ascii="Garamond" w:hAnsi="Garamond"/>
          <w:sz w:val="24"/>
          <w:szCs w:val="24"/>
        </w:rPr>
      </w:pPr>
      <w:r w:rsidRPr="00DF37EB">
        <w:rPr>
          <w:rFonts w:ascii="Garamond" w:hAnsi="Garamond"/>
          <w:sz w:val="24"/>
          <w:szCs w:val="24"/>
        </w:rPr>
        <w:t>PJESA IV</w:t>
      </w:r>
    </w:p>
    <w:p w:rsidR="00B52FC6" w:rsidRPr="00DF37EB" w:rsidRDefault="00B52FC6" w:rsidP="00B52FC6">
      <w:pPr>
        <w:pStyle w:val="KapitulliTitull"/>
        <w:keepNext w:val="0"/>
        <w:rPr>
          <w:rFonts w:ascii="Garamond" w:hAnsi="Garamond"/>
          <w:sz w:val="24"/>
          <w:szCs w:val="24"/>
        </w:rPr>
      </w:pPr>
      <w:r w:rsidRPr="00DF37EB">
        <w:rPr>
          <w:rFonts w:ascii="Garamond" w:hAnsi="Garamond"/>
          <w:sz w:val="24"/>
          <w:szCs w:val="24"/>
        </w:rPr>
        <w:lastRenderedPageBreak/>
        <w:t>GRUPI I NUMËRIMIT TË VOTAVE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NeniNr"/>
        <w:keepNext w:val="0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Neni 11</w:t>
      </w:r>
    </w:p>
    <w:p w:rsidR="00B52FC6" w:rsidRPr="00DF37EB" w:rsidRDefault="00B52FC6" w:rsidP="00B52FC6">
      <w:pPr>
        <w:pStyle w:val="NeniTitull"/>
        <w:keepNext w:val="0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Kryetari dhe zv.kryetari i Grupit të Numërimit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1. Kryetari i GN është përgjegjës për drejtimin e proçedurave për numërimin dhe vlerësimin e votave, si dhe për hartimin e tabelave të rezultateve të qëndrës së votimit.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2. Kryetar i Grupit të Numërimit me numër tek, caktohet personi i propozuar nga Partia politike, e cila ka propozuar zëvendëskryetarin e KZQV-së.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 xml:space="preserve">3. Kryetar i Grupit të Numërimit me numër çift caktohet personi i propozuar nga partia politike, e cila ka propozuar Kryetarin e KZQV-së. Me këtë radhë vazhdohet me grupet e tjera. 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4. Zëvendëskryetari i Grupit të Numërimit i përket partisë politike më të madhe të spektrit të kundërt me kryetarin.</w:t>
      </w:r>
    </w:p>
    <w:p w:rsidR="00B52FC6" w:rsidRPr="00DF37EB" w:rsidRDefault="00B52FC6" w:rsidP="00B52FC6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NeniNr"/>
        <w:keepNext w:val="0"/>
        <w:rPr>
          <w:rFonts w:ascii="Garamond" w:hAnsi="Garamond"/>
          <w:sz w:val="24"/>
          <w:szCs w:val="24"/>
          <w:lang w:val="de-DE"/>
        </w:rPr>
      </w:pPr>
      <w:r w:rsidRPr="00DF37EB">
        <w:rPr>
          <w:rFonts w:ascii="Garamond" w:hAnsi="Garamond"/>
          <w:sz w:val="24"/>
          <w:szCs w:val="24"/>
          <w:lang w:val="de-DE"/>
        </w:rPr>
        <w:t>Neni 12</w:t>
      </w:r>
    </w:p>
    <w:p w:rsidR="00B52FC6" w:rsidRPr="00DF37EB" w:rsidRDefault="00B52FC6" w:rsidP="00B52FC6">
      <w:pPr>
        <w:pStyle w:val="NeniTitull"/>
        <w:keepNext w:val="0"/>
        <w:rPr>
          <w:rFonts w:ascii="Garamond" w:hAnsi="Garamond"/>
          <w:sz w:val="24"/>
          <w:szCs w:val="24"/>
          <w:lang w:val="de-DE"/>
        </w:rPr>
      </w:pPr>
      <w:r w:rsidRPr="00DF37EB">
        <w:rPr>
          <w:rFonts w:ascii="Garamond" w:hAnsi="Garamond"/>
          <w:sz w:val="24"/>
          <w:szCs w:val="24"/>
          <w:lang w:val="de-DE"/>
        </w:rPr>
        <w:t>Sekretari i grupit të numërimit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Sekretari i GN-së caktohet nga KZQV-ja me propozim të subjektit politik që ka paraqitur edhe propozimin për caktimin e zëvendëskryetarit të të njëjtit GN.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NeniNr"/>
        <w:keepNext w:val="0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Neni 13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Ky udhëzim hyn në fuqi menjëherë.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9673A5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23A88D69" wp14:editId="1445C82B">
            <wp:extent cx="5715000" cy="88011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556" b="54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2FC6" w:rsidRPr="00DF37EB" w:rsidRDefault="00B52FC6" w:rsidP="00B52FC6">
      <w:pPr>
        <w:pStyle w:val="TitulliTitull"/>
        <w:rPr>
          <w:rFonts w:ascii="Garamond" w:hAnsi="Garamond"/>
          <w:sz w:val="24"/>
          <w:szCs w:val="24"/>
        </w:rPr>
      </w:pPr>
      <w:r w:rsidRPr="00DF37EB">
        <w:rPr>
          <w:rFonts w:ascii="Garamond" w:hAnsi="Garamond"/>
          <w:sz w:val="24"/>
          <w:szCs w:val="24"/>
        </w:rPr>
        <w:lastRenderedPageBreak/>
        <w:t xml:space="preserve">SHPJEGIME MBI PLANVENDOSJEN ORIENTUESE TË VENDIT TË NUMËRIMIT </w:t>
      </w:r>
    </w:p>
    <w:p w:rsidR="00B52FC6" w:rsidRPr="00DF37EB" w:rsidRDefault="00B52FC6" w:rsidP="00B52FC6">
      <w:pPr>
        <w:pStyle w:val="TitulliTitull"/>
        <w:rPr>
          <w:rFonts w:ascii="Garamond" w:hAnsi="Garamond"/>
          <w:sz w:val="24"/>
          <w:szCs w:val="24"/>
        </w:rPr>
      </w:pPr>
      <w:r w:rsidRPr="00DF37EB">
        <w:rPr>
          <w:rFonts w:ascii="Garamond" w:hAnsi="Garamond"/>
          <w:sz w:val="24"/>
          <w:szCs w:val="24"/>
        </w:rPr>
        <w:t>TË VOTAVE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1. Kjo planvendosje do t’u vijë në ndihmë për organizimin e brendshëm të vendit të numërimit të votave.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2. Pavarësisht se sa grupe numërimi do të ngrini, për aq sa është e mundur, mundohuni që organizimi i brendshëm i VNV-së të bëhet sipas kësaj planvendosjeje.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3. Ndani fillimisht hapësirën brenda të cilës do të zhvillohet procesi i numërimit, duke vendosur panelet ndarëse të dërguara nga KQZ-ja.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4. Brenda kësaj hapësire, përcaktoni vendin ku do të vendoset tavolina e punës së KZQV-së, vendi ku do të vendosen kutitë e votimit dhe kutia e materialeve zgjedhore para numërimit dhe pas numërimit, sipas kësaj ideje: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- Tavolina e KZQV-së vendoset në mes. Në të majtë të saj vendosen kutitë e votimit dhe kutia e materialeve të votimit para numërimit dhe në të djathtë të saj kutitë e votimit dhe ajo e materialeve zgjedhore pas numërimit.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- Vendosni kutitë në pozicion vertikal, në mënyrë që në fillim të jetë kutia e votimit për këshillin, pastaj kutia e votimit për kandidatët dhe në krye kutia e materialeve zgjedhore.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- Brenda kësaj hapësire mendoni për një vend ku do të vendosni kutitë e vlerësuara të parregullta gjatë procesit të marrjes në dorëzim nga KQV-të.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- Tregoni kujdes që kutitë e votimit dhe ajo e materialeve zgjedhore të jenë të ruajtura dhe të mos preken nga persona të paautorizuar.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5. Tavolina e çdo grupi numërimi vendoset në  formë  T-je: në  pjesën vertikale (gjatësore) vendosen dy tavolina bashkë  me qëllim që  gjerësia e suprinës të  jetë  e mjaftueshme dhe fletët e votimit të  mos bien në  tokë, ndërsa në  pjesën horizontale vendoset vetëm një  tavolinë.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6. Anëtarët e GN-së ulen sipas mënyrës që paraqitet në planvendosjen orientuese.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7. Përcaktoni vendin ku do të vendosen vëzhguesit dhe media.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8. Largësia nga tavolina e punës së GN-së dhe vëzhguesve (e ndarë me panelet ndarëse) duhet të jetë e tillë që të mundësojë vëzhgimin normal të procesit të numërimit, por duke shmangur kontaktin fizik midis vëzhguesve dhe anëtarëve të GN-së.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9. Tregoni kujdes që në VNV të mos ketë persona të tjerë të paautorizuar nga KZQV-ja.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10. Përcaktoni mënyrën e lëvizjes brenda hapësirës ku kryhet numërimi, më qëllim që çdo procedurë të kryhet me rregull dhe pa rrëmujë.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DF37EB">
        <w:rPr>
          <w:rFonts w:ascii="Garamond" w:hAnsi="Garamond"/>
          <w:sz w:val="24"/>
          <w:szCs w:val="24"/>
          <w:lang w:val="sq-AL"/>
        </w:rPr>
        <w:t>11. Siguroni që procesi i numërimit të kryhet me qetësi dhe me rregull.</w:t>
      </w: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</w:rPr>
      </w:pPr>
    </w:p>
    <w:p w:rsidR="00B52FC6" w:rsidRPr="00DF37EB" w:rsidRDefault="00B52FC6" w:rsidP="00B52FC6">
      <w:pPr>
        <w:pStyle w:val="Paragrafi"/>
        <w:rPr>
          <w:rFonts w:ascii="Garamond" w:hAnsi="Garamond"/>
          <w:sz w:val="24"/>
          <w:szCs w:val="24"/>
        </w:rPr>
      </w:pPr>
    </w:p>
    <w:p w:rsidR="00B52FC6" w:rsidRPr="00DF37EB" w:rsidRDefault="00B52FC6" w:rsidP="00B52FC6">
      <w:pPr>
        <w:rPr>
          <w:rFonts w:ascii="Garamond" w:hAnsi="Garamond"/>
          <w:sz w:val="24"/>
          <w:szCs w:val="24"/>
        </w:rPr>
      </w:pPr>
    </w:p>
    <w:p w:rsidR="00A0784B" w:rsidRPr="00DF37EB" w:rsidRDefault="00A0784B" w:rsidP="003941D1">
      <w:pPr>
        <w:pStyle w:val="Paragrafi"/>
        <w:rPr>
          <w:rFonts w:ascii="Garamond" w:hAnsi="Garamond"/>
          <w:sz w:val="24"/>
          <w:szCs w:val="24"/>
          <w:lang w:val="sq-AL"/>
        </w:rPr>
      </w:pPr>
    </w:p>
    <w:sectPr w:rsidR="00A0784B" w:rsidRPr="00DF37EB" w:rsidSect="00B52FC6">
      <w:footnotePr>
        <w:numFmt w:val="chicago"/>
        <w:numRestart w:val="eachPage"/>
      </w:footnotePr>
      <w:pgSz w:w="11907" w:h="16840" w:code="9"/>
      <w:pgMar w:top="1418" w:right="1418" w:bottom="1418" w:left="1418" w:header="1304" w:footer="1134" w:gutter="0"/>
      <w:pgNumType w:start="555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0B3" w:rsidRDefault="00EB30B3">
      <w:r>
        <w:separator/>
      </w:r>
    </w:p>
  </w:endnote>
  <w:endnote w:type="continuationSeparator" w:id="0">
    <w:p w:rsidR="00EB30B3" w:rsidRDefault="00EB3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0B3" w:rsidRDefault="00EB30B3">
      <w:r>
        <w:separator/>
      </w:r>
    </w:p>
  </w:footnote>
  <w:footnote w:type="continuationSeparator" w:id="0">
    <w:p w:rsidR="00EB30B3" w:rsidRDefault="00EB30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33380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12CBB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51B25"/>
    <w:rsid w:val="0058563C"/>
    <w:rsid w:val="005A53C5"/>
    <w:rsid w:val="005C0A10"/>
    <w:rsid w:val="005D4BA8"/>
    <w:rsid w:val="005E2CD2"/>
    <w:rsid w:val="005E3125"/>
    <w:rsid w:val="005E62A5"/>
    <w:rsid w:val="005F71EC"/>
    <w:rsid w:val="00607F6D"/>
    <w:rsid w:val="00634290"/>
    <w:rsid w:val="006432F5"/>
    <w:rsid w:val="00697FDD"/>
    <w:rsid w:val="006A37D8"/>
    <w:rsid w:val="006E35E0"/>
    <w:rsid w:val="00705463"/>
    <w:rsid w:val="00736819"/>
    <w:rsid w:val="0074183C"/>
    <w:rsid w:val="00747E98"/>
    <w:rsid w:val="00755981"/>
    <w:rsid w:val="00767527"/>
    <w:rsid w:val="00792D69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3E61"/>
    <w:rsid w:val="009164C8"/>
    <w:rsid w:val="009564F9"/>
    <w:rsid w:val="009673A5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52FC6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265EC"/>
    <w:rsid w:val="00D7455C"/>
    <w:rsid w:val="00D92AC6"/>
    <w:rsid w:val="00D97A55"/>
    <w:rsid w:val="00DC64E5"/>
    <w:rsid w:val="00DF37EB"/>
    <w:rsid w:val="00E06AA7"/>
    <w:rsid w:val="00E624E2"/>
    <w:rsid w:val="00E645E3"/>
    <w:rsid w:val="00E802E1"/>
    <w:rsid w:val="00E974E8"/>
    <w:rsid w:val="00EA206E"/>
    <w:rsid w:val="00EB30B3"/>
    <w:rsid w:val="00EC5F99"/>
    <w:rsid w:val="00EE2805"/>
    <w:rsid w:val="00EE65A2"/>
    <w:rsid w:val="00F15D98"/>
    <w:rsid w:val="00F52BF2"/>
    <w:rsid w:val="00F55282"/>
    <w:rsid w:val="00F95181"/>
    <w:rsid w:val="00FB705B"/>
    <w:rsid w:val="00FC6FD5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163636"/>
  <w15:chartTrackingRefBased/>
  <w15:docId w15:val="{F6557AE3-7809-4D0B-99AF-C227F19BE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FC6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B52FC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52FC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B52FC6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2077</Words>
  <Characters>11840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8</cp:revision>
  <dcterms:created xsi:type="dcterms:W3CDTF">2025-12-15T12:52:00Z</dcterms:created>
  <dcterms:modified xsi:type="dcterms:W3CDTF">2025-12-15T13:04:00Z</dcterms:modified>
</cp:coreProperties>
</file>