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476" w:rsidRPr="00DC5A95" w:rsidRDefault="00477476" w:rsidP="0047747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UDHËZIM</w:t>
      </w:r>
    </w:p>
    <w:p w:rsidR="00477476" w:rsidRPr="00DC5A95" w:rsidRDefault="00477476" w:rsidP="00477476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Nr.14, datë 24.4.2009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KRITERET PËR ZGJEDHJEN E VENDEVE  PËR AFISHIMIN E MATERIALEVE PROPAGANDISTIKE NË FUSHATËN ZGJEDHORE</w:t>
      </w:r>
    </w:p>
    <w:p w:rsidR="00477476" w:rsidRPr="00DC5A95" w:rsidRDefault="00477476" w:rsidP="00477476">
      <w:pPr>
        <w:pStyle w:val="Paragrafi0"/>
        <w:ind w:firstLine="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Komisioni Qendror i Zgjedhjeve, në mbështetje të nenit 21 pika 1, nenit 3 pika 5, nenit 77 pika 1, nenit 78 pika 1 dhe 4, nenit  79 dhe  nenit 88  të ligjit nr.10 019, datë 29.12.2008 “Kodi Zgjedhor i Republikës së Shqipërisë”,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Udhëzon:</w:t>
      </w:r>
    </w:p>
    <w:p w:rsidR="00477476" w:rsidRPr="00DC5A95" w:rsidRDefault="00477476" w:rsidP="0067156E">
      <w:pPr>
        <w:pStyle w:val="Paragrafi0"/>
        <w:rPr>
          <w:lang w:val="en-GB"/>
        </w:rPr>
      </w:pP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</w:t>
      </w:r>
    </w:p>
    <w:p w:rsidR="00477476" w:rsidRPr="00DC5A95" w:rsidRDefault="00477476" w:rsidP="0047747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Parime t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p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rgjithshme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ka për qëllim të përcaktojë parimet dhe kriteret q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duhen zbatuar p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r afishimin e materialeve propagandistike gjatë periudhës së fushatës zgjedhore, për zgjedhjet për Kuvend, të datës 28.6.2009.</w:t>
      </w:r>
    </w:p>
    <w:p w:rsidR="00477476" w:rsidRPr="00DC5A95" w:rsidRDefault="00477476" w:rsidP="00477476">
      <w:pPr>
        <w:pStyle w:val="Paragrafi0"/>
        <w:ind w:firstLine="0"/>
        <w:rPr>
          <w:sz w:val="21"/>
          <w:szCs w:val="21"/>
        </w:rPr>
      </w:pP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2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Kryetarët e njësive të qeverisjes vendore janë të detyruar për të gjitha vendet publike që do të caktojnë për afishimin e materialeve propagandistike zgjedhore, të përcaktojnë ndarjen e hapësirave në mënyrë të drejtë dhe të paanshme.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Caktimi i vendeve për afishimin e materialeve propagandistike zgjedhore bëhet publik dhe u njoftohet subjekteve zgjedhore jo më vonë se 15 ditë nga hyrja në fuqi e këtij udhëzimi.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3</w:t>
      </w:r>
    </w:p>
    <w:p w:rsidR="00477476" w:rsidRPr="00DC5A95" w:rsidRDefault="00477476" w:rsidP="0047747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Caktimi i vendeve të afishimit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Në caktimin e vendeve publike, për afishimin e materialeve propagandistike, njësitë e qeverisjes vendore duhet të mbajnë parasysh: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sheshet publike dhe afërsinë e tyre me qendrën e nj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sis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administrative p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rkat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se;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rrugët kryesore;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c) vendet e veçanta të caktuara për afishim; 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mundësinë e ndriçimit.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Për partitë parlamentare, që në zgjedhjet e fundit për Kuvendin kanë marrë më shumë se 20% të vendeve në Kuvend, vendi dhe sipërfaqja për afishimin e materialeve propagandistike zgjedhore është 50% e sipërfaqes së caktuar, kurse për partitë e tjera parlamentare  është 35% e sipërfaqes  dhe partive joparlamentare, si dhe kandidatëve të propozuar nga zgjedhësit u caktohet 15% e sipërfaqes.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3. Brenda secilit prej grupeve të përcaktuara në pikën 2 të këtij neni të ruhet barazia në shpërndarjen e vendeve për afishim, të vëna në dispozicion për çdo subjekt zgjedhor. 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Çdo afishim i materialeve propagandistike jashtë vendeve publike të autorizuara sjell heqjen e tyre nga strukturat e zbatimit të ligjit, në varësi të njësisë së qeverisjes vendore.</w:t>
      </w:r>
    </w:p>
    <w:p w:rsidR="00477476" w:rsidRPr="00DC5A95" w:rsidRDefault="00477476" w:rsidP="00477476">
      <w:pPr>
        <w:pStyle w:val="Paragrafi0"/>
        <w:ind w:firstLine="0"/>
        <w:rPr>
          <w:sz w:val="21"/>
          <w:szCs w:val="21"/>
        </w:rPr>
      </w:pP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4</w:t>
      </w:r>
    </w:p>
    <w:p w:rsidR="00477476" w:rsidRPr="00DC5A95" w:rsidRDefault="00477476" w:rsidP="0047747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E drejta e ankimit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Kundër vendimit të kryetarit të njësisë së qeverisjes vendore, subjektet zgjedhore kanë të drejtën e ankimit në KQZ kur vërejnë pabarazi në sipërfaqe, në caktimin e vendeve për afishimin e materialeve propagandistike zgjedhore.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KQZ-ja, kur konstaton shkeljet e pretenduara, urdhëron kryetarin e njësisë së qeverisjes vendore për korrigjimin e pabarazisë në sipërfaqe për afishim të materialeve propagandistike.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Vendimi i KQZ-së për korrigjimin e pabarazisë në sipërfaqen për afishimin e materialeve propagandistike duhet të realizohet nga njësia e qeverisjes vendore  përkatëse brenda 24 orëve nga marrja e tij.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                                                                                                   </w:t>
      </w: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5</w:t>
      </w:r>
    </w:p>
    <w:p w:rsidR="00477476" w:rsidRPr="00DC5A95" w:rsidRDefault="00477476" w:rsidP="0047747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Personat juridik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dhe fizik</w:t>
      </w:r>
      <w:r w:rsidRPr="00DC5A95">
        <w:rPr>
          <w:rFonts w:ascii="Times New Roman" w:hAnsi="Times New Roman"/>
          <w:sz w:val="21"/>
          <w:szCs w:val="21"/>
        </w:rPr>
        <w:t>ё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Personat juridikë apo fizikë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që ushtrojnë aktivitet në fushën e reklamave në vende publike në territorin e njësisë vendore përkatëse, janë të detyruar që të respektojnë parimet e barazisë në çmim për njësi sipërfaqeje dhe kohë ndërmjet subjekteve zgjedhore, në rast</w:t>
      </w:r>
      <w:r>
        <w:rPr>
          <w:sz w:val="21"/>
          <w:szCs w:val="21"/>
        </w:rPr>
        <w:t>in kur afishojnë materiale propa</w:t>
      </w:r>
      <w:r w:rsidRPr="00DC5A95">
        <w:rPr>
          <w:sz w:val="21"/>
          <w:szCs w:val="21"/>
        </w:rPr>
        <w:t>gandistike zgjedhore.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                                      </w:t>
      </w:r>
    </w:p>
    <w:p w:rsidR="00477476" w:rsidRPr="00DC5A95" w:rsidRDefault="00477476" w:rsidP="00477476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6</w:t>
      </w:r>
    </w:p>
    <w:p w:rsidR="00477476" w:rsidRPr="00DC5A95" w:rsidRDefault="00477476" w:rsidP="00477476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Sanksionet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rastet e kundërvajtjeve administrative, KQZ-ja vendos sanksionet administrative të parashikuara në Kodin Zgjedhor.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                                                  Neni 7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hyn në fuqi pas botimit në Fletoren Zyrtare.</w:t>
      </w:r>
    </w:p>
    <w:p w:rsidR="00477476" w:rsidRPr="00DC5A95" w:rsidRDefault="00477476" w:rsidP="00477476">
      <w:pPr>
        <w:pStyle w:val="Paragrafi0"/>
        <w:rPr>
          <w:sz w:val="21"/>
          <w:szCs w:val="21"/>
        </w:rPr>
      </w:pPr>
    </w:p>
    <w:p w:rsidR="00477476" w:rsidRPr="00DC5A95" w:rsidRDefault="00477476" w:rsidP="00477476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</w:t>
      </w:r>
      <w:r>
        <w:rPr>
          <w:sz w:val="21"/>
          <w:szCs w:val="21"/>
        </w:rPr>
        <w:t>I</w:t>
      </w:r>
    </w:p>
    <w:p w:rsidR="00477476" w:rsidRPr="00DC5A95" w:rsidRDefault="00477476" w:rsidP="00477476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Arben Ristani</w:t>
      </w:r>
    </w:p>
    <w:sectPr w:rsidR="00477476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747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77476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6E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170C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BE0828-380B-40C9-B41F-0F68BD2C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47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47747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7747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7747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