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22E" w:rsidRPr="00024D79" w:rsidRDefault="00B4022E" w:rsidP="00B4022E">
      <w:pPr>
        <w:pStyle w:val="Akti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>Udhëzim</w:t>
      </w:r>
    </w:p>
    <w:p w:rsidR="00B4022E" w:rsidRPr="00024D79" w:rsidRDefault="00B4022E" w:rsidP="00B4022E">
      <w:pPr>
        <w:pStyle w:val="NumriData"/>
        <w:rPr>
          <w:sz w:val="21"/>
          <w:szCs w:val="21"/>
        </w:rPr>
      </w:pPr>
      <w:r w:rsidRPr="00024D79">
        <w:rPr>
          <w:sz w:val="21"/>
          <w:szCs w:val="21"/>
        </w:rPr>
        <w:t>Nr.19, datë 9.6.2009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Titulli0"/>
        <w:rPr>
          <w:sz w:val="21"/>
          <w:szCs w:val="21"/>
        </w:rPr>
      </w:pPr>
      <w:r w:rsidRPr="00024D79">
        <w:rPr>
          <w:sz w:val="21"/>
          <w:szCs w:val="21"/>
        </w:rPr>
        <w:t>Për procedurën e hedhjes së shortit  për caktimin e anëtarit të tretë dhe të katërt të GNV-ve, për zgjedhjet për kuvend, të datës 28 qershor 2009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Komisioni Qendror i Zgjedhjeve, në mbështetje të nenit 21 pika 1, nenit 95, pika 2 dhe nenit 96 të ligjit nr.10019, datë 29.12.2008 “Kodi Zgjedhor i Republikës së Shqipërisë”,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VENDOSI0"/>
        <w:rPr>
          <w:sz w:val="21"/>
          <w:szCs w:val="21"/>
        </w:rPr>
      </w:pPr>
      <w:r w:rsidRPr="00024D79">
        <w:rPr>
          <w:sz w:val="21"/>
          <w:szCs w:val="21"/>
        </w:rPr>
        <w:t>Udhëzon: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1</w:t>
      </w:r>
    </w:p>
    <w:p w:rsidR="00B4022E" w:rsidRPr="00024D79" w:rsidRDefault="00B4022E" w:rsidP="00B4022E">
      <w:pPr>
        <w:pStyle w:val="NeniTitull"/>
        <w:rPr>
          <w:sz w:val="21"/>
          <w:szCs w:val="21"/>
        </w:rPr>
      </w:pPr>
      <w:r w:rsidRPr="00024D79">
        <w:rPr>
          <w:sz w:val="21"/>
          <w:szCs w:val="21"/>
        </w:rPr>
        <w:t>Qëllimi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udhëzim ka për qëllim të përcaktojë procedurat e organizimit të shortit, për caktimin e partive, të cilave u lind e drejta të propozojnë anëtarin e tretë dhe</w:t>
      </w:r>
      <w:r>
        <w:rPr>
          <w:sz w:val="21"/>
          <w:szCs w:val="21"/>
        </w:rPr>
        <w:t xml:space="preserve"> të katërt të grupeve të numëri</w:t>
      </w:r>
      <w:r w:rsidRPr="00024D79">
        <w:rPr>
          <w:sz w:val="21"/>
          <w:szCs w:val="21"/>
        </w:rPr>
        <w:t>mit të votave për çdo ZAZ.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2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 KQZ hedh short sipas procedurave të përcaktuara në këtë udhëzim për çdo ZAZ dhe merr vendim për caktimin e partive, të cilave u lind e drejta të propozojnë anëtarin e tretë dhe të katërt të GNV-ve në ZAZ-në përkatëse.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Përcaktimi i dalë nga shorti ka efekt për të gjitha grupet e numërimit brenda ZAZ-së përkatëse.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3. Data, vendi dhe ora e zhvillimit të shortit shpallet në hyrje të KQZ-së.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4. Hedhja e shortit organizohet në seancë publike.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3</w:t>
      </w:r>
    </w:p>
    <w:p w:rsidR="00B4022E" w:rsidRPr="00024D79" w:rsidRDefault="00B4022E" w:rsidP="00B4022E">
      <w:pPr>
        <w:pStyle w:val="NeniTitull"/>
        <w:rPr>
          <w:sz w:val="21"/>
          <w:szCs w:val="21"/>
        </w:rPr>
      </w:pPr>
      <w:r w:rsidRPr="00024D79">
        <w:rPr>
          <w:sz w:val="21"/>
          <w:szCs w:val="21"/>
        </w:rPr>
        <w:t>Partitë të cilat marrin pjesë në short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 Partitë pjesëmarrëse në short, janë të gjitha partitë parlamentare të cilat në zgjedhjet pararendëse për Kuvendin e Shqipërisë kanë fituar jo më pak se dy mandate dhe janë regjistruar në KQZ, për zgjedhjet për Kuvend, të datës 28 qershor 2009.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Nga ky short përjashtohen partitë, të cilave u ka lindur e drejta të propoz</w:t>
      </w:r>
      <w:r>
        <w:rPr>
          <w:sz w:val="21"/>
          <w:szCs w:val="21"/>
        </w:rPr>
        <w:t>ojnë kryetarin dhe zë</w:t>
      </w:r>
      <w:r w:rsidRPr="00024D79">
        <w:rPr>
          <w:sz w:val="21"/>
          <w:szCs w:val="21"/>
        </w:rPr>
        <w:t>vendëskryetarin e KZAZ-ve, respektivisht partia më e madhe e shumicës parlamentare dhe partia më e madhe e opozitës parlamentare.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4</w:t>
      </w:r>
    </w:p>
    <w:p w:rsidR="00B4022E" w:rsidRPr="00024D79" w:rsidRDefault="00B4022E" w:rsidP="00B4022E">
      <w:pPr>
        <w:pStyle w:val="NeniTitull"/>
        <w:rPr>
          <w:sz w:val="21"/>
          <w:szCs w:val="21"/>
        </w:rPr>
      </w:pPr>
      <w:r w:rsidRPr="00024D79">
        <w:rPr>
          <w:sz w:val="21"/>
          <w:szCs w:val="21"/>
        </w:rPr>
        <w:t>Anëtari i tretë dhe i katërt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 Shorti për anëtarin e tretë të GNV-ve, hidhet ndërmjet partive të shumicës parlamentare, të cilave u ka lindur e drejta të marrin pjesë në short.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Shorti për anëtarin e katërt të GNV-ve, hidhet ndërmjet partive të opozitës parlamentare, të cilave u ka lindur e drejta të marrin pjesë në short.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5</w:t>
      </w:r>
    </w:p>
    <w:p w:rsidR="00B4022E" w:rsidRPr="00024D79" w:rsidRDefault="00B4022E" w:rsidP="00B4022E">
      <w:pPr>
        <w:pStyle w:val="NeniTitull"/>
        <w:rPr>
          <w:sz w:val="21"/>
          <w:szCs w:val="21"/>
        </w:rPr>
      </w:pPr>
      <w:r w:rsidRPr="00024D79">
        <w:rPr>
          <w:sz w:val="21"/>
          <w:szCs w:val="21"/>
        </w:rPr>
        <w:t>Veprimet paraprake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 Në datën dhe në orën e caktuar për organizimin e shortit, sekretari i KQZ-së sigurohet paraprakisht për praninë e përfaqësuesve të partive politike, të cilave u ka lindur e drejta të marrin pjesë në short, sipas vendimit të KQZ-së dhe i fton ata të zënë vendet e caktuara.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Mosparaqitja e ndonjë prej përfaqësuesve të partive politike, nuk pezullon procedurat e shortit, KQZ, me vendim të ndërmjetëm, cakton një punonjës të administratës të tërheqë shortin për partinë politike, përfaqësuesi i së cilës nuk është prezent.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6</w:t>
      </w:r>
    </w:p>
    <w:p w:rsidR="00B4022E" w:rsidRPr="00024D79" w:rsidRDefault="00B4022E" w:rsidP="00B4022E">
      <w:pPr>
        <w:pStyle w:val="NeniTitull"/>
        <w:rPr>
          <w:sz w:val="21"/>
          <w:szCs w:val="21"/>
        </w:rPr>
      </w:pPr>
      <w:r w:rsidRPr="00024D79">
        <w:rPr>
          <w:sz w:val="21"/>
          <w:szCs w:val="21"/>
        </w:rPr>
        <w:t>Procedura e shortit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 Dy enë transparente, ku në njërën është vënë etiketa “Partia politike e cila tërheq shortin për anëtarin e tretë“ dhe në tjetrën “Partia Politike e cila tërheq shortin për anëtarin e katërt”, vendosen në një tavolinë, e cila shikohet qartë nga të gjithë anëtarët e KQZ-së, dhe përfaqësuesit e partive politike.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Dy enë të tjera transparente, ku në njerën është vënë etiketa “Anëtari i tretë i GNV-ve dhe në tjetrën “Anëtari i katërt i GNV-ve“, vendosen në një tavolinë, e cila shikohet qartë nga të gjithë anëtarët e KQZ-së dhe përfaqësuesit e partive politike.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3. Emri i çdo partie politike, së cilës i lind e drejta për të marrë pjesë në short, për anëtarin e tretë të GNV-ve shënohet në shirita letre dhe mbyllet në gogla të njëjta nga ngjyra dhe forma e jashtme dhe hidhen në enët transparente ku është shënuar “Patrtia politike, e cila tërheq shortin për anëtarin e tretë“ dhe “Anëtari i tretë i GNV-ve”.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4.</w:t>
      </w:r>
      <w:r>
        <w:rPr>
          <w:sz w:val="21"/>
          <w:szCs w:val="21"/>
        </w:rPr>
        <w:t xml:space="preserve"> </w:t>
      </w:r>
      <w:r w:rsidRPr="00024D79">
        <w:rPr>
          <w:sz w:val="21"/>
          <w:szCs w:val="21"/>
        </w:rPr>
        <w:t>Emri i çdo partie politike, së cilës i lind e drejta për të marrë pjesë në short, për anëtarin e katërt të GNV-ve shënohet në shirita letre dhe mbyllet në gogla të njëjta nga ngjyra dhe forma e jashtme dhe hidhet në enët transparente ku është shënuar “Partia politike e cila tërheq shortin për anëtarin e katërt” dhe “Anëtari i katërt i GNV-ve”.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5.</w:t>
      </w:r>
      <w:r>
        <w:rPr>
          <w:sz w:val="21"/>
          <w:szCs w:val="21"/>
        </w:rPr>
        <w:t xml:space="preserve"> </w:t>
      </w:r>
      <w:r w:rsidRPr="00024D79">
        <w:rPr>
          <w:sz w:val="21"/>
          <w:szCs w:val="21"/>
        </w:rPr>
        <w:t>Një përfaqësues i KQZ-së tërheq njërën nga goglat e hedhura në enët e para ku është shënuar “Partia politike, e cila tërh</w:t>
      </w:r>
      <w:r>
        <w:rPr>
          <w:sz w:val="21"/>
          <w:szCs w:val="21"/>
        </w:rPr>
        <w:t>eq shortin për anëtarin e tretë”</w:t>
      </w:r>
      <w:r w:rsidRPr="00024D79">
        <w:rPr>
          <w:sz w:val="21"/>
          <w:szCs w:val="21"/>
        </w:rPr>
        <w:t xml:space="preserve"> dhe “Partia politike, e cila tërheq shortin për anëtarin e katërt”.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6.</w:t>
      </w:r>
      <w:r>
        <w:rPr>
          <w:sz w:val="21"/>
          <w:szCs w:val="21"/>
        </w:rPr>
        <w:t xml:space="preserve"> </w:t>
      </w:r>
      <w:r w:rsidRPr="00024D79">
        <w:rPr>
          <w:sz w:val="21"/>
          <w:szCs w:val="21"/>
        </w:rPr>
        <w:t>Pas përcaktimit të bërë në këtë parashort, shiriti i letrës futet sërish në gogël dhe hidhet në enën nga ku u tërhoq.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7.</w:t>
      </w:r>
      <w:r>
        <w:rPr>
          <w:sz w:val="21"/>
          <w:szCs w:val="21"/>
        </w:rPr>
        <w:t xml:space="preserve"> </w:t>
      </w:r>
      <w:r w:rsidRPr="00024D79">
        <w:rPr>
          <w:sz w:val="21"/>
          <w:szCs w:val="21"/>
        </w:rPr>
        <w:t>Përfaqësuesi i partisë, emri i së cilës ndodhet në shiritin e letrës brenda goglës së tërhequr nga ena ku është shënuar “Partia politike, e cila tërheq shortin për anëtarin e tretë“, ka të drejtën të tërheqë short</w:t>
      </w:r>
      <w:r>
        <w:rPr>
          <w:sz w:val="21"/>
          <w:szCs w:val="21"/>
        </w:rPr>
        <w:t>in për anëtarin e tretë të GNV-</w:t>
      </w:r>
      <w:r w:rsidRPr="00024D79">
        <w:rPr>
          <w:sz w:val="21"/>
          <w:szCs w:val="21"/>
        </w:rPr>
        <w:t>ve në enën e dytë ku është shënuar “Anëtari i tretë i GNV-ve”.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 xml:space="preserve">8. Partia e cila fiton nga ky short, ka të drejtë të propozojë anëtarin e tretë të </w:t>
      </w:r>
      <w:r>
        <w:rPr>
          <w:sz w:val="21"/>
          <w:szCs w:val="21"/>
        </w:rPr>
        <w:t>grupeve të numëri</w:t>
      </w:r>
      <w:r w:rsidRPr="00024D79">
        <w:rPr>
          <w:sz w:val="21"/>
          <w:szCs w:val="21"/>
        </w:rPr>
        <w:t>mit të ZAZ-së përkatëse.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9.</w:t>
      </w:r>
      <w:r>
        <w:rPr>
          <w:sz w:val="21"/>
          <w:szCs w:val="21"/>
        </w:rPr>
        <w:t xml:space="preserve"> </w:t>
      </w:r>
      <w:r w:rsidRPr="00024D79">
        <w:rPr>
          <w:sz w:val="21"/>
          <w:szCs w:val="21"/>
        </w:rPr>
        <w:t>Përfaqësuesi i partisë, emri i së cilës ndodhet në shiritin e letrës brenda goglës së tërhequr nga ena ku është shënuar “Partia politike, e cila tërheq shortin për an</w:t>
      </w:r>
      <w:r>
        <w:rPr>
          <w:sz w:val="21"/>
          <w:szCs w:val="21"/>
        </w:rPr>
        <w:t>ëtarin e katërt” ka të drejtë ta</w:t>
      </w:r>
      <w:r w:rsidRPr="00024D79">
        <w:rPr>
          <w:sz w:val="21"/>
          <w:szCs w:val="21"/>
        </w:rPr>
        <w:t xml:space="preserve"> tërheqë shortin për anëtarin e katërt të GNV-ve në enën e dytë ku është shënuar “Anëtari i katërt i GNV-ve”.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10.</w:t>
      </w:r>
      <w:r>
        <w:rPr>
          <w:sz w:val="21"/>
          <w:szCs w:val="21"/>
        </w:rPr>
        <w:t xml:space="preserve"> </w:t>
      </w:r>
      <w:r w:rsidRPr="00024D79">
        <w:rPr>
          <w:sz w:val="21"/>
          <w:szCs w:val="21"/>
        </w:rPr>
        <w:t>Partia e cila fiton nga ky short, ka të drejtë të propozojë anëtarin e katërt të grupeve të numërimit të ZAZ-së përkatëse.</w:t>
      </w: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7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1.Punonjësi i administratës dhe përfaqësuesi i subjektit zgjedhor, pasi e hap goglën, ia dorëzon shiritin e letrës që gjendet brenda sa</w:t>
      </w:r>
      <w:r>
        <w:rPr>
          <w:sz w:val="21"/>
          <w:szCs w:val="21"/>
        </w:rPr>
        <w:t>j, sekretarit të KQZ-së, i cili e</w:t>
      </w:r>
      <w:r w:rsidRPr="00024D79">
        <w:rPr>
          <w:sz w:val="21"/>
          <w:szCs w:val="21"/>
        </w:rPr>
        <w:t xml:space="preserve"> lexon me zë të lartë dhe ua tregon të gjithë përfaqësuesve të subjekteve zgjedhore pjesëmarrëse në short.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2.Në rast se kërkohet nga anëtarët e KQZ-së apo nga çdo përfaqësues i partive politike, gogla e përdorur një herë mund të zëvendësohet me një gogël tjetër të papërdorur.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8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1. Procedura e hedhje</w:t>
      </w:r>
      <w:r w:rsidRPr="00024D79">
        <w:rPr>
          <w:sz w:val="21"/>
          <w:szCs w:val="21"/>
        </w:rPr>
        <w:t>s së shortit, përsëritet në të njëjtën mënyrë për të gjitha ZAZ-të.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Në p</w:t>
      </w:r>
      <w:r>
        <w:rPr>
          <w:sz w:val="21"/>
          <w:szCs w:val="21"/>
        </w:rPr>
        <w:t>ërfundim të procedurës së hedhje</w:t>
      </w:r>
      <w:r w:rsidRPr="00024D79">
        <w:rPr>
          <w:sz w:val="21"/>
          <w:szCs w:val="21"/>
        </w:rPr>
        <w:t>s së shortit, KQZ merr vendim për shpalljen e rezultatit të shortit për çdo ZAZ.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NeniNr"/>
        <w:rPr>
          <w:sz w:val="21"/>
          <w:szCs w:val="21"/>
        </w:rPr>
      </w:pPr>
      <w:r w:rsidRPr="00024D79">
        <w:rPr>
          <w:sz w:val="21"/>
          <w:szCs w:val="21"/>
        </w:rPr>
        <w:t>Neni 90</w:t>
      </w:r>
    </w:p>
    <w:p w:rsidR="00B4022E" w:rsidRPr="00024D79" w:rsidRDefault="00B4022E" w:rsidP="00B4022E">
      <w:pPr>
        <w:pStyle w:val="NeniTitull"/>
        <w:rPr>
          <w:sz w:val="21"/>
          <w:szCs w:val="21"/>
        </w:rPr>
      </w:pPr>
      <w:r w:rsidRPr="00024D79">
        <w:rPr>
          <w:sz w:val="21"/>
          <w:szCs w:val="21"/>
        </w:rPr>
        <w:t>Hyrja në fuqi</w:t>
      </w:r>
    </w:p>
    <w:p w:rsidR="00B4022E" w:rsidRPr="00024D79" w:rsidRDefault="00B4022E" w:rsidP="00B4022E">
      <w:pPr>
        <w:pStyle w:val="Paragrafi0"/>
        <w:rPr>
          <w:sz w:val="21"/>
          <w:szCs w:val="21"/>
        </w:rPr>
      </w:pPr>
    </w:p>
    <w:p w:rsidR="00B4022E" w:rsidRPr="00024D79" w:rsidRDefault="00B4022E" w:rsidP="00B4022E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udhëzim hyn në fuqi menjëherë.</w:t>
      </w:r>
    </w:p>
    <w:sectPr w:rsidR="00B4022E" w:rsidRPr="00024D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022E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22E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1526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505BEC-11B5-4414-BA70-46C5E027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B4022E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B402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4022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4022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