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F23" w:rsidRPr="00E8113C" w:rsidRDefault="005B2F23" w:rsidP="005B2F23">
      <w:pPr>
        <w:pStyle w:val="Akti"/>
        <w:rPr>
          <w:lang w:val="sq-AL"/>
        </w:rPr>
      </w:pPr>
      <w:r w:rsidRPr="00E8113C">
        <w:rPr>
          <w:lang w:val="sq-AL"/>
        </w:rPr>
        <w:t>UDHËZIM</w:t>
      </w:r>
    </w:p>
    <w:p w:rsidR="005B2F23" w:rsidRPr="00E8113C" w:rsidRDefault="005B2F23" w:rsidP="005B2F23">
      <w:pPr>
        <w:pStyle w:val="NumriData"/>
        <w:rPr>
          <w:lang w:val="sq-AL"/>
        </w:rPr>
      </w:pPr>
      <w:r w:rsidRPr="00E8113C">
        <w:rPr>
          <w:lang w:val="sq-AL"/>
        </w:rPr>
        <w:t>Nr. 4, datë 9.4.2015</w:t>
      </w:r>
    </w:p>
    <w:p w:rsidR="005B2F23" w:rsidRPr="003340CD" w:rsidRDefault="005B2F23" w:rsidP="005B2F23">
      <w:pPr>
        <w:pStyle w:val="Hapesira7"/>
        <w:rPr>
          <w:sz w:val="10"/>
          <w:lang w:val="sq-AL"/>
        </w:rPr>
      </w:pPr>
    </w:p>
    <w:p w:rsidR="005B2F23" w:rsidRPr="00E8113C" w:rsidRDefault="005B2F23" w:rsidP="005B2F23">
      <w:pPr>
        <w:pStyle w:val="Titulli"/>
        <w:rPr>
          <w:lang w:val="sq-AL"/>
        </w:rPr>
      </w:pPr>
      <w:r w:rsidRPr="00E8113C">
        <w:rPr>
          <w:lang w:val="sq-AL"/>
        </w:rPr>
        <w:t xml:space="preserve">PËR MËNYRËN E CAKTIMIT DHE ORGANIZIMIT TË VENDIT TË NUMËRIMIT TË VOTAVE, KRITERET PËR CAKTIMIN E NUMRIT TË GRUPEVE TË NUMËRIMIT PËR ÇDO VEND TË NUMËRIMIT TË VOTAVE, PËRCAKTIMIN E RREGULLAVE PËR NDARJEN E DETYRAVE MIDIS ANËTARËVE TË GRUPIT TË NUMËRIMIT </w:t>
      </w:r>
    </w:p>
    <w:p w:rsidR="005B2F23" w:rsidRPr="003340CD" w:rsidRDefault="005B2F23" w:rsidP="005B2F23">
      <w:pPr>
        <w:pStyle w:val="Hapesira7"/>
        <w:rPr>
          <w:sz w:val="10"/>
          <w:lang w:val="sq-AL"/>
        </w:rPr>
      </w:pPr>
    </w:p>
    <w:p w:rsidR="005B2F23" w:rsidRPr="00E8113C" w:rsidRDefault="005B2F23" w:rsidP="002C2C89">
      <w:pPr>
        <w:pStyle w:val="Paragrafi"/>
        <w:rPr>
          <w:lang w:val="sq-AL"/>
        </w:rPr>
      </w:pPr>
      <w:r w:rsidRPr="00E8113C">
        <w:rPr>
          <w:lang w:val="sq-AL"/>
        </w:rPr>
        <w:t>Komisioni Qendror i Zgjedhjeve, në mbështetje të nenit 23, pika 1, germa “b”</w:t>
      </w:r>
      <w:r>
        <w:rPr>
          <w:lang w:val="sq-AL"/>
        </w:rPr>
        <w:t>,</w:t>
      </w:r>
      <w:r w:rsidRPr="00E8113C">
        <w:rPr>
          <w:lang w:val="sq-AL"/>
        </w:rPr>
        <w:t xml:space="preserve"> nenit 93, nenit 94, nenit 95 dhe nenit 96</w:t>
      </w:r>
      <w:r>
        <w:rPr>
          <w:lang w:val="sq-AL"/>
        </w:rPr>
        <w:t>,</w:t>
      </w:r>
      <w:r w:rsidRPr="00E8113C">
        <w:rPr>
          <w:lang w:val="sq-AL"/>
        </w:rPr>
        <w:t xml:space="preserve"> të </w:t>
      </w:r>
      <w:r>
        <w:rPr>
          <w:lang w:val="sq-AL"/>
        </w:rPr>
        <w:t>l</w:t>
      </w:r>
      <w:r w:rsidRPr="00E8113C">
        <w:rPr>
          <w:lang w:val="sq-AL"/>
        </w:rPr>
        <w:t>igjit nr. 10019, datë 29.12.2008</w:t>
      </w:r>
      <w:r>
        <w:rPr>
          <w:lang w:val="sq-AL"/>
        </w:rPr>
        <w:t>,</w:t>
      </w:r>
      <w:r w:rsidRPr="00E8113C">
        <w:rPr>
          <w:lang w:val="sq-AL"/>
        </w:rPr>
        <w:t xml:space="preserve"> “Kodi Zgjedhor i Republikës së Shqipërisë”, i ndryshuar,</w:t>
      </w:r>
      <w:bookmarkStart w:id="0" w:name="_GoBack"/>
      <w:bookmarkEnd w:id="0"/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UDHËZON: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PJESA I</w:t>
      </w: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TË PËRGJITHSHME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Qëllimi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Ky </w:t>
      </w:r>
      <w:r>
        <w:rPr>
          <w:lang w:val="sq-AL"/>
        </w:rPr>
        <w:t>u</w:t>
      </w:r>
      <w:r w:rsidRPr="00E8113C">
        <w:rPr>
          <w:lang w:val="sq-AL"/>
        </w:rPr>
        <w:t xml:space="preserve">dhëzim ka për qëllim të detajojë rregulla për mënyrën e caktimit dhe </w:t>
      </w:r>
      <w:r>
        <w:rPr>
          <w:lang w:val="sq-AL"/>
        </w:rPr>
        <w:t xml:space="preserve">të </w:t>
      </w:r>
      <w:r w:rsidRPr="00E8113C">
        <w:rPr>
          <w:lang w:val="sq-AL"/>
        </w:rPr>
        <w:t>organizimit të vendit të numërimit të votave, kriteret për caktimin e numrit të grupeve të numërimit të votave për çdo vend të numërimit të votave, përcaktimin e rregullave</w:t>
      </w:r>
      <w:r>
        <w:rPr>
          <w:lang w:val="sq-AL"/>
        </w:rPr>
        <w:t xml:space="preserve"> </w:t>
      </w:r>
      <w:r w:rsidRPr="00E8113C">
        <w:rPr>
          <w:lang w:val="sq-AL"/>
        </w:rPr>
        <w:t>për ndarjen e detyrave midis anëtarëve të grupit të numërimit të votave.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 xml:space="preserve">Neni 2 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Parime të përgjithshme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Vendi i numërimit të votave (VNV) caktohet me vendim të KQZ-së, sipas k</w:t>
      </w:r>
      <w:r>
        <w:rPr>
          <w:lang w:val="sq-AL"/>
        </w:rPr>
        <w:t xml:space="preserve">ritereve të përcaktuara në nenet 93 dhe 94 të Kodit Zgjedhor </w:t>
      </w:r>
      <w:r w:rsidRPr="00E8113C">
        <w:rPr>
          <w:lang w:val="sq-AL"/>
        </w:rPr>
        <w:t xml:space="preserve">dhe përcaktimeve të këtij </w:t>
      </w:r>
      <w:r>
        <w:rPr>
          <w:lang w:val="sq-AL"/>
        </w:rPr>
        <w:t>u</w:t>
      </w:r>
      <w:r w:rsidRPr="00E8113C">
        <w:rPr>
          <w:lang w:val="sq-AL"/>
        </w:rPr>
        <w:t>dhëzimi.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2. Për numërimin e votave në rang ZAZ-je, nuk mund të caktohen më pak gjashtë dhe më shumë se njëzet grupe të numërimit të votave (GNV).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3. Numri i grupeve të numërimit të votave, të cilat angazhohen në të njëjtën kohë për numërimin e votave në VNV nuk mund të jetë më pak se tre dhe me shumë se dhjetë.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4. KZAZ-ja cakton me vendim numrin e GNV-ve që do të numërojnë votat në rang ZAZ-je. 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5. Anëtarët e GNV-së emërohen nga KZAZ-ja.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 xml:space="preserve">6. Çdo grup numërimi përbëhet nga numëruesi i parë, sekretari dhe 2 anëtarë. 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7. Një grup numërimi numëron jo më pak se 5 dhe jo më shumë se 10 qendra votimi.</w:t>
      </w:r>
    </w:p>
    <w:p w:rsidR="005B2F23" w:rsidRPr="003340CD" w:rsidRDefault="005B2F23" w:rsidP="005B2F23">
      <w:pPr>
        <w:pStyle w:val="Hapesira7"/>
        <w:rPr>
          <w:spacing w:val="-4"/>
          <w:lang w:val="sq-AL"/>
        </w:rPr>
      </w:pPr>
    </w:p>
    <w:p w:rsidR="005B2F23" w:rsidRPr="003340CD" w:rsidRDefault="005B2F23" w:rsidP="005B2F23">
      <w:pPr>
        <w:pStyle w:val="Vendosi"/>
        <w:rPr>
          <w:spacing w:val="-4"/>
          <w:lang w:val="sq-AL"/>
        </w:rPr>
      </w:pPr>
      <w:r w:rsidRPr="003340CD">
        <w:rPr>
          <w:spacing w:val="-4"/>
          <w:lang w:val="sq-AL"/>
        </w:rPr>
        <w:t>Pjesa II</w:t>
      </w:r>
    </w:p>
    <w:p w:rsidR="005B2F23" w:rsidRPr="003340CD" w:rsidRDefault="005B2F23" w:rsidP="005B2F23">
      <w:pPr>
        <w:pStyle w:val="Vendosi"/>
        <w:rPr>
          <w:spacing w:val="-4"/>
          <w:lang w:val="sq-AL"/>
        </w:rPr>
      </w:pPr>
      <w:r w:rsidRPr="003340CD">
        <w:rPr>
          <w:spacing w:val="-4"/>
          <w:lang w:val="sq-AL"/>
        </w:rPr>
        <w:t xml:space="preserve">CAKTIMI DHE ORGANIZIMI I VENDIT TË NUMËRIMIT TË VOTAVE </w:t>
      </w:r>
    </w:p>
    <w:p w:rsidR="005B2F23" w:rsidRPr="003340CD" w:rsidRDefault="005B2F23" w:rsidP="005B2F23">
      <w:pPr>
        <w:pStyle w:val="Hapesira7"/>
        <w:rPr>
          <w:spacing w:val="-4"/>
          <w:lang w:val="sq-AL"/>
        </w:rPr>
      </w:pPr>
    </w:p>
    <w:p w:rsidR="005B2F23" w:rsidRPr="003340CD" w:rsidRDefault="005B2F23" w:rsidP="005B2F23">
      <w:pPr>
        <w:pStyle w:val="NeniNr"/>
        <w:rPr>
          <w:spacing w:val="-4"/>
          <w:lang w:val="sq-AL"/>
        </w:rPr>
      </w:pPr>
      <w:r w:rsidRPr="003340CD">
        <w:rPr>
          <w:spacing w:val="-4"/>
          <w:lang w:val="sq-AL"/>
        </w:rPr>
        <w:t>Neni 3</w:t>
      </w:r>
    </w:p>
    <w:p w:rsidR="005B2F23" w:rsidRPr="003340CD" w:rsidRDefault="005B2F23" w:rsidP="005B2F23">
      <w:pPr>
        <w:pStyle w:val="NeniTitull"/>
        <w:rPr>
          <w:spacing w:val="-4"/>
          <w:lang w:val="sq-AL"/>
        </w:rPr>
      </w:pPr>
      <w:r w:rsidRPr="003340CD">
        <w:rPr>
          <w:spacing w:val="-4"/>
          <w:lang w:val="sq-AL"/>
        </w:rPr>
        <w:t>Vendndodhja e VNV-së</w:t>
      </w:r>
    </w:p>
    <w:p w:rsidR="005B2F23" w:rsidRPr="003340CD" w:rsidRDefault="005B2F23" w:rsidP="005B2F23">
      <w:pPr>
        <w:pStyle w:val="Hapesira7"/>
        <w:rPr>
          <w:spacing w:val="-4"/>
          <w:lang w:val="sq-AL"/>
        </w:rPr>
      </w:pP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1. Vendndodhja e VNV-së caktohet me vendim të KQZ-së, jo më vonë se 40 ditë nga data e zgjedhjeve dhe vendoset menjëherë në dispozicion të KQZ-së për instalimin e teknologjisë mbështetëse të numërimit të votave.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2. KQZ-ja, për caktimin e vendit të numërimit të votave, mund të përzgjedhë bashkinë qendër qarku, pavarësisht nëse ndodhet jashtë juridiksionit territorial të ZAZ-së ose bashkinë brenda territorit të ZAZ-së, apo edhe në njësinë më të madhe administrative, nëse bashkitë nuk i plotësojnë kushtet e parashikuara në nenin 93 të Kodit Zgjedhor dhe nenin 4 të këtij udhëzimi.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 xml:space="preserve">3. Në përzgjedhjen e VNV-së merren parasysh: përparësitë logjistike të transportit rrugor, distancat nga qendrat e votimit, hapësira që ofron ambienti, si dhe mundësitë për aplikimin e teknologjisë mbështetëse për numërimin e votave. </w:t>
      </w:r>
    </w:p>
    <w:p w:rsidR="005B2F23" w:rsidRPr="003340CD" w:rsidRDefault="005B2F23" w:rsidP="005B2F23">
      <w:pPr>
        <w:pStyle w:val="Hapesira7"/>
        <w:rPr>
          <w:spacing w:val="-4"/>
          <w:lang w:val="sq-AL"/>
        </w:rPr>
      </w:pPr>
    </w:p>
    <w:p w:rsidR="005B2F23" w:rsidRPr="003340CD" w:rsidRDefault="005B2F23" w:rsidP="005B2F23">
      <w:pPr>
        <w:pStyle w:val="NeniNr"/>
        <w:rPr>
          <w:spacing w:val="-4"/>
          <w:lang w:val="sq-AL"/>
        </w:rPr>
      </w:pPr>
      <w:r w:rsidRPr="003340CD">
        <w:rPr>
          <w:spacing w:val="-4"/>
          <w:lang w:val="sq-AL"/>
        </w:rPr>
        <w:t>Neni 4</w:t>
      </w:r>
    </w:p>
    <w:p w:rsidR="005B2F23" w:rsidRPr="003340CD" w:rsidRDefault="005B2F23" w:rsidP="005B2F23">
      <w:pPr>
        <w:pStyle w:val="NeniTitull"/>
        <w:rPr>
          <w:spacing w:val="-4"/>
          <w:lang w:val="sq-AL"/>
        </w:rPr>
      </w:pPr>
      <w:r w:rsidRPr="003340CD">
        <w:rPr>
          <w:spacing w:val="-4"/>
          <w:lang w:val="sq-AL"/>
        </w:rPr>
        <w:t>Kritere teknike të VNV-së</w:t>
      </w:r>
    </w:p>
    <w:p w:rsidR="005B2F23" w:rsidRPr="003340CD" w:rsidRDefault="005B2F23" w:rsidP="005B2F23">
      <w:pPr>
        <w:pStyle w:val="Hapesira7"/>
        <w:rPr>
          <w:spacing w:val="-4"/>
          <w:lang w:val="sq-AL"/>
        </w:rPr>
      </w:pP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1. Për zonat e administrimit zgjedhor, të cilat kanë në përbërje të tyre deri në 30 qendra votimi, sipërfaqja e ambientit të VNV-së, si rregull, duhet të jetë jo më e vogël se 120 m</w:t>
      </w:r>
      <w:r w:rsidRPr="003340CD">
        <w:rPr>
          <w:spacing w:val="-4"/>
          <w:vertAlign w:val="superscript"/>
          <w:lang w:val="sq-AL"/>
        </w:rPr>
        <w:t>2</w:t>
      </w:r>
      <w:r w:rsidRPr="003340CD">
        <w:rPr>
          <w:spacing w:val="-4"/>
          <w:lang w:val="sq-AL"/>
        </w:rPr>
        <w:t>.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t>2. Për zonat e administrimit zgjedhor, të cilat kanë në përbërje të tyre deri në 50 qendra votimi, sipërfaqja e ambientit të VNV-së, si rregull, duhet të jetë jo më e vogël se 150 m</w:t>
      </w:r>
      <w:r w:rsidRPr="003340CD">
        <w:rPr>
          <w:spacing w:val="-4"/>
          <w:vertAlign w:val="superscript"/>
          <w:lang w:val="sq-AL"/>
        </w:rPr>
        <w:t>2</w:t>
      </w:r>
      <w:r w:rsidRPr="003340CD">
        <w:rPr>
          <w:spacing w:val="-4"/>
          <w:lang w:val="sq-AL"/>
        </w:rPr>
        <w:t>.</w:t>
      </w:r>
    </w:p>
    <w:p w:rsidR="005B2F23" w:rsidRPr="003340CD" w:rsidRDefault="005B2F23" w:rsidP="005B2F23">
      <w:pPr>
        <w:pStyle w:val="Paragrafi"/>
        <w:rPr>
          <w:spacing w:val="-4"/>
          <w:lang w:val="sq-AL"/>
        </w:rPr>
      </w:pPr>
      <w:r w:rsidRPr="003340CD">
        <w:rPr>
          <w:spacing w:val="-4"/>
          <w:lang w:val="sq-AL"/>
        </w:rPr>
        <w:lastRenderedPageBreak/>
        <w:t>3. Për zonat e administrimit zgjedhor, të cilat kanë në përbërje të tyre deri në 80 qendra votimi, sipërfaqja e ambientit të VNV-së, si rregull, duhet të jetë jo më e vogël se 200 m</w:t>
      </w:r>
      <w:r w:rsidRPr="003340CD">
        <w:rPr>
          <w:spacing w:val="-4"/>
          <w:vertAlign w:val="superscript"/>
          <w:lang w:val="sq-AL"/>
        </w:rPr>
        <w:t>2</w:t>
      </w:r>
      <w:r w:rsidRPr="003340CD">
        <w:rPr>
          <w:spacing w:val="-4"/>
          <w:lang w:val="sq-AL"/>
        </w:rPr>
        <w:t>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3340CD">
        <w:rPr>
          <w:spacing w:val="-4"/>
          <w:lang w:val="sq-AL"/>
        </w:rPr>
        <w:t>4. Për zonat e administrimit zgjedhor, të cilat kanë në përbërje të tyre mbi 80 qendra votimi, sipërfaqja e ambientit të VNV-së, si rregull,</w:t>
      </w:r>
      <w:r w:rsidRPr="00E8113C">
        <w:rPr>
          <w:lang w:val="sq-AL"/>
        </w:rPr>
        <w:t xml:space="preserve"> duhet të jetë jo më e vogël se 300 m</w:t>
      </w:r>
      <w:r w:rsidRPr="00D20E83">
        <w:rPr>
          <w:vertAlign w:val="superscript"/>
          <w:lang w:val="sq-AL"/>
        </w:rPr>
        <w:t>2</w:t>
      </w:r>
      <w:r w:rsidRPr="00E8113C">
        <w:rPr>
          <w:lang w:val="sq-AL"/>
        </w:rPr>
        <w:t>.</w:t>
      </w:r>
    </w:p>
    <w:p w:rsidR="005B2F23" w:rsidRDefault="005B2F23" w:rsidP="005B2F23">
      <w:pPr>
        <w:pStyle w:val="Paragrafi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5. Të ketë sistem të siguruar e të pandërprerë ndriçimi dhe energji elektrike</w:t>
      </w:r>
      <w:r>
        <w:rPr>
          <w:lang w:val="sq-AL"/>
        </w:rPr>
        <w:t>,</w:t>
      </w:r>
      <w:r w:rsidRPr="00E8113C">
        <w:rPr>
          <w:lang w:val="sq-AL"/>
        </w:rPr>
        <w:t xml:space="preserve"> si në mjediset e brendshme ashtu edhe përreth godinës,</w:t>
      </w:r>
      <w:r>
        <w:rPr>
          <w:lang w:val="sq-AL"/>
        </w:rPr>
        <w:t xml:space="preserve"> </w:t>
      </w:r>
      <w:r w:rsidRPr="00E8113C">
        <w:rPr>
          <w:lang w:val="sq-AL"/>
        </w:rPr>
        <w:t>të mjaftueshme për të suportuar teknologjinë mbës</w:t>
      </w:r>
      <w:r>
        <w:rPr>
          <w:lang w:val="sq-AL"/>
        </w:rPr>
        <w:t>htetëse të numërimit të votave.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6. Të ofrojë mundësitë e instalimit të teknologjisë mbështetëse për numërimin e votave.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7. Të ketë, për aq sa është e mundur, më shumë se një derë komunikuese me mjedisin e jashtëm.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8. Të jetë e paji</w:t>
      </w:r>
      <w:r>
        <w:rPr>
          <w:lang w:val="sq-AL"/>
        </w:rPr>
        <w:t>sur me mjete të mbrojtjes kundër</w:t>
      </w:r>
      <w:r w:rsidRPr="00E8113C">
        <w:rPr>
          <w:lang w:val="sq-AL"/>
        </w:rPr>
        <w:t xml:space="preserve"> zjarrit</w:t>
      </w:r>
      <w:r>
        <w:rPr>
          <w:lang w:val="sq-AL"/>
        </w:rPr>
        <w:t>,</w:t>
      </w:r>
      <w:r w:rsidRPr="00E8113C">
        <w:rPr>
          <w:lang w:val="sq-AL"/>
        </w:rPr>
        <w:t xml:space="preserve"> si dhe të ndihmës së shpejtë.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5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Organizimi i vendit të numërimit të votave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KQZ-ja, në bashkëpunim me organet e e tjera qendrore ose vendore, siguron pajisjet e nevojshme logjistike</w:t>
      </w:r>
      <w:r>
        <w:rPr>
          <w:lang w:val="sq-AL"/>
        </w:rPr>
        <w:t>,</w:t>
      </w:r>
      <w:r w:rsidRPr="00E8113C">
        <w:rPr>
          <w:lang w:val="sq-AL"/>
        </w:rPr>
        <w:t xml:space="preserve"> përfshirë edhe ndriçimin e pandërprerë, për fillimin dhe mbarëvajtjen e</w:t>
      </w:r>
      <w:r>
        <w:rPr>
          <w:lang w:val="sq-AL"/>
        </w:rPr>
        <w:t xml:space="preserve"> </w:t>
      </w:r>
      <w:r w:rsidRPr="00E8113C">
        <w:rPr>
          <w:lang w:val="sq-AL"/>
        </w:rPr>
        <w:t>procesit të numërimit të votave.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2. Menjëherë me marrjen në dorëzim nga KQZ-ja të VNV-së, KZAZ-ja në bashkëpunim me organet e qeverisjes vendore, merr masa për krijimin e kushteve të përshtatshme për instalimin e teknologjisë mbështetëse të numërimit të votave.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3. Vendet e numërimit të votave vihen në dispozicion të KZAZ-ve jo më vonë se dhjetë ditë para datës së zgjedhjeve</w:t>
      </w:r>
      <w:r>
        <w:rPr>
          <w:lang w:val="sq-AL"/>
        </w:rPr>
        <w:t>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4. KZAZ-ja organizon dhe përgatit vendin e numërimit të votave</w:t>
      </w:r>
      <w:r>
        <w:rPr>
          <w:lang w:val="sq-AL"/>
        </w:rPr>
        <w:t>,</w:t>
      </w:r>
      <w:r w:rsidRPr="00E8113C">
        <w:rPr>
          <w:lang w:val="sq-AL"/>
        </w:rPr>
        <w:t xml:space="preserve"> në mënyrë të tillë që të garantojë zhvillimin normal të punës për numërimin e votave, sipas planvendosjes tip</w:t>
      </w:r>
      <w:r>
        <w:rPr>
          <w:lang w:val="sq-AL"/>
        </w:rPr>
        <w:t>,</w:t>
      </w:r>
      <w:r w:rsidRPr="00E8113C">
        <w:rPr>
          <w:lang w:val="sq-AL"/>
        </w:rPr>
        <w:t xml:space="preserve"> bashkëlidhur këtij udhëzimi.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5. Për çdo grup numërimi vendosen tryeza pune</w:t>
      </w:r>
      <w:r>
        <w:rPr>
          <w:lang w:val="sq-AL"/>
        </w:rPr>
        <w:t>,</w:t>
      </w:r>
      <w:r w:rsidRPr="00E8113C">
        <w:rPr>
          <w:lang w:val="sq-AL"/>
        </w:rPr>
        <w:t xml:space="preserve"> duke siguruar që ato të kenë hapësirë të mjaftueshme për kryerjen e procesit të numërimit të votave.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6. KZAZ-ja organizon hapësirën e VNV-së</w:t>
      </w:r>
      <w:r>
        <w:rPr>
          <w:lang w:val="sq-AL"/>
        </w:rPr>
        <w:t>,</w:t>
      </w:r>
      <w:r w:rsidRPr="00E8113C">
        <w:rPr>
          <w:lang w:val="sq-AL"/>
        </w:rPr>
        <w:t xml:space="preserve"> në mënyrë të tillë që: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a) hapësirat ku kryhet numërimi i votave të jenë të mjaftueshme dhe të ndara qartë nga hapësirat për vëzhguesit, kandidatët dhe mediat;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tavolinat e numërimit</w:t>
      </w:r>
      <w:r>
        <w:rPr>
          <w:lang w:val="sq-AL"/>
        </w:rPr>
        <w:t xml:space="preserve"> </w:t>
      </w:r>
      <w:r w:rsidRPr="00E8113C">
        <w:rPr>
          <w:lang w:val="sq-AL"/>
        </w:rPr>
        <w:t>të jenë të shikueshme nga anëtarët e KZAZ-së, vëzhguesit, kandidatët dhe përfaqësuesit e medias;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c) hapësira ku do të qëndrojnë vëzhguesit të jetë përballë dhe në largësi të vogël nga hapësira ku do të vendosen tavolinat e numërimit ose nga monitorët kur përdoret teknologjia mbështetëse për numërimin e votave.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7. Në asnjë rast dhe për asnjë arsye</w:t>
      </w:r>
      <w:r>
        <w:rPr>
          <w:lang w:val="sq-AL"/>
        </w:rPr>
        <w:t xml:space="preserve"> </w:t>
      </w:r>
      <w:r w:rsidRPr="00E8113C">
        <w:rPr>
          <w:lang w:val="sq-AL"/>
        </w:rPr>
        <w:t>nuk duhet c</w:t>
      </w:r>
      <w:r>
        <w:rPr>
          <w:lang w:val="sq-AL"/>
        </w:rPr>
        <w:t>e</w:t>
      </w:r>
      <w:r w:rsidRPr="00E8113C">
        <w:rPr>
          <w:lang w:val="sq-AL"/>
        </w:rPr>
        <w:t>nuar mundësia e vëzhguesve për të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ndjekur nga afër procesin e numërimit dhe shfaqjen e fletëve të votimit në monitorët e vendosur, për këtë qëllim.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8. Organizimi fizik i hapësirës në dispozicion të çdo grupi numërimi duhet të bëhet në mënyrë të tillë që: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a) </w:t>
      </w:r>
      <w:r>
        <w:rPr>
          <w:lang w:val="sq-AL"/>
        </w:rPr>
        <w:t>t</w:t>
      </w:r>
      <w:r w:rsidRPr="00E8113C">
        <w:rPr>
          <w:lang w:val="sq-AL"/>
        </w:rPr>
        <w:t>ryeza e punës ku do të kryhet numërimi i votave të ketë hapësirë të mjaftueshme për kryerjen e procesit të numërimit të votave;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>b) të mundësoj</w:t>
      </w:r>
      <w:r w:rsidRPr="00E8113C">
        <w:rPr>
          <w:lang w:val="sq-AL"/>
        </w:rPr>
        <w:t>ë aplikimin e teknologjisë mbështetëse;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c) </w:t>
      </w:r>
      <w:r>
        <w:rPr>
          <w:lang w:val="sq-AL"/>
        </w:rPr>
        <w:t>t</w:t>
      </w:r>
      <w:r w:rsidRPr="00E8113C">
        <w:rPr>
          <w:lang w:val="sq-AL"/>
        </w:rPr>
        <w:t>ë pengojë kontaktin fizik të personave të tjerë të pranishëm në VNV me materialet e votimit.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9. Jo më vonë se pesë ditë para ditës së zgjedhjeve, bëhet rregullimi përfundimtar i VNV-së, sipas planvendosjes orientuese bashkëlidhur këtij udhëzimi, si dhe vendosen pajisjet logjistike të nevojshme për kryerjen e procesit të numërimit, si më poshtë: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tavolina pune dhe 8 karrige për KZAZ-në;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tavolinë pune me 2 karrige për ndihmësit teknik</w:t>
      </w:r>
      <w:r>
        <w:rPr>
          <w:lang w:val="sq-AL"/>
        </w:rPr>
        <w:t>ë</w:t>
      </w:r>
      <w:r w:rsidRPr="00E8113C"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c) dyshe tavolinash (vendosen sipas shpjegimit në skemën orientuese) me nga katër karrige për çdo tavolinë numërimi të votave;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d) kompjuter, printer, fotokopje, skaner</w:t>
      </w:r>
      <w:r>
        <w:rPr>
          <w:lang w:val="sq-AL"/>
        </w:rPr>
        <w:t xml:space="preserve"> </w:t>
      </w:r>
      <w:r w:rsidRPr="00E8113C">
        <w:rPr>
          <w:lang w:val="sq-AL"/>
        </w:rPr>
        <w:t>dhe telefon/fax për KZAZ-në;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e) monitor</w:t>
      </w:r>
      <w:r>
        <w:rPr>
          <w:lang w:val="sq-AL"/>
        </w:rPr>
        <w:t>ë</w:t>
      </w:r>
      <w:r w:rsidRPr="00E8113C">
        <w:rPr>
          <w:lang w:val="sq-AL"/>
        </w:rPr>
        <w:t>t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f) kamerat regjistruese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 xml:space="preserve">g) </w:t>
      </w:r>
      <w:r w:rsidRPr="00E8113C">
        <w:rPr>
          <w:lang w:val="sq-AL"/>
        </w:rPr>
        <w:t>struktura ndarëse të hapësirës së vëzhguesve, kandidatëve dhe mediave me hapësirën për numërimin e votave;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h) tabelat treguese të dërguara nga KQZ</w:t>
      </w:r>
      <w:r>
        <w:rPr>
          <w:lang w:val="sq-AL"/>
        </w:rPr>
        <w:t>-ja</w:t>
      </w:r>
      <w:r w:rsidRPr="00E8113C"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lastRenderedPageBreak/>
        <w:t>i) tabelat treguese për drejtimin e lëvizjes në mjediset e brendshme të VNV</w:t>
      </w:r>
      <w:r>
        <w:rPr>
          <w:lang w:val="sq-AL"/>
        </w:rPr>
        <w:t>-së</w:t>
      </w:r>
      <w:r w:rsidRPr="00E8113C">
        <w:rPr>
          <w:lang w:val="sq-AL"/>
        </w:rPr>
        <w:t>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10.</w:t>
      </w:r>
      <w:r>
        <w:rPr>
          <w:lang w:val="sq-AL"/>
        </w:rPr>
        <w:t xml:space="preserve"> </w:t>
      </w:r>
      <w:r w:rsidRPr="00E8113C">
        <w:rPr>
          <w:lang w:val="sq-AL"/>
        </w:rPr>
        <w:t>Në çdo rast</w:t>
      </w:r>
      <w:r>
        <w:rPr>
          <w:lang w:val="sq-AL"/>
        </w:rPr>
        <w:t>,</w:t>
      </w:r>
      <w:r w:rsidRPr="00E8113C">
        <w:rPr>
          <w:lang w:val="sq-AL"/>
        </w:rPr>
        <w:t xml:space="preserve"> organi që administron objektin ku është vendosur VNV-ja merr masa për sigurimin e pajisjeve logjistike</w:t>
      </w:r>
      <w:r>
        <w:rPr>
          <w:lang w:val="sq-AL"/>
        </w:rPr>
        <w:t>,</w:t>
      </w:r>
      <w:r w:rsidRPr="00E8113C">
        <w:rPr>
          <w:lang w:val="sq-AL"/>
        </w:rPr>
        <w:t xml:space="preserve"> të parashikuara në </w:t>
      </w:r>
      <w:r>
        <w:rPr>
          <w:lang w:val="sq-AL"/>
        </w:rPr>
        <w:t>germ</w:t>
      </w:r>
      <w:r w:rsidRPr="00E8113C">
        <w:rPr>
          <w:lang w:val="sq-AL"/>
        </w:rPr>
        <w:t xml:space="preserve">at </w:t>
      </w:r>
      <w:r>
        <w:rPr>
          <w:lang w:val="sq-AL"/>
        </w:rPr>
        <w:t>“</w:t>
      </w:r>
      <w:r w:rsidRPr="00E8113C">
        <w:rPr>
          <w:lang w:val="sq-AL"/>
        </w:rPr>
        <w:t>a</w:t>
      </w:r>
      <w:r>
        <w:rPr>
          <w:lang w:val="sq-AL"/>
        </w:rPr>
        <w:t>”</w:t>
      </w:r>
      <w:r w:rsidRPr="00E8113C">
        <w:rPr>
          <w:lang w:val="sq-AL"/>
        </w:rPr>
        <w:t xml:space="preserve">, </w:t>
      </w:r>
      <w:r>
        <w:rPr>
          <w:lang w:val="sq-AL"/>
        </w:rPr>
        <w:t>“</w:t>
      </w:r>
      <w:r w:rsidRPr="00E8113C">
        <w:rPr>
          <w:lang w:val="sq-AL"/>
        </w:rPr>
        <w:t>b</w:t>
      </w:r>
      <w:r>
        <w:rPr>
          <w:lang w:val="sq-AL"/>
        </w:rPr>
        <w:t>”</w:t>
      </w:r>
      <w:r w:rsidRPr="00E8113C">
        <w:rPr>
          <w:lang w:val="sq-AL"/>
        </w:rPr>
        <w:t xml:space="preserve"> dhe </w:t>
      </w:r>
      <w:r>
        <w:rPr>
          <w:lang w:val="sq-AL"/>
        </w:rPr>
        <w:t>“</w:t>
      </w:r>
      <w:r w:rsidRPr="00E8113C">
        <w:rPr>
          <w:lang w:val="sq-AL"/>
        </w:rPr>
        <w:t>c</w:t>
      </w:r>
      <w:r>
        <w:rPr>
          <w:lang w:val="sq-AL"/>
        </w:rPr>
        <w:t>”,</w:t>
      </w:r>
      <w:r w:rsidRPr="00E8113C">
        <w:rPr>
          <w:lang w:val="sq-AL"/>
        </w:rPr>
        <w:t xml:space="preserve"> të pikës 9</w:t>
      </w:r>
      <w:r>
        <w:rPr>
          <w:lang w:val="sq-AL"/>
        </w:rPr>
        <w:t>,</w:t>
      </w:r>
      <w:r w:rsidRPr="00E8113C">
        <w:rPr>
          <w:lang w:val="sq-AL"/>
        </w:rPr>
        <w:t xml:space="preserve"> të këtij neni.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 11. KZAZ-ja, jo më vonë se pesë ditë para datës së zgjedhjeve, fton për njohje të vendit të numërimit të votave subjektet zgjedhore dhe anëtarët e KQV-ve.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Pjesa III</w:t>
      </w: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NGRITJA E GRUPEVE TË NUMËRIMIT TË VOTAVE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6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 xml:space="preserve">Kriteret për caktimin e tavolinave të numërimit dhe numrit të grupeve të numërimit të votave 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Në zonat e administrimit zgjedhor, të cilat kanë deri në 30 qendra votimi, KZAZ-ja vendos tr</w:t>
      </w:r>
      <w:r>
        <w:rPr>
          <w:lang w:val="sq-AL"/>
        </w:rPr>
        <w:t>i</w:t>
      </w:r>
      <w:r w:rsidRPr="00E8113C">
        <w:rPr>
          <w:lang w:val="sq-AL"/>
        </w:rPr>
        <w:t xml:space="preserve"> tavolina të numërimit të votave dhe cakton ngritjen e gjashtë grupeve të numërimit të </w:t>
      </w:r>
      <w:r>
        <w:rPr>
          <w:lang w:val="sq-AL"/>
        </w:rPr>
        <w:t>v</w:t>
      </w:r>
      <w:r w:rsidRPr="00E8113C">
        <w:rPr>
          <w:lang w:val="sq-AL"/>
        </w:rPr>
        <w:t xml:space="preserve">otave.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2. Në zonat e administrimit zgjedhor, të cilat kanë nga 31 deri në 50 qendra votimi, KZAZ-ja vendos katër tavolina të numërimit të votave dhe cakton ngritjen e tetë grupeve të numërimit të votave.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3. Në zonat e administrimit zgjedhor, të cilat kanë nga 51 deri</w:t>
      </w:r>
      <w:r w:rsidRPr="00F77403">
        <w:rPr>
          <w:lang w:val="sq-AL"/>
        </w:rPr>
        <w:t xml:space="preserve"> </w:t>
      </w:r>
      <w:r w:rsidRPr="00E8113C">
        <w:rPr>
          <w:lang w:val="sq-AL"/>
        </w:rPr>
        <w:t>në 80 qendra votimi, KZAZ-ja vendos</w:t>
      </w:r>
      <w:r>
        <w:rPr>
          <w:lang w:val="sq-AL"/>
        </w:rPr>
        <w:t xml:space="preserve"> </w:t>
      </w:r>
      <w:r w:rsidRPr="00E8113C">
        <w:rPr>
          <w:lang w:val="sq-AL"/>
        </w:rPr>
        <w:t>pesë tavolina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të numërimit të votave dhe cakton ngritjen e dhjetë grupeve të numërimit.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4. Në zonat e administrimit zgjedhor, të cilat kanë nga 81 deri në 100 qendra votimi, KZAZ-ja vendos gjashtë tavolina të numërimit të votave dhe cakton ngritjen e dymbëdhjetë grupeve të numërimit.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5. Në zonat e administrimit zgjedhor, të cilat kanë nga 101 deri në 115 qendra votimi, KZAZ-ja vendos shtatë tavolina të numërimit të votave dhe cakton ngritjen e katërmbëdhjetë grupeve të numërimit.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6. Në zonat e administrimit zgjedhor, të cilat kanë nga 116 deri në 130 qendra votimi, KZAZ-ja vendos tetë tavolina të numërimit të votave dhe cakton ngritjen e gjashtëmbëdhjetë grupeve të numërimit.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7. Në zonat e administrimit zgjedhor, të cilat kanë nga 131 deri në 140 qendra votimi, KZAZ-ja vendos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nëntë tavolina të numërimit të votave dhe cakton ngritjen e tetëmbëdhjetë grupeve të numërimit.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8. Në zonat e administrimit zgjedhor, të cilat kanë mbi 140 qendra votimi,</w:t>
      </w:r>
      <w:r>
        <w:rPr>
          <w:lang w:val="sq-AL"/>
        </w:rPr>
        <w:t xml:space="preserve"> </w:t>
      </w:r>
      <w:r w:rsidRPr="00E8113C">
        <w:rPr>
          <w:lang w:val="sq-AL"/>
        </w:rPr>
        <w:t>KZAZ -ja vendos</w:t>
      </w:r>
      <w:r>
        <w:rPr>
          <w:lang w:val="sq-AL"/>
        </w:rPr>
        <w:t xml:space="preserve"> </w:t>
      </w:r>
      <w:r w:rsidRPr="00E8113C">
        <w:rPr>
          <w:lang w:val="sq-AL"/>
        </w:rPr>
        <w:t>dhjetë tavolina të numërimit të votave dhe cakton ngritjen e njëzet grupeve të numërimit.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9. Grupet e numërimit të votave janë 2 për çdo tavolinë numërimi.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10. Tavolinat e numërimit të votave numërtohen nga KZAZ-ja në rend rritës. </w:t>
      </w:r>
    </w:p>
    <w:p w:rsidR="005B2F23" w:rsidRPr="00E8113C" w:rsidRDefault="005B2F23" w:rsidP="005B2F23">
      <w:pPr>
        <w:pStyle w:val="Paragrafi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7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Caktimi i numrit të grupeve të numërimit të votave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KZAZ-ja</w:t>
      </w:r>
      <w:r>
        <w:rPr>
          <w:lang w:val="sq-AL"/>
        </w:rPr>
        <w:t>,</w:t>
      </w:r>
      <w:r w:rsidRPr="00E8113C">
        <w:rPr>
          <w:lang w:val="sq-AL"/>
        </w:rPr>
        <w:t xml:space="preserve"> jo më vonë se 15 ditë para ditës së votimit</w:t>
      </w:r>
      <w:r>
        <w:rPr>
          <w:lang w:val="sq-AL"/>
        </w:rPr>
        <w:t>,</w:t>
      </w:r>
      <w:r w:rsidRPr="00E8113C">
        <w:rPr>
          <w:lang w:val="sq-AL"/>
        </w:rPr>
        <w:t xml:space="preserve"> cakton me vendim numrin e grupeve të numërimit të votave që do të numërojnë votat në rang ZAZ-je. Për caktimin e numrit të GNV-ve, KZAZ-ja përdor </w:t>
      </w:r>
      <w:r>
        <w:rPr>
          <w:lang w:val="sq-AL"/>
        </w:rPr>
        <w:t xml:space="preserve">modelin </w:t>
      </w:r>
      <w:r w:rsidRPr="00E8113C">
        <w:rPr>
          <w:lang w:val="sq-AL"/>
        </w:rPr>
        <w:t>tip të miratuar me vendim të KQZ-së.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2. KZAZ-ja i numërton GNV-të me numër rendor rritës. Numri i fundit rendor është gjithmonë</w:t>
      </w:r>
      <w:r>
        <w:rPr>
          <w:lang w:val="sq-AL"/>
        </w:rPr>
        <w:t xml:space="preserve"> </w:t>
      </w:r>
      <w:r w:rsidRPr="00E8113C">
        <w:rPr>
          <w:lang w:val="sq-AL"/>
        </w:rPr>
        <w:t>numër çift.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3. Grupi i dytë i numërimit të votave </w:t>
      </w:r>
      <w:r>
        <w:rPr>
          <w:lang w:val="sq-AL"/>
        </w:rPr>
        <w:t>fillon numërimin e votave</w:t>
      </w:r>
      <w:r w:rsidRPr="00E8113C">
        <w:rPr>
          <w:lang w:val="sq-AL"/>
        </w:rPr>
        <w:t xml:space="preserve"> menjëherë pas përfundimit të procesit</w:t>
      </w:r>
      <w:r>
        <w:rPr>
          <w:lang w:val="sq-AL"/>
        </w:rPr>
        <w:t xml:space="preserve"> </w:t>
      </w:r>
      <w:r w:rsidRPr="00E8113C">
        <w:rPr>
          <w:lang w:val="sq-AL"/>
        </w:rPr>
        <w:t>nga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grupi i parë i numërimit të votave.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4. Grupet e dyta të numërimit të votave rrinë në ga</w:t>
      </w:r>
      <w:r>
        <w:rPr>
          <w:lang w:val="sq-AL"/>
        </w:rPr>
        <w:t>t</w:t>
      </w:r>
      <w:r w:rsidRPr="00E8113C">
        <w:rPr>
          <w:lang w:val="sq-AL"/>
        </w:rPr>
        <w:t>ishmëri dhe me vendim të KZAZ-së zëvendësojnë menjëherë grupet e para, edhe në rastet kur grupet e para ndërpresin punën pa shkaqe të përligjura.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5. Nëse nuk është e nevojshme,</w:t>
      </w:r>
      <w:r>
        <w:rPr>
          <w:lang w:val="sq-AL"/>
        </w:rPr>
        <w:t xml:space="preserve"> </w:t>
      </w:r>
      <w:r w:rsidRPr="00E8113C">
        <w:rPr>
          <w:lang w:val="sq-AL"/>
        </w:rPr>
        <w:t>grupet e dyta nuk futen në punë.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Pjesa IV</w:t>
      </w:r>
    </w:p>
    <w:p w:rsidR="005B2F23" w:rsidRPr="00E8113C" w:rsidRDefault="005B2F23" w:rsidP="005B2F23">
      <w:pPr>
        <w:pStyle w:val="Vendosi"/>
        <w:rPr>
          <w:lang w:val="sq-AL"/>
        </w:rPr>
      </w:pPr>
      <w:r w:rsidRPr="00E8113C">
        <w:rPr>
          <w:lang w:val="sq-AL"/>
        </w:rPr>
        <w:t>EMËRIMI I ANËTARËVE TË</w:t>
      </w:r>
      <w:r>
        <w:rPr>
          <w:lang w:val="sq-AL"/>
        </w:rPr>
        <w:t xml:space="preserve"> </w:t>
      </w:r>
      <w:r w:rsidRPr="00E8113C">
        <w:rPr>
          <w:lang w:val="sq-AL"/>
        </w:rPr>
        <w:t>GRUPEVE TË NUMËRIMIT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8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Paraqitja e propozimeve nga partitë politike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1. </w:t>
      </w:r>
      <w:r>
        <w:rPr>
          <w:lang w:val="sq-AL"/>
        </w:rPr>
        <w:t>KZAZ-ja</w:t>
      </w:r>
      <w:r w:rsidRPr="00E8113C">
        <w:rPr>
          <w:lang w:val="sq-AL"/>
        </w:rPr>
        <w:t xml:space="preserve"> njofton me shkrim partitë politike</w:t>
      </w:r>
      <w:r>
        <w:rPr>
          <w:lang w:val="sq-AL"/>
        </w:rPr>
        <w:t>,</w:t>
      </w:r>
      <w:r w:rsidRPr="00E8113C">
        <w:rPr>
          <w:lang w:val="sq-AL"/>
        </w:rPr>
        <w:t xml:space="preserve"> të cilat kanë të drejtë të propozojnë anëtarë të GNV-ve, për numrin e GNV-ve që do të ngrihen dhe u kërkon të dorëzojnë propozimet për emërimin e anëtarëve të GNV-ve, të paktën 12 ditë para ditës së zgjedhjeve.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lastRenderedPageBreak/>
        <w:t>2. Propozimet për dy nga anëtarët e grupeve të numërimit</w:t>
      </w:r>
      <w:r>
        <w:rPr>
          <w:lang w:val="sq-AL"/>
        </w:rPr>
        <w:t xml:space="preserve"> </w:t>
      </w:r>
      <w:r w:rsidRPr="00E8113C">
        <w:rPr>
          <w:lang w:val="sq-AL"/>
        </w:rPr>
        <w:t>bëhen nga partitë politike, të cilat kanë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propozuar </w:t>
      </w:r>
      <w:r>
        <w:rPr>
          <w:lang w:val="sq-AL"/>
        </w:rPr>
        <w:t>K</w:t>
      </w:r>
      <w:r w:rsidRPr="00E8113C">
        <w:rPr>
          <w:lang w:val="sq-AL"/>
        </w:rPr>
        <w:t xml:space="preserve">ryetarin dhe </w:t>
      </w:r>
      <w:r>
        <w:rPr>
          <w:lang w:val="sq-AL"/>
        </w:rPr>
        <w:t>zëvendës</w:t>
      </w:r>
      <w:r w:rsidRPr="00E8113C">
        <w:rPr>
          <w:lang w:val="sq-AL"/>
        </w:rPr>
        <w:t>kryetarin e KZAZ-së.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3. Propozimet për anëtarin e tretë dhe të katërt të GNV-ve bëhen nga partitë politike</w:t>
      </w:r>
      <w:r>
        <w:rPr>
          <w:lang w:val="sq-AL"/>
        </w:rPr>
        <w:t>,</w:t>
      </w:r>
      <w:r w:rsidRPr="00E8113C">
        <w:rPr>
          <w:lang w:val="sq-AL"/>
        </w:rPr>
        <w:t xml:space="preserve"> që </w:t>
      </w:r>
      <w:r>
        <w:rPr>
          <w:lang w:val="sq-AL"/>
        </w:rPr>
        <w:t xml:space="preserve">janë të </w:t>
      </w:r>
      <w:r w:rsidRPr="00E8113C">
        <w:rPr>
          <w:lang w:val="sq-AL"/>
        </w:rPr>
        <w:t>përcaktuara me vendim të KQZ-së.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4. Propozimet për anëtarë të GNV-ve i paraqiten KZAZ-së. Partitë politike mund t’</w:t>
      </w:r>
      <w:r>
        <w:rPr>
          <w:lang w:val="sq-AL"/>
        </w:rPr>
        <w:t>i</w:t>
      </w:r>
      <w:r w:rsidRPr="00E8113C">
        <w:rPr>
          <w:lang w:val="sq-AL"/>
        </w:rPr>
        <w:t>u delegojnë degëve lokale të tyre të drejtën e propozimit për anëtarë të GNV-ve. Propozimet për çdo anëtar të GNV-së shoqërohen me dokumentet e mëposhtme: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certifikatë personale;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fotokopje e letërnjoftimit;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c) kopje e noterizuar e diplomës së shkollës së lartë.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9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Papajtueshmëritë me detyrën e anëtarit të GNV-së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Anëtari i grupit të numërimit të votave</w:t>
      </w:r>
      <w:r>
        <w:rPr>
          <w:lang w:val="sq-AL"/>
        </w:rPr>
        <w:t>,</w:t>
      </w:r>
      <w:r w:rsidRPr="00E8113C">
        <w:rPr>
          <w:lang w:val="sq-AL"/>
        </w:rPr>
        <w:t xml:space="preserve"> nuk mund të jetë: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deputet ose kandidat për deputet në Kuvend;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kryetar i njësisë së qeverisjes vendore;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c) ushtarak, punonjës i strukturave të Policisë së Shtetit ose Shërbimit Informativ Shtetëror;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d) anëtar i një grupi tjetër numërimi.</w:t>
      </w:r>
    </w:p>
    <w:p w:rsidR="005B2F23" w:rsidRPr="00152355" w:rsidRDefault="005B2F23" w:rsidP="005B2F23">
      <w:pPr>
        <w:pStyle w:val="NeniNr"/>
        <w:rPr>
          <w:sz w:val="14"/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10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Kushtet për emërimin e anëtarit të GNV-së</w:t>
      </w:r>
    </w:p>
    <w:p w:rsidR="005B2F23" w:rsidRPr="00152355" w:rsidRDefault="005B2F23" w:rsidP="005B2F23">
      <w:pPr>
        <w:pStyle w:val="Paragrafi"/>
        <w:rPr>
          <w:sz w:val="14"/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Anëtar i grupit të numërimit të votave mund të emërohet çdo person që plotëson kushtet e mëposhtme: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gëzon të drejtën për të qenë zgjedhës;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>b</w:t>
      </w:r>
      <w:r w:rsidRPr="00E8113C">
        <w:rPr>
          <w:lang w:val="sq-AL"/>
        </w:rPr>
        <w:t>) ka arsim të lartë;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>c</w:t>
      </w:r>
      <w:r w:rsidRPr="00E8113C">
        <w:rPr>
          <w:lang w:val="sq-AL"/>
        </w:rPr>
        <w:t>) është me vendbanim brenda zonës zgjedhore përkatëse;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>d</w:t>
      </w:r>
      <w:r w:rsidRPr="00E8113C">
        <w:rPr>
          <w:lang w:val="sq-AL"/>
        </w:rPr>
        <w:t>) nuk është dënuar me vendim gjyqësor të formës së prerë për kryerjen e një krimi;</w:t>
      </w:r>
    </w:p>
    <w:p w:rsidR="005B2F23" w:rsidRPr="00E8113C" w:rsidRDefault="005B2F23" w:rsidP="005B2F23">
      <w:pPr>
        <w:pStyle w:val="Paragrafi"/>
        <w:rPr>
          <w:lang w:val="sq-AL"/>
        </w:rPr>
      </w:pPr>
      <w:r>
        <w:rPr>
          <w:lang w:val="sq-AL"/>
        </w:rPr>
        <w:t>e</w:t>
      </w:r>
      <w:r w:rsidRPr="00E8113C">
        <w:rPr>
          <w:lang w:val="sq-AL"/>
        </w:rPr>
        <w:t>) ndaj tij nuk është marrë masë disiplinore në proceset zgjedhore të mëparshme.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11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Emërimi i anëtarëve të grupeve të numërimit të votave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KZAZ</w:t>
      </w:r>
      <w:r>
        <w:rPr>
          <w:lang w:val="sq-AL"/>
        </w:rPr>
        <w:t>-ja,</w:t>
      </w:r>
      <w:r w:rsidRPr="00E8113C">
        <w:rPr>
          <w:lang w:val="sq-AL"/>
        </w:rPr>
        <w:t xml:space="preserve"> jo më vonë se dhjetë ditë para datës së zgjedhjeve emëron anëtarët e grupeve të numërimit të votave pasi i gjen at</w:t>
      </w:r>
      <w:r>
        <w:rPr>
          <w:lang w:val="sq-AL"/>
        </w:rPr>
        <w:t>a</w:t>
      </w:r>
      <w:r w:rsidRPr="00E8113C">
        <w:rPr>
          <w:lang w:val="sq-AL"/>
        </w:rPr>
        <w:t xml:space="preserve"> në përputhje me kushtet dhe kriteret e parashikuara në nenin 9 dhe 10 të këtij </w:t>
      </w:r>
      <w:r>
        <w:rPr>
          <w:lang w:val="sq-AL"/>
        </w:rPr>
        <w:t>u</w:t>
      </w:r>
      <w:r w:rsidRPr="00E8113C">
        <w:rPr>
          <w:lang w:val="sq-AL"/>
        </w:rPr>
        <w:t>dhëzimi.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2. Për emërimin e anëtarëve të GNV-ve, KZAZ-ja përdor modelin tip “Për emërimin e anëtarëve të grupeve të numërimit të votave”, miratuar me vendim të KQZ-së.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12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Procedura e zgjedhjes për numëruesin e parë dhe sekretarin e GNV-ve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KZAZ-ja emëron numëruesin e parë dhe sekretarin e grupeve të numërimit</w:t>
      </w:r>
      <w:r>
        <w:rPr>
          <w:lang w:val="sq-AL"/>
        </w:rPr>
        <w:t>,</w:t>
      </w:r>
      <w:r w:rsidRPr="00E8113C">
        <w:rPr>
          <w:lang w:val="sq-AL"/>
        </w:rPr>
        <w:t xml:space="preserve"> sipas procedurës së mëposhtme: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Partia politike, e cila ka propozuar zëvendëskryetarin e KZAZ-së, ka të drejtën të paraqesë propozime për numëruesin e parë të grupeve “tek” të numërimit të votave dhe sekretarin e grupeve “çift” të numërimit të votave</w:t>
      </w:r>
      <w:r>
        <w:rPr>
          <w:lang w:val="sq-AL"/>
        </w:rPr>
        <w:t>;</w:t>
      </w:r>
      <w:r w:rsidRPr="00E8113C">
        <w:rPr>
          <w:lang w:val="sq-AL"/>
        </w:rPr>
        <w:t xml:space="preserve">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Partia politike, e cila ka propozuar kryetarin e KZAZ-së, ka të drejtën të paraqesë propozime për numëruesin e parë të grupeve “çift” të numërimit të votave dhe sekretarin e grupeve “tek” të numërimit të votave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c) Anëtari i tretë dhe i katërt i grupeve të numërimit emërohen nga propozimet e partive politike, të cilave </w:t>
      </w:r>
      <w:r>
        <w:rPr>
          <w:lang w:val="sq-AL"/>
        </w:rPr>
        <w:t>u</w:t>
      </w:r>
      <w:r w:rsidRPr="00E8113C">
        <w:rPr>
          <w:lang w:val="sq-AL"/>
        </w:rPr>
        <w:t xml:space="preserve"> ka lindur e drejta të propozojnë anëtarin e tretë dhe të katërt, sipas shortit të hedhur në KQZ, për çdo ZAZ.</w:t>
      </w:r>
    </w:p>
    <w:p w:rsidR="005B2F23" w:rsidRDefault="005B2F23" w:rsidP="005B2F23">
      <w:pPr>
        <w:pStyle w:val="NeniNr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13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Zëvendësimi i anëtarëve të grupit të numërimit</w:t>
      </w:r>
    </w:p>
    <w:p w:rsidR="005B2F23" w:rsidRPr="00E8113C" w:rsidRDefault="005B2F23" w:rsidP="005B2F23">
      <w:pPr>
        <w:pStyle w:val="Paragrafi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1. </w:t>
      </w:r>
      <w:r>
        <w:rPr>
          <w:lang w:val="sq-AL"/>
        </w:rPr>
        <w:t>Në rast se</w:t>
      </w:r>
      <w:r w:rsidRPr="00E8113C">
        <w:rPr>
          <w:lang w:val="sq-AL"/>
        </w:rPr>
        <w:t xml:space="preserve"> një parti politike nuk paraqet propozim brenda afatit kohor të përcaktuar në pikën 1 të nenit 8 të këtij </w:t>
      </w:r>
      <w:r>
        <w:rPr>
          <w:lang w:val="sq-AL"/>
        </w:rPr>
        <w:t>u</w:t>
      </w:r>
      <w:r w:rsidRPr="00E8113C">
        <w:rPr>
          <w:lang w:val="sq-AL"/>
        </w:rPr>
        <w:t xml:space="preserve">dhëzimi, KZAZ-ja me vendim cakton anëtarët zëvendësues.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lastRenderedPageBreak/>
        <w:t>2. Partia politike, e cila ka të drejtën të paraqesë propozimin për anëtarin e tretë ose të katërt të GNV-ve, sipas shortit të hedhur në KQZ dhe nuk ka anëtarë në KQV,</w:t>
      </w:r>
      <w:r>
        <w:rPr>
          <w:lang w:val="sq-AL"/>
        </w:rPr>
        <w:t xml:space="preserve"> </w:t>
      </w:r>
      <w:r w:rsidRPr="00E8113C">
        <w:rPr>
          <w:lang w:val="sq-AL"/>
        </w:rPr>
        <w:t>humbet të drejtën të paraqesë anëtar të GNV-ve</w:t>
      </w:r>
      <w:r>
        <w:rPr>
          <w:lang w:val="sq-AL"/>
        </w:rPr>
        <w:t>,</w:t>
      </w:r>
      <w:r w:rsidRPr="00E8113C">
        <w:rPr>
          <w:lang w:val="sq-AL"/>
        </w:rPr>
        <w:t xml:space="preserve"> nëse nuk respekton afatin e parashikuar në pikën 1 të nenit 8 të këtij udhëzimi.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3. Anëtarët zëvendësues caktohe</w:t>
      </w:r>
      <w:r>
        <w:rPr>
          <w:lang w:val="sq-AL"/>
        </w:rPr>
        <w:t>n</w:t>
      </w:r>
      <w:r w:rsidRPr="00E8113C">
        <w:rPr>
          <w:lang w:val="sq-AL"/>
        </w:rPr>
        <w:t xml:space="preserve"> me short ndërmjet anëtarëve të KQV-ve që i përkasin të njëjtit grupim politik në zonën e administrimit zgjedhor.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4. Në rast se nuk është i mundur plotësimi i numrit të anëtarëve të grupit të numërimit të votave, ai funksionon me jo më pak se dy anëtarë.</w:t>
      </w:r>
    </w:p>
    <w:p w:rsidR="005B2F23" w:rsidRPr="00E8113C" w:rsidRDefault="005B2F23" w:rsidP="005B2F23">
      <w:pPr>
        <w:pStyle w:val="Paragrafi"/>
        <w:jc w:val="center"/>
        <w:rPr>
          <w:lang w:val="sq-AL"/>
        </w:rPr>
      </w:pPr>
      <w:r w:rsidRPr="00E8113C">
        <w:rPr>
          <w:lang w:val="sq-AL"/>
        </w:rPr>
        <w:t>Neni 14</w:t>
      </w:r>
    </w:p>
    <w:p w:rsidR="005B2F23" w:rsidRPr="00E8113C" w:rsidRDefault="005B2F23" w:rsidP="005B2F23">
      <w:pPr>
        <w:pStyle w:val="NeniTitull"/>
        <w:rPr>
          <w:lang w:val="sq-AL"/>
        </w:rPr>
      </w:pPr>
      <w:r w:rsidRPr="00E8113C">
        <w:rPr>
          <w:lang w:val="sq-AL"/>
        </w:rPr>
        <w:t>Procedura e shortit për zëvendësimin e anëtarëve të GNV-ve</w:t>
      </w:r>
    </w:p>
    <w:p w:rsidR="005B2F23" w:rsidRPr="00E8113C" w:rsidRDefault="005B2F23" w:rsidP="005B2F23">
      <w:pPr>
        <w:pStyle w:val="Paragrafi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Anëtari zëvendësues</w:t>
      </w:r>
      <w:r>
        <w:rPr>
          <w:lang w:val="sq-AL"/>
        </w:rPr>
        <w:t xml:space="preserve"> i GNV-ve caktohet nga KZAZ-ja </w:t>
      </w:r>
      <w:r w:rsidRPr="00E8113C">
        <w:rPr>
          <w:lang w:val="sq-AL"/>
        </w:rPr>
        <w:t>mbi bazën e rezultatit të shortit, të hedhur sipas kësaj procedure: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a) Sekretari i KZAZ-së përzgjedh të gjithë anëtarët e KQV-ve</w:t>
      </w:r>
      <w:r>
        <w:rPr>
          <w:lang w:val="sq-AL"/>
        </w:rPr>
        <w:t>,</w:t>
      </w:r>
      <w:r w:rsidRPr="00E8113C">
        <w:rPr>
          <w:lang w:val="sq-AL"/>
        </w:rPr>
        <w:t xml:space="preserve"> të cilët plotësojnë kushtet dhe kriteret e përcaktuara në nenin 9 dhe në nenin 10, të këtij </w:t>
      </w:r>
      <w:r>
        <w:rPr>
          <w:lang w:val="sq-AL"/>
        </w:rPr>
        <w:t>u</w:t>
      </w:r>
      <w:r w:rsidRPr="00E8113C">
        <w:rPr>
          <w:lang w:val="sq-AL"/>
        </w:rPr>
        <w:t>dhëzimi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b) Anëtarët e KQV-ve renditen, në mënyrë rastësore, në lista sipas partive pol</w:t>
      </w:r>
      <w:r>
        <w:rPr>
          <w:lang w:val="sq-AL"/>
        </w:rPr>
        <w:t>itike, të cilat i kanë propozuar;</w:t>
      </w:r>
      <w:r w:rsidRPr="00E8113C">
        <w:rPr>
          <w:lang w:val="sq-AL"/>
        </w:rPr>
        <w:t xml:space="preserve">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c) </w:t>
      </w:r>
      <w:r>
        <w:rPr>
          <w:lang w:val="sq-AL"/>
        </w:rPr>
        <w:t>Çdo emri</w:t>
      </w:r>
      <w:r w:rsidRPr="00E8113C">
        <w:rPr>
          <w:lang w:val="sq-AL"/>
        </w:rPr>
        <w:t xml:space="preserve"> të renditur në secilën listë, i vendoset nga një numër rendor rritës, duke filluar nga 01</w:t>
      </w:r>
      <w:r>
        <w:rPr>
          <w:lang w:val="sq-AL"/>
        </w:rPr>
        <w:t>;</w:t>
      </w:r>
      <w:r w:rsidRPr="00E8113C">
        <w:rPr>
          <w:lang w:val="sq-AL"/>
        </w:rPr>
        <w:t xml:space="preserve">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d) Në një enë transparent</w:t>
      </w:r>
      <w:r>
        <w:rPr>
          <w:lang w:val="sq-AL"/>
        </w:rPr>
        <w:t>e</w:t>
      </w:r>
      <w:r w:rsidRPr="00E8113C">
        <w:rPr>
          <w:lang w:val="sq-AL"/>
        </w:rPr>
        <w:t xml:space="preserve"> vendosen shirita letre</w:t>
      </w:r>
      <w:r>
        <w:rPr>
          <w:lang w:val="sq-AL"/>
        </w:rPr>
        <w:t>,</w:t>
      </w:r>
      <w:r w:rsidRPr="00E8113C">
        <w:rPr>
          <w:lang w:val="sq-AL"/>
        </w:rPr>
        <w:t xml:space="preserve"> ku janë shënuar numrat rendor</w:t>
      </w:r>
      <w:r>
        <w:rPr>
          <w:lang w:val="sq-AL"/>
        </w:rPr>
        <w:t>ë</w:t>
      </w:r>
      <w:r w:rsidRPr="00E8113C">
        <w:rPr>
          <w:lang w:val="sq-AL"/>
        </w:rPr>
        <w:t xml:space="preserve"> që i korrespondojnë çdo anëtari të KQV-së të partisë politike përkatëse të renditur në listë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e) Kryetari i KZAZ-së tërheq shirita letre në numër të barabartë me numrin e anëtarëve të GNV-ve që mungojnë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f) Anëtari i KQV-së, i emëruar me propozim të partisë politike, për të cilën hidhet shorti, të cilit i korrespondon numri rendor i shënuar në shiritin e letrës së tërhequr, caktohet anëtar i grupit të numërimit</w:t>
      </w:r>
      <w:r>
        <w:rPr>
          <w:lang w:val="sq-AL"/>
        </w:rPr>
        <w:t>;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g) Në rast se partia politike, e cila nuk ka paraqitur propozime për anëtar të</w:t>
      </w:r>
      <w:r>
        <w:rPr>
          <w:lang w:val="sq-AL"/>
        </w:rPr>
        <w:t xml:space="preserve"> </w:t>
      </w:r>
      <w:r w:rsidRPr="00E8113C">
        <w:rPr>
          <w:lang w:val="sq-AL"/>
        </w:rPr>
        <w:t>GNV-ve dhe nuk ka anëtar në KQV</w:t>
      </w:r>
      <w:r>
        <w:rPr>
          <w:lang w:val="sq-AL"/>
        </w:rPr>
        <w:t>,</w:t>
      </w:r>
      <w:r w:rsidRPr="00E8113C">
        <w:rPr>
          <w:lang w:val="sq-AL"/>
        </w:rPr>
        <w:t xml:space="preserve"> </w:t>
      </w:r>
      <w:r>
        <w:rPr>
          <w:lang w:val="sq-AL"/>
        </w:rPr>
        <w:t>u</w:t>
      </w:r>
      <w:r w:rsidRPr="00E8113C">
        <w:rPr>
          <w:lang w:val="sq-AL"/>
        </w:rPr>
        <w:t xml:space="preserve"> përket partive të shumicës parlamentare, shorti hidhet ndërmjet anëtarëve të KQV-së, që i përkasin partisë së dytë të shumicës </w:t>
      </w:r>
      <w:r>
        <w:rPr>
          <w:lang w:val="sq-AL"/>
        </w:rPr>
        <w:t>parlamentare,</w:t>
      </w:r>
      <w:r w:rsidRPr="00E8113C">
        <w:rPr>
          <w:lang w:val="sq-AL"/>
        </w:rPr>
        <w:t xml:space="preserve"> e cila ka propozuar anëtar në KQV</w:t>
      </w:r>
      <w:r>
        <w:rPr>
          <w:lang w:val="sq-AL"/>
        </w:rPr>
        <w:t>;</w:t>
      </w:r>
      <w:r w:rsidRPr="00E8113C">
        <w:rPr>
          <w:lang w:val="sq-AL"/>
        </w:rPr>
        <w:t xml:space="preserve"> 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h) Në rast se partia politike, e cila nuk ka paraqitur propozime për anëtar të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GNV-ve dhe nuk ka anëtar në KQV i përket partive të opozitës parlamentare, shorti hidhet ndërmjet anëtarëve të KQV-së, që i përkasin partisë së dytë të opozitës </w:t>
      </w:r>
      <w:r>
        <w:rPr>
          <w:lang w:val="sq-AL"/>
        </w:rPr>
        <w:t>parlamentare,</w:t>
      </w:r>
      <w:r w:rsidRPr="00E8113C">
        <w:rPr>
          <w:lang w:val="sq-AL"/>
        </w:rPr>
        <w:t xml:space="preserve"> e cila ka propozuar anëtar në KQV.</w:t>
      </w: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15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1. Kur vendi i një anëtari të grupit të numërimit mbetet vakant gjatë procesit të numërimit të votave, partia politike</w:t>
      </w:r>
      <w:r>
        <w:rPr>
          <w:lang w:val="sq-AL"/>
        </w:rPr>
        <w:t>,</w:t>
      </w:r>
      <w:r w:rsidRPr="00E8113C">
        <w:rPr>
          <w:lang w:val="sq-AL"/>
        </w:rPr>
        <w:t xml:space="preserve"> e cila kishte propozuar anëtarin, paraqet menjëherë propozimin e ri.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2. Nëse partia politike përkatëse nuk paraqet propozimin për plotësimin e vendit të mbetur vakant, GNV</w:t>
      </w:r>
      <w:r>
        <w:rPr>
          <w:lang w:val="sq-AL"/>
        </w:rPr>
        <w:t>-ja</w:t>
      </w:r>
      <w:r w:rsidRPr="00E8113C">
        <w:rPr>
          <w:lang w:val="sq-AL"/>
        </w:rPr>
        <w:t xml:space="preserve"> vazhdon numërimin kur anëtarët në detyrë nuk janë më pak se dy.</w:t>
      </w: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3. Nëse nga vakancat e krijuara GNV-ja mbetet me më pak se dy anëtarë, për plotësimin e vakancave KZAZ-ja zbaton procedurat e shortit të përcaktuara në nenin 14 të këtij </w:t>
      </w:r>
      <w:r>
        <w:rPr>
          <w:lang w:val="sq-AL"/>
        </w:rPr>
        <w:t>u</w:t>
      </w:r>
      <w:r w:rsidRPr="00E8113C">
        <w:rPr>
          <w:lang w:val="sq-AL"/>
        </w:rPr>
        <w:t>dhëzimi.</w:t>
      </w:r>
      <w:r>
        <w:rPr>
          <w:lang w:val="sq-AL"/>
        </w:rPr>
        <w:t xml:space="preserve"> 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Titull-Titull"/>
        <w:rPr>
          <w:lang w:val="sq-AL"/>
        </w:rPr>
      </w:pPr>
      <w:r w:rsidRPr="00E8113C">
        <w:rPr>
          <w:lang w:val="sq-AL"/>
        </w:rPr>
        <w:t>Pjesa V</w:t>
      </w:r>
    </w:p>
    <w:p w:rsidR="005B2F23" w:rsidRPr="00E8113C" w:rsidRDefault="005B2F23" w:rsidP="005B2F23">
      <w:pPr>
        <w:pStyle w:val="Titull-Titull"/>
        <w:rPr>
          <w:lang w:val="sq-AL"/>
        </w:rPr>
      </w:pPr>
      <w:r w:rsidRPr="00E8113C">
        <w:rPr>
          <w:lang w:val="sq-AL"/>
        </w:rPr>
        <w:lastRenderedPageBreak/>
        <w:t>Hyrja në fuqi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16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>Ud</w:t>
      </w:r>
      <w:r>
        <w:rPr>
          <w:lang w:val="sq-AL"/>
        </w:rPr>
        <w:t>hëzimi i KQZ-së nr. 12, datë 21.</w:t>
      </w:r>
      <w:r w:rsidRPr="00E8113C">
        <w:rPr>
          <w:lang w:val="sq-AL"/>
        </w:rPr>
        <w:t>4.2009</w:t>
      </w:r>
      <w:r>
        <w:rPr>
          <w:lang w:val="sq-AL"/>
        </w:rPr>
        <w:t>,</w:t>
      </w:r>
      <w:r w:rsidRPr="00E8113C">
        <w:rPr>
          <w:lang w:val="sq-AL"/>
        </w:rPr>
        <w:t xml:space="preserve"> “Për caktimin dhe përgatitjen e vendit të numërimit të votave, mënyrën e ngritjes së grupeve të numërimit dhe caktimin e tavolinave të numërimit të votave”</w:t>
      </w:r>
      <w:r>
        <w:rPr>
          <w:lang w:val="sq-AL"/>
        </w:rPr>
        <w:t>,</w:t>
      </w:r>
      <w:r w:rsidRPr="00E8113C">
        <w:rPr>
          <w:lang w:val="sq-AL"/>
        </w:rPr>
        <w:t xml:space="preserve"> shfuqizohet.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Pr="00E8113C" w:rsidRDefault="005B2F23" w:rsidP="005B2F23">
      <w:pPr>
        <w:pStyle w:val="NeniNr"/>
        <w:rPr>
          <w:lang w:val="sq-AL"/>
        </w:rPr>
      </w:pPr>
      <w:r w:rsidRPr="00E8113C">
        <w:rPr>
          <w:lang w:val="sq-AL"/>
        </w:rPr>
        <w:t>Neni 17</w:t>
      </w:r>
    </w:p>
    <w:p w:rsidR="005B2F23" w:rsidRPr="00E8113C" w:rsidRDefault="005B2F23" w:rsidP="005B2F23">
      <w:pPr>
        <w:pStyle w:val="Hapesira7"/>
        <w:rPr>
          <w:lang w:val="sq-AL"/>
        </w:rPr>
      </w:pPr>
    </w:p>
    <w:p w:rsidR="005B2F23" w:rsidRDefault="005B2F23" w:rsidP="005B2F23">
      <w:pPr>
        <w:pStyle w:val="Paragrafi"/>
        <w:rPr>
          <w:lang w:val="sq-AL"/>
        </w:rPr>
      </w:pPr>
      <w:r w:rsidRPr="00E8113C">
        <w:rPr>
          <w:lang w:val="sq-AL"/>
        </w:rPr>
        <w:t xml:space="preserve">Ky udhëzim hyn në fuqi pas botimin në </w:t>
      </w:r>
      <w:r>
        <w:rPr>
          <w:lang w:val="sq-AL"/>
        </w:rPr>
        <w:t xml:space="preserve">Fletoren </w:t>
      </w:r>
      <w:r w:rsidRPr="00E8113C">
        <w:rPr>
          <w:lang w:val="sq-AL"/>
        </w:rPr>
        <w:t>Zyrtare</w:t>
      </w:r>
    </w:p>
    <w:p w:rsidR="005B2F23" w:rsidRDefault="005B2F23" w:rsidP="005B2F23">
      <w:pPr>
        <w:pStyle w:val="Paragrafi"/>
        <w:rPr>
          <w:lang w:val="sq-AL"/>
        </w:rPr>
      </w:pPr>
    </w:p>
    <w:p w:rsidR="005B2F23" w:rsidRDefault="005B2F23" w:rsidP="005B2F23">
      <w:pPr>
        <w:pStyle w:val="Paragrafi"/>
        <w:rPr>
          <w:lang w:val="sq-AL"/>
        </w:rPr>
        <w:sectPr w:rsidR="005B2F23" w:rsidSect="002C2C89">
          <w:pgSz w:w="11907" w:h="16840" w:code="9"/>
          <w:pgMar w:top="720" w:right="1134" w:bottom="720" w:left="1134" w:header="851" w:footer="851" w:gutter="0"/>
          <w:pgNumType w:start="2817"/>
          <w:cols w:space="454"/>
          <w:docGrid w:linePitch="360"/>
        </w:sectPr>
      </w:pPr>
    </w:p>
    <w:p w:rsidR="005B2F23" w:rsidRPr="00E8113C" w:rsidRDefault="005B2F23" w:rsidP="005B2F23">
      <w:pPr>
        <w:pStyle w:val="Paragrafi"/>
        <w:jc w:val="center"/>
        <w:rPr>
          <w:b/>
          <w:szCs w:val="24"/>
          <w:lang w:val="sq-AL"/>
        </w:rPr>
      </w:pPr>
    </w:p>
    <w:p w:rsidR="005B2F23" w:rsidRPr="00E8113C" w:rsidRDefault="005B2F23" w:rsidP="005B2F23">
      <w:pPr>
        <w:pStyle w:val="Paragrafi"/>
        <w:rPr>
          <w:lang w:val="sq-AL"/>
        </w:rPr>
      </w:pPr>
      <w:r w:rsidRPr="00E8113C">
        <w:rPr>
          <w:noProof/>
        </w:rPr>
        <w:drawing>
          <wp:inline distT="0" distB="0" distL="0" distR="0" wp14:anchorId="7A1765A3" wp14:editId="6EA31666">
            <wp:extent cx="9422296" cy="5277966"/>
            <wp:effectExtent l="0" t="0" r="7454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935" cy="5283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F23" w:rsidRPr="00E8113C" w:rsidRDefault="005B2F23" w:rsidP="005B2F23">
      <w:pPr>
        <w:pStyle w:val="Paragrafi"/>
        <w:ind w:firstLine="0"/>
        <w:rPr>
          <w:lang w:val="sq-AL"/>
        </w:rPr>
        <w:sectPr w:rsidR="005B2F23" w:rsidRPr="00E8113C" w:rsidSect="002C2C89">
          <w:headerReference w:type="even" r:id="rId8"/>
          <w:headerReference w:type="default" r:id="rId9"/>
          <w:pgSz w:w="16840" w:h="11907" w:orient="landscape" w:code="9"/>
          <w:pgMar w:top="1134" w:right="720" w:bottom="1134" w:left="720" w:header="851" w:footer="851" w:gutter="0"/>
          <w:pgNumType w:start="2869"/>
          <w:cols w:space="454"/>
          <w:docGrid w:linePitch="360"/>
        </w:sectPr>
      </w:pPr>
    </w:p>
    <w:p w:rsidR="00FD57DC" w:rsidRDefault="002C2C89"/>
    <w:sectPr w:rsidR="00FD57DC" w:rsidSect="002C2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C2C89">
      <w:pPr>
        <w:spacing w:after="0" w:line="240" w:lineRule="auto"/>
      </w:pPr>
      <w:r>
        <w:separator/>
      </w:r>
    </w:p>
  </w:endnote>
  <w:endnote w:type="continuationSeparator" w:id="0">
    <w:p w:rsidR="00000000" w:rsidRDefault="002C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C2C89">
      <w:pPr>
        <w:spacing w:after="0" w:line="240" w:lineRule="auto"/>
      </w:pPr>
      <w:r>
        <w:separator/>
      </w:r>
    </w:p>
  </w:footnote>
  <w:footnote w:type="continuationSeparator" w:id="0">
    <w:p w:rsidR="00000000" w:rsidRDefault="002C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976DF7" w:rsidRPr="00EB260B" w:rsidTr="0070357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76DF7" w:rsidRPr="00EB260B" w:rsidRDefault="005B2F23" w:rsidP="0089547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76DF7" w:rsidRPr="00EB260B" w:rsidRDefault="005B2F23" w:rsidP="0089547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C70A99B" wp14:editId="29275B2E">
                <wp:extent cx="304524" cy="427512"/>
                <wp:effectExtent l="0" t="0" r="635" b="0"/>
                <wp:docPr id="1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976DF7" w:rsidRPr="00EB260B" w:rsidRDefault="005B2F23" w:rsidP="0089547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</w:t>
          </w:r>
        </w:p>
      </w:tc>
    </w:tr>
  </w:tbl>
  <w:p w:rsidR="00976DF7" w:rsidRPr="00385E2C" w:rsidRDefault="002C2C8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976DF7" w:rsidRPr="00EB260B" w:rsidTr="005E58B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76DF7" w:rsidRPr="00EB260B" w:rsidRDefault="005B2F23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76DF7" w:rsidRPr="00EB260B" w:rsidRDefault="005B2F23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5E1AC34" wp14:editId="1D984572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976DF7" w:rsidRPr="00EB260B" w:rsidRDefault="005B2F23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1</w:t>
          </w:r>
        </w:p>
      </w:tc>
    </w:tr>
  </w:tbl>
  <w:p w:rsidR="00976DF7" w:rsidRDefault="002C2C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2F23"/>
    <w:rsid w:val="00013606"/>
    <w:rsid w:val="00032E53"/>
    <w:rsid w:val="001D125B"/>
    <w:rsid w:val="002C0AA4"/>
    <w:rsid w:val="002C2C89"/>
    <w:rsid w:val="002E7553"/>
    <w:rsid w:val="00332E0F"/>
    <w:rsid w:val="00455FC5"/>
    <w:rsid w:val="004A4709"/>
    <w:rsid w:val="005B2F23"/>
    <w:rsid w:val="00627136"/>
    <w:rsid w:val="006815F0"/>
    <w:rsid w:val="007A33AA"/>
    <w:rsid w:val="00912120"/>
    <w:rsid w:val="00A3508F"/>
    <w:rsid w:val="00B441A3"/>
    <w:rsid w:val="00CD6A4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2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2F2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B2F2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B2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F2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B2F2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B2F2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2F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B2F2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2F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B2F2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B2F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B2F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B2F23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2F2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2F23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5B2F2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B2F23"/>
  </w:style>
  <w:style w:type="paragraph" w:customStyle="1" w:styleId="Hapesira7">
    <w:name w:val="Hapesira 7"/>
    <w:basedOn w:val="Paragrafi"/>
    <w:qFormat/>
    <w:rsid w:val="005B2F2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F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2415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2019-01-29T14:02:00Z</cp:lastPrinted>
  <dcterms:created xsi:type="dcterms:W3CDTF">2015-04-28T08:43:00Z</dcterms:created>
  <dcterms:modified xsi:type="dcterms:W3CDTF">2019-01-29T14:02:00Z</dcterms:modified>
</cp:coreProperties>
</file>