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3FA3" w:rsidRPr="002551E3" w:rsidRDefault="00033FA3" w:rsidP="00033FA3">
      <w:pPr>
        <w:pStyle w:val="Paragrafi"/>
        <w:jc w:val="center"/>
        <w:rPr>
          <w:b/>
          <w:spacing w:val="-4"/>
        </w:rPr>
      </w:pPr>
      <w:r w:rsidRPr="002551E3">
        <w:rPr>
          <w:b/>
          <w:spacing w:val="-4"/>
        </w:rPr>
        <w:t>VENDIM</w:t>
      </w:r>
    </w:p>
    <w:p w:rsidR="00033FA3" w:rsidRPr="002551E3" w:rsidRDefault="00033FA3" w:rsidP="00033FA3">
      <w:pPr>
        <w:pStyle w:val="Paragrafi"/>
        <w:jc w:val="center"/>
        <w:rPr>
          <w:b/>
          <w:spacing w:val="-4"/>
        </w:rPr>
      </w:pPr>
      <w:r w:rsidRPr="002551E3">
        <w:rPr>
          <w:b/>
          <w:spacing w:val="-4"/>
        </w:rPr>
        <w:t>Nr. 9, datë</w:t>
      </w:r>
      <w:r>
        <w:rPr>
          <w:b/>
          <w:spacing w:val="-4"/>
        </w:rPr>
        <w:t xml:space="preserve"> 25.2 2015</w:t>
      </w:r>
    </w:p>
    <w:p w:rsidR="00033FA3" w:rsidRPr="002551E3" w:rsidRDefault="00033FA3" w:rsidP="00033FA3">
      <w:pPr>
        <w:pStyle w:val="Paragrafi"/>
        <w:jc w:val="center"/>
        <w:rPr>
          <w:b/>
          <w:spacing w:val="-4"/>
          <w:sz w:val="8"/>
        </w:rPr>
      </w:pPr>
    </w:p>
    <w:p w:rsidR="00033FA3" w:rsidRPr="002551E3" w:rsidRDefault="00033FA3" w:rsidP="00033FA3">
      <w:pPr>
        <w:pStyle w:val="Paragrafi"/>
        <w:jc w:val="center"/>
        <w:rPr>
          <w:b/>
          <w:spacing w:val="-4"/>
        </w:rPr>
      </w:pPr>
      <w:r w:rsidRPr="002551E3">
        <w:rPr>
          <w:b/>
          <w:spacing w:val="-4"/>
        </w:rPr>
        <w:t>PËR SHPËRNDARJEN E FINANCIMIT PËR PROJEKTET NË VAZHDIM PËR SHËNDETËSINË, PJESË E FONDIT PËR ZHVILLIMIN E RAJONEVE PËR VITIN 2015</w:t>
      </w:r>
    </w:p>
    <w:p w:rsidR="00033FA3" w:rsidRPr="002551E3" w:rsidRDefault="00033FA3" w:rsidP="00033FA3">
      <w:pPr>
        <w:pStyle w:val="Paragrafi"/>
        <w:rPr>
          <w:spacing w:val="-4"/>
          <w:sz w:val="6"/>
        </w:rPr>
      </w:pPr>
    </w:p>
    <w:p w:rsidR="00033FA3" w:rsidRPr="002551E3" w:rsidRDefault="00033FA3" w:rsidP="00033FA3">
      <w:pPr>
        <w:pStyle w:val="Paragrafi"/>
        <w:rPr>
          <w:spacing w:val="-4"/>
        </w:rPr>
      </w:pPr>
      <w:r w:rsidRPr="002551E3">
        <w:rPr>
          <w:spacing w:val="-4"/>
        </w:rPr>
        <w:t>Në mbështetje të nenit 100 të Kushtetutës dhe të nenit 15 e të aneksit 3, të ligjit nr.160, datë 27.11.2014, “Për buxhetin e vitit 2015”, Komiteti për Zhvillimin e Rajoneve</w:t>
      </w:r>
    </w:p>
    <w:p w:rsidR="00033FA3" w:rsidRPr="002475C7" w:rsidRDefault="00033FA3" w:rsidP="00033FA3">
      <w:pPr>
        <w:pStyle w:val="Paragrafi"/>
        <w:rPr>
          <w:spacing w:val="-4"/>
          <w:sz w:val="8"/>
        </w:rPr>
      </w:pPr>
    </w:p>
    <w:p w:rsidR="00033FA3" w:rsidRPr="002551E3" w:rsidRDefault="00033FA3" w:rsidP="00033FA3">
      <w:pPr>
        <w:pStyle w:val="Paragrafi"/>
        <w:jc w:val="center"/>
        <w:rPr>
          <w:spacing w:val="-4"/>
        </w:rPr>
      </w:pPr>
      <w:r w:rsidRPr="002551E3">
        <w:rPr>
          <w:spacing w:val="-4"/>
        </w:rPr>
        <w:t>VENDOSI:</w:t>
      </w:r>
    </w:p>
    <w:p w:rsidR="00033FA3" w:rsidRPr="004816BF" w:rsidRDefault="00033FA3" w:rsidP="00033FA3">
      <w:pPr>
        <w:pStyle w:val="Paragrafi"/>
        <w:rPr>
          <w:spacing w:val="-4"/>
          <w:sz w:val="2"/>
        </w:rPr>
      </w:pPr>
    </w:p>
    <w:p w:rsidR="00033FA3" w:rsidRPr="002551E3" w:rsidRDefault="00033FA3" w:rsidP="00033FA3">
      <w:pPr>
        <w:pStyle w:val="Paragrafi"/>
        <w:rPr>
          <w:spacing w:val="-4"/>
        </w:rPr>
      </w:pPr>
      <w:r>
        <w:rPr>
          <w:spacing w:val="-4"/>
        </w:rPr>
        <w:t xml:space="preserve">1. </w:t>
      </w:r>
      <w:r w:rsidRPr="002551E3">
        <w:rPr>
          <w:spacing w:val="-4"/>
        </w:rPr>
        <w:t>Shpërndarjen e fondeve për projekte në vazhdim, me cikël financimi 2014-2015, për nënprogramin e shëndetësisë, në vlerën 22 600 000 (njëzet e dy milionë e gjashtëqind mijë) lekë, pjesë e Fondit për Zhvillimin e Rajoneve për vitin 2015, specifikuar sipas tabelës 1, bashkëlidhur këtij vendimi.</w:t>
      </w:r>
    </w:p>
    <w:p w:rsidR="00033FA3" w:rsidRPr="002551E3" w:rsidRDefault="00033FA3" w:rsidP="00033FA3">
      <w:pPr>
        <w:pStyle w:val="Paragrafi"/>
        <w:rPr>
          <w:spacing w:val="-4"/>
        </w:rPr>
      </w:pPr>
      <w:r>
        <w:rPr>
          <w:spacing w:val="-4"/>
        </w:rPr>
        <w:t xml:space="preserve">2. </w:t>
      </w:r>
      <w:r w:rsidRPr="002551E3">
        <w:rPr>
          <w:spacing w:val="-4"/>
        </w:rPr>
        <w:t>Ngarkohen ministri Shëndetësisë, ministri i Financave dhe Sekretariati i Përgjithshëm i Komitetit për Zhvillimin e Rajoneve, në Kryeministri, për zbatimin e këtij vendimi.</w:t>
      </w:r>
    </w:p>
    <w:p w:rsidR="00033FA3" w:rsidRPr="002551E3" w:rsidRDefault="00033FA3" w:rsidP="00033FA3">
      <w:pPr>
        <w:pStyle w:val="Paragrafi"/>
        <w:rPr>
          <w:spacing w:val="-4"/>
        </w:rPr>
      </w:pPr>
      <w:r w:rsidRPr="002551E3">
        <w:rPr>
          <w:spacing w:val="-4"/>
        </w:rPr>
        <w:t>Ky vendim hyn në fuqi, pas botimit në Fletoren Zyrtare.</w:t>
      </w:r>
    </w:p>
    <w:p w:rsidR="00033FA3" w:rsidRPr="00311CD0" w:rsidRDefault="00033FA3" w:rsidP="00033FA3">
      <w:pPr>
        <w:pStyle w:val="Paragrafi"/>
        <w:jc w:val="right"/>
      </w:pPr>
      <w:r>
        <w:t>KRYETA</w:t>
      </w:r>
      <w:r w:rsidRPr="00311CD0">
        <w:t>R</w:t>
      </w:r>
      <w:r>
        <w:t>I</w:t>
      </w:r>
    </w:p>
    <w:p w:rsidR="00033FA3" w:rsidRDefault="00033FA3" w:rsidP="00033FA3">
      <w:pPr>
        <w:pStyle w:val="Paragrafi"/>
        <w:jc w:val="right"/>
        <w:rPr>
          <w:b/>
        </w:rPr>
      </w:pPr>
      <w:r w:rsidRPr="008764EE">
        <w:rPr>
          <w:b/>
        </w:rPr>
        <w:t>Edi Rama</w:t>
      </w:r>
    </w:p>
    <w:p w:rsidR="00033FA3" w:rsidRPr="000B607B" w:rsidRDefault="00033FA3" w:rsidP="00033FA3">
      <w:pPr>
        <w:pStyle w:val="Paragrafi"/>
        <w:jc w:val="right"/>
        <w:rPr>
          <w:b/>
          <w:sz w:val="12"/>
        </w:rPr>
      </w:pPr>
    </w:p>
    <w:p w:rsidR="00033FA3" w:rsidRPr="008764EE" w:rsidRDefault="00033FA3" w:rsidP="00033FA3">
      <w:pPr>
        <w:pStyle w:val="Paragrafi"/>
        <w:rPr>
          <w:b/>
        </w:rPr>
      </w:pPr>
      <w:bookmarkStart w:id="0" w:name="_GoBack"/>
      <w:r w:rsidRPr="002551E3">
        <w:rPr>
          <w:b/>
          <w:noProof/>
        </w:rPr>
        <w:drawing>
          <wp:inline distT="0" distB="0" distL="0" distR="0">
            <wp:extent cx="2913710" cy="2433099"/>
            <wp:effectExtent l="19050" t="0" r="940" b="0"/>
            <wp:docPr id="4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5 02 2015_Draft Vendim KZHR 3_Infrastruktura Vendore dhe Rajonale_Shpallja 2_redaktuar_Page_1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79" t="10561" r="13658" b="52585"/>
                    <a:stretch/>
                  </pic:blipFill>
                  <pic:spPr bwMode="auto">
                    <a:xfrm>
                      <a:off x="0" y="0"/>
                      <a:ext cx="2912793" cy="24323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033FA3" w:rsidRDefault="00033FA3" w:rsidP="00033FA3">
      <w:pPr>
        <w:pStyle w:val="Paragrafi"/>
        <w:ind w:firstLine="0"/>
        <w:jc w:val="center"/>
        <w:rPr>
          <w:noProof/>
        </w:rPr>
        <w:sectPr w:rsidR="00033FA3" w:rsidSect="009910DE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06"/>
        <w:gridCol w:w="1573"/>
        <w:gridCol w:w="2894"/>
        <w:gridCol w:w="1155"/>
        <w:gridCol w:w="1030"/>
        <w:gridCol w:w="1208"/>
        <w:gridCol w:w="1210"/>
      </w:tblGrid>
      <w:tr w:rsidR="00033FA3" w:rsidRPr="00B63052" w:rsidTr="00B20A4F">
        <w:trPr>
          <w:trHeight w:val="20"/>
          <w:jc w:val="center"/>
        </w:trPr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3FA3" w:rsidRPr="00B63052" w:rsidRDefault="00033FA3" w:rsidP="00B20A4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en-GB" w:eastAsia="en-GB"/>
              </w:rPr>
            </w:pPr>
          </w:p>
        </w:tc>
        <w:tc>
          <w:tcPr>
            <w:tcW w:w="4743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3FA3" w:rsidRPr="002475C7" w:rsidRDefault="00033FA3" w:rsidP="00B20A4F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4"/>
                <w:szCs w:val="20"/>
                <w:lang w:val="en-GB" w:eastAsia="en-GB"/>
              </w:rPr>
            </w:pPr>
          </w:p>
          <w:p w:rsidR="00033FA3" w:rsidRPr="00B63052" w:rsidRDefault="00033FA3" w:rsidP="00B20A4F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20"/>
                <w:szCs w:val="20"/>
                <w:lang w:val="en-GB" w:eastAsia="en-GB"/>
              </w:rPr>
            </w:pPr>
            <w:r w:rsidRPr="00B63052">
              <w:rPr>
                <w:rFonts w:ascii="Garamond" w:eastAsia="Times New Roman" w:hAnsi="Garamond"/>
                <w:b/>
                <w:bCs/>
                <w:sz w:val="20"/>
                <w:szCs w:val="20"/>
                <w:lang w:val="en-GB" w:eastAsia="en-GB"/>
              </w:rPr>
              <w:t>Tabela 1. Projektet në vazhdim, në nënprogramin e Shëndetësisë, me cikël financimi 2014-2015</w:t>
            </w:r>
          </w:p>
        </w:tc>
      </w:tr>
      <w:tr w:rsidR="00033FA3" w:rsidRPr="00B63052" w:rsidTr="00B20A4F">
        <w:trPr>
          <w:trHeight w:val="20"/>
          <w:jc w:val="center"/>
        </w:trPr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3FA3" w:rsidRPr="00B63052" w:rsidRDefault="00033FA3" w:rsidP="00B20A4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en-GB" w:eastAsia="en-GB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3FA3" w:rsidRPr="00B63052" w:rsidRDefault="00033FA3" w:rsidP="00B20A4F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20"/>
                <w:szCs w:val="20"/>
                <w:lang w:val="en-GB" w:eastAsia="en-GB"/>
              </w:rPr>
            </w:pPr>
          </w:p>
        </w:tc>
        <w:tc>
          <w:tcPr>
            <w:tcW w:w="1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3FA3" w:rsidRPr="00B63052" w:rsidRDefault="00033FA3" w:rsidP="00B20A4F">
            <w:pPr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en-GB" w:eastAsia="en-GB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3FA3" w:rsidRPr="00B63052" w:rsidRDefault="00033FA3" w:rsidP="00B20A4F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3FA3" w:rsidRPr="00B63052" w:rsidRDefault="00033FA3" w:rsidP="00B20A4F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en-GB" w:eastAsia="en-GB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3FA3" w:rsidRPr="00B63052" w:rsidRDefault="00033FA3" w:rsidP="00B20A4F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en-GB" w:eastAsia="en-GB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</w:tcPr>
          <w:p w:rsidR="00033FA3" w:rsidRPr="00B63052" w:rsidRDefault="00033FA3" w:rsidP="00B20A4F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en-GB" w:eastAsia="en-GB"/>
              </w:rPr>
            </w:pPr>
          </w:p>
        </w:tc>
      </w:tr>
      <w:tr w:rsidR="00033FA3" w:rsidRPr="00B63052" w:rsidTr="00B20A4F">
        <w:trPr>
          <w:trHeight w:val="20"/>
          <w:jc w:val="center"/>
        </w:trPr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33FA3" w:rsidRPr="00B63052" w:rsidRDefault="00033FA3" w:rsidP="00B20A4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en-GB" w:eastAsia="en-GB"/>
              </w:rPr>
            </w:pPr>
            <w:r w:rsidRPr="00B63052">
              <w:rPr>
                <w:rFonts w:ascii="Garamond" w:eastAsia="Times New Roman" w:hAnsi="Garamond"/>
                <w:b/>
                <w:bCs/>
                <w:sz w:val="20"/>
                <w:szCs w:val="20"/>
                <w:lang w:val="en-GB" w:eastAsia="en-GB"/>
              </w:rPr>
              <w:t>Nr.</w:t>
            </w:r>
          </w:p>
        </w:tc>
        <w:tc>
          <w:tcPr>
            <w:tcW w:w="8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33FA3" w:rsidRPr="00B63052" w:rsidRDefault="00033FA3" w:rsidP="00B20A4F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20"/>
                <w:szCs w:val="20"/>
                <w:lang w:val="en-GB" w:eastAsia="en-GB"/>
              </w:rPr>
            </w:pPr>
            <w:r w:rsidRPr="00B63052">
              <w:rPr>
                <w:rFonts w:ascii="Garamond" w:eastAsia="Times New Roman" w:hAnsi="Garamond"/>
                <w:b/>
                <w:bCs/>
                <w:sz w:val="20"/>
                <w:szCs w:val="20"/>
                <w:lang w:val="en-GB" w:eastAsia="en-GB"/>
              </w:rPr>
              <w:t>Autoriteti Kontraktues</w:t>
            </w:r>
          </w:p>
        </w:tc>
        <w:tc>
          <w:tcPr>
            <w:tcW w:w="1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33FA3" w:rsidRPr="00B63052" w:rsidRDefault="00033FA3" w:rsidP="00B20A4F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20"/>
                <w:szCs w:val="20"/>
                <w:lang w:val="en-GB" w:eastAsia="en-GB"/>
              </w:rPr>
            </w:pPr>
            <w:r w:rsidRPr="00B63052">
              <w:rPr>
                <w:rFonts w:ascii="Garamond" w:eastAsia="Times New Roman" w:hAnsi="Garamond"/>
                <w:b/>
                <w:bCs/>
                <w:sz w:val="20"/>
                <w:szCs w:val="20"/>
                <w:lang w:val="en-GB" w:eastAsia="en-GB"/>
              </w:rPr>
              <w:t>Emërtimi i projektit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33FA3" w:rsidRPr="00B63052" w:rsidRDefault="00033FA3" w:rsidP="00B20A4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63052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en-GB" w:eastAsia="en-GB"/>
              </w:rPr>
              <w:t>Vlera e plotë e projektit (lekë)</w:t>
            </w: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33FA3" w:rsidRPr="00B63052" w:rsidRDefault="00033FA3" w:rsidP="00B20A4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en-GB" w:eastAsia="en-GB"/>
              </w:rPr>
            </w:pPr>
            <w:r w:rsidRPr="00B63052">
              <w:rPr>
                <w:rFonts w:ascii="Garamond" w:eastAsia="Times New Roman" w:hAnsi="Garamond"/>
                <w:b/>
                <w:bCs/>
                <w:sz w:val="20"/>
                <w:szCs w:val="20"/>
                <w:lang w:val="en-GB" w:eastAsia="en-GB"/>
              </w:rPr>
              <w:t>Realizimi 2014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33FA3" w:rsidRPr="00B63052" w:rsidRDefault="00033FA3" w:rsidP="00B20A4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en-GB" w:eastAsia="en-GB"/>
              </w:rPr>
            </w:pPr>
            <w:r w:rsidRPr="00B63052">
              <w:rPr>
                <w:rFonts w:ascii="Garamond" w:eastAsia="Times New Roman" w:hAnsi="Garamond"/>
                <w:b/>
                <w:bCs/>
                <w:sz w:val="20"/>
                <w:szCs w:val="20"/>
                <w:lang w:val="en-GB" w:eastAsia="en-GB"/>
              </w:rPr>
              <w:t>Vlera e financimit për vitin 2015 (lekë)</w:t>
            </w:r>
          </w:p>
        </w:tc>
        <w:tc>
          <w:tcPr>
            <w:tcW w:w="6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:rsidR="00033FA3" w:rsidRPr="00B63052" w:rsidRDefault="00033FA3" w:rsidP="00B20A4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en-GB" w:eastAsia="en-GB"/>
              </w:rPr>
            </w:pPr>
            <w:r w:rsidRPr="00B63052">
              <w:rPr>
                <w:rFonts w:ascii="Garamond" w:eastAsia="Times New Roman" w:hAnsi="Garamond"/>
                <w:b/>
                <w:bCs/>
                <w:sz w:val="20"/>
                <w:szCs w:val="20"/>
                <w:lang w:val="en-GB" w:eastAsia="en-GB"/>
              </w:rPr>
              <w:t>Vlera e financimit për vitin 2016 (lekë)</w:t>
            </w:r>
          </w:p>
        </w:tc>
      </w:tr>
      <w:tr w:rsidR="00033FA3" w:rsidRPr="00B63052" w:rsidTr="00B20A4F">
        <w:trPr>
          <w:trHeight w:val="20"/>
          <w:jc w:val="center"/>
        </w:trPr>
        <w:tc>
          <w:tcPr>
            <w:tcW w:w="25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:rsidR="00033FA3" w:rsidRPr="00B63052" w:rsidRDefault="00033FA3" w:rsidP="00B20A4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en-GB" w:eastAsia="en-GB"/>
              </w:rPr>
            </w:pPr>
            <w:r w:rsidRPr="00B63052">
              <w:rPr>
                <w:rFonts w:ascii="Garamond" w:eastAsia="Times New Roman" w:hAnsi="Garamond"/>
                <w:b/>
                <w:bCs/>
                <w:sz w:val="20"/>
                <w:szCs w:val="20"/>
                <w:lang w:val="en-GB" w:eastAsia="en-GB"/>
              </w:rPr>
              <w:t>Qarku Lushnjë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33FA3" w:rsidRPr="00B63052" w:rsidRDefault="00033FA3" w:rsidP="00B20A4F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63052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33FA3" w:rsidRPr="00B63052" w:rsidRDefault="00033FA3" w:rsidP="00B20A4F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20"/>
                <w:szCs w:val="20"/>
                <w:lang w:val="en-GB" w:eastAsia="en-GB"/>
              </w:rPr>
            </w:pPr>
            <w:r w:rsidRPr="00B63052">
              <w:rPr>
                <w:rFonts w:ascii="Garamond" w:eastAsia="Times New Roman" w:hAnsi="Garamond"/>
                <w:b/>
                <w:bCs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33FA3" w:rsidRPr="00B63052" w:rsidRDefault="00033FA3" w:rsidP="00B20A4F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20"/>
                <w:szCs w:val="20"/>
                <w:lang w:val="en-GB" w:eastAsia="en-GB"/>
              </w:rPr>
            </w:pPr>
            <w:r w:rsidRPr="00B63052">
              <w:rPr>
                <w:rFonts w:ascii="Garamond" w:eastAsia="Times New Roman" w:hAnsi="Garamond"/>
                <w:b/>
                <w:bCs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:rsidR="00033FA3" w:rsidRPr="00B63052" w:rsidRDefault="00033FA3" w:rsidP="00B20A4F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20"/>
                <w:szCs w:val="20"/>
                <w:lang w:val="en-GB" w:eastAsia="en-GB"/>
              </w:rPr>
            </w:pPr>
          </w:p>
        </w:tc>
      </w:tr>
      <w:tr w:rsidR="00033FA3" w:rsidRPr="00B63052" w:rsidTr="00B20A4F">
        <w:trPr>
          <w:trHeight w:val="20"/>
          <w:jc w:val="center"/>
        </w:trPr>
        <w:tc>
          <w:tcPr>
            <w:tcW w:w="2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FA3" w:rsidRPr="00B63052" w:rsidRDefault="00033FA3" w:rsidP="00B20A4F">
            <w:pPr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en-GB" w:eastAsia="en-GB"/>
              </w:rPr>
            </w:pPr>
            <w:r w:rsidRPr="00B63052">
              <w:rPr>
                <w:rFonts w:ascii="Garamond" w:eastAsia="Times New Roman" w:hAnsi="Garamond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FA3" w:rsidRPr="00B63052" w:rsidRDefault="00033FA3" w:rsidP="00B20A4F">
            <w:pPr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en-GB" w:eastAsia="en-GB"/>
              </w:rPr>
            </w:pPr>
            <w:r w:rsidRPr="00B63052">
              <w:rPr>
                <w:rFonts w:ascii="Garamond" w:eastAsia="Times New Roman" w:hAnsi="Garamond"/>
                <w:sz w:val="20"/>
                <w:szCs w:val="20"/>
                <w:lang w:val="en-GB" w:eastAsia="en-GB"/>
              </w:rPr>
              <w:t>Bashkia Divjakë</w:t>
            </w:r>
          </w:p>
        </w:tc>
        <w:tc>
          <w:tcPr>
            <w:tcW w:w="1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A3" w:rsidRPr="00B63052" w:rsidRDefault="00033FA3" w:rsidP="00B20A4F">
            <w:pPr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en-GB" w:eastAsia="en-GB"/>
              </w:rPr>
            </w:pPr>
            <w:r w:rsidRPr="00B63052">
              <w:rPr>
                <w:rFonts w:ascii="Garamond" w:eastAsia="Times New Roman" w:hAnsi="Garamond"/>
                <w:sz w:val="20"/>
                <w:szCs w:val="20"/>
                <w:lang w:val="en-GB" w:eastAsia="en-GB"/>
              </w:rPr>
              <w:t>Ndërtimi i Qendrës Shëndetësore, Divjakë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FA3" w:rsidRPr="00B63052" w:rsidRDefault="00033FA3" w:rsidP="00B20A4F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en-GB" w:eastAsia="en-GB"/>
              </w:rPr>
            </w:pPr>
            <w:r w:rsidRPr="00B63052">
              <w:rPr>
                <w:rFonts w:ascii="Garamond" w:eastAsia="Times New Roman" w:hAnsi="Garamond"/>
                <w:sz w:val="20"/>
                <w:szCs w:val="20"/>
                <w:lang w:val="en-GB" w:eastAsia="en-GB"/>
              </w:rPr>
              <w:t xml:space="preserve">52,400,000    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3FA3" w:rsidRPr="00B63052" w:rsidRDefault="00033FA3" w:rsidP="00B20A4F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en-GB" w:eastAsia="en-GB"/>
              </w:rPr>
            </w:pPr>
            <w:r w:rsidRPr="00B63052">
              <w:rPr>
                <w:rFonts w:ascii="Garamond" w:eastAsia="Times New Roman" w:hAnsi="Garamond"/>
                <w:sz w:val="20"/>
                <w:szCs w:val="20"/>
                <w:lang w:val="en-GB" w:eastAsia="en-GB"/>
              </w:rPr>
              <w:t>-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3FA3" w:rsidRPr="00B63052" w:rsidRDefault="00033FA3" w:rsidP="00B20A4F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en-GB" w:eastAsia="en-GB"/>
              </w:rPr>
            </w:pPr>
            <w:r w:rsidRPr="00B63052">
              <w:rPr>
                <w:rFonts w:ascii="Garamond" w:eastAsia="Times New Roman" w:hAnsi="Garamond"/>
                <w:sz w:val="20"/>
                <w:szCs w:val="20"/>
                <w:lang w:val="en-GB" w:eastAsia="en-GB"/>
              </w:rPr>
              <w:t xml:space="preserve">22,600,000    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3FA3" w:rsidRPr="00B63052" w:rsidRDefault="00033FA3" w:rsidP="00B20A4F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en-GB" w:eastAsia="en-GB"/>
              </w:rPr>
            </w:pPr>
            <w:r w:rsidRPr="00B63052">
              <w:rPr>
                <w:rFonts w:ascii="Garamond" w:eastAsia="Times New Roman" w:hAnsi="Garamond"/>
                <w:sz w:val="20"/>
                <w:szCs w:val="20"/>
                <w:lang w:val="en-GB" w:eastAsia="en-GB"/>
              </w:rPr>
              <w:t>29,800,000</w:t>
            </w:r>
          </w:p>
        </w:tc>
      </w:tr>
      <w:tr w:rsidR="00033FA3" w:rsidRPr="00B63052" w:rsidTr="00B20A4F">
        <w:trPr>
          <w:trHeight w:val="20"/>
          <w:jc w:val="center"/>
        </w:trPr>
        <w:tc>
          <w:tcPr>
            <w:tcW w:w="2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033FA3" w:rsidRPr="00B63052" w:rsidRDefault="00033FA3" w:rsidP="00B20A4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en-GB" w:eastAsia="en-GB"/>
              </w:rPr>
            </w:pPr>
            <w:r w:rsidRPr="00B63052">
              <w:rPr>
                <w:rFonts w:ascii="Garamond" w:eastAsia="Times New Roman" w:hAnsi="Garamond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33FA3" w:rsidRPr="00B63052" w:rsidRDefault="00033FA3" w:rsidP="00B20A4F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20"/>
                <w:szCs w:val="20"/>
                <w:lang w:val="en-GB" w:eastAsia="en-GB"/>
              </w:rPr>
            </w:pPr>
            <w:r w:rsidRPr="00B63052">
              <w:rPr>
                <w:rFonts w:ascii="Garamond" w:eastAsia="Times New Roman" w:hAnsi="Garamond"/>
                <w:b/>
                <w:bCs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33FA3" w:rsidRPr="00B63052" w:rsidRDefault="00033FA3" w:rsidP="00B20A4F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20"/>
                <w:szCs w:val="20"/>
                <w:lang w:val="en-GB" w:eastAsia="en-GB"/>
              </w:rPr>
            </w:pPr>
            <w:r w:rsidRPr="00B63052">
              <w:rPr>
                <w:rFonts w:ascii="Garamond" w:eastAsia="Times New Roman" w:hAnsi="Garamond"/>
                <w:b/>
                <w:bCs/>
                <w:sz w:val="20"/>
                <w:szCs w:val="20"/>
                <w:lang w:val="en-GB" w:eastAsia="en-GB"/>
              </w:rPr>
              <w:t>Totali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33FA3" w:rsidRPr="00B63052" w:rsidRDefault="00033FA3" w:rsidP="00B20A4F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sz w:val="20"/>
                <w:szCs w:val="20"/>
                <w:lang w:val="en-GB" w:eastAsia="en-GB"/>
              </w:rPr>
            </w:pPr>
            <w:r w:rsidRPr="00B63052">
              <w:rPr>
                <w:rFonts w:ascii="Garamond" w:eastAsia="Times New Roman" w:hAnsi="Garamond"/>
                <w:b/>
                <w:sz w:val="20"/>
                <w:szCs w:val="20"/>
                <w:lang w:val="en-GB" w:eastAsia="en-GB"/>
              </w:rPr>
              <w:t>52,400,000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:rsidR="00033FA3" w:rsidRPr="00B63052" w:rsidRDefault="00033FA3" w:rsidP="00B20A4F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sz w:val="20"/>
                <w:szCs w:val="20"/>
                <w:lang w:val="en-GB" w:eastAsia="en-GB"/>
              </w:rPr>
            </w:pPr>
            <w:r w:rsidRPr="00B63052">
              <w:rPr>
                <w:rFonts w:ascii="Garamond" w:eastAsia="Times New Roman" w:hAnsi="Garamond"/>
                <w:b/>
                <w:sz w:val="20"/>
                <w:szCs w:val="20"/>
                <w:lang w:val="en-GB" w:eastAsia="en-GB"/>
              </w:rPr>
              <w:t>-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:rsidR="00033FA3" w:rsidRPr="00B63052" w:rsidRDefault="00033FA3" w:rsidP="00B20A4F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sz w:val="20"/>
                <w:szCs w:val="20"/>
                <w:lang w:val="en-GB" w:eastAsia="en-GB"/>
              </w:rPr>
            </w:pPr>
            <w:r w:rsidRPr="00B63052">
              <w:rPr>
                <w:rFonts w:ascii="Garamond" w:eastAsia="Times New Roman" w:hAnsi="Garamond"/>
                <w:b/>
                <w:sz w:val="20"/>
                <w:szCs w:val="20"/>
                <w:lang w:val="en-GB" w:eastAsia="en-GB"/>
              </w:rPr>
              <w:t xml:space="preserve">22,600,000    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:rsidR="00033FA3" w:rsidRPr="00B63052" w:rsidRDefault="00033FA3" w:rsidP="00B20A4F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sz w:val="20"/>
                <w:szCs w:val="20"/>
                <w:lang w:val="en-GB" w:eastAsia="en-GB"/>
              </w:rPr>
            </w:pPr>
            <w:r w:rsidRPr="00B63052">
              <w:rPr>
                <w:rFonts w:ascii="Garamond" w:eastAsia="Times New Roman" w:hAnsi="Garamond"/>
                <w:b/>
                <w:sz w:val="20"/>
                <w:szCs w:val="20"/>
                <w:lang w:val="en-GB" w:eastAsia="en-GB"/>
              </w:rPr>
              <w:t>29,800,000</w:t>
            </w:r>
          </w:p>
        </w:tc>
      </w:tr>
    </w:tbl>
    <w:p w:rsidR="00033FA3" w:rsidRDefault="00033FA3" w:rsidP="00033FA3">
      <w:pPr>
        <w:pStyle w:val="Paragrafi"/>
        <w:ind w:firstLine="0"/>
        <w:rPr>
          <w:noProof/>
        </w:rPr>
      </w:pPr>
    </w:p>
    <w:tbl>
      <w:tblPr>
        <w:tblW w:w="10636" w:type="dxa"/>
        <w:jc w:val="center"/>
        <w:tblInd w:w="-162" w:type="dxa"/>
        <w:tblLook w:val="04A0" w:firstRow="1" w:lastRow="0" w:firstColumn="1" w:lastColumn="0" w:noHBand="0" w:noVBand="1"/>
      </w:tblPr>
      <w:tblGrid>
        <w:gridCol w:w="2387"/>
        <w:gridCol w:w="4963"/>
        <w:gridCol w:w="1736"/>
        <w:gridCol w:w="836"/>
        <w:gridCol w:w="714"/>
      </w:tblGrid>
      <w:tr w:rsidR="00033FA3" w:rsidRPr="00722814" w:rsidTr="00B20A4F">
        <w:trPr>
          <w:trHeight w:val="300"/>
          <w:jc w:val="center"/>
        </w:trPr>
        <w:tc>
          <w:tcPr>
            <w:tcW w:w="2387" w:type="dxa"/>
            <w:shd w:val="clear" w:color="auto" w:fill="auto"/>
            <w:noWrap/>
            <w:vAlign w:val="center"/>
            <w:hideMark/>
          </w:tcPr>
          <w:p w:rsidR="00033FA3" w:rsidRPr="005715C2" w:rsidRDefault="00033FA3" w:rsidP="00B20A4F">
            <w:pPr>
              <w:spacing w:after="0" w:line="240" w:lineRule="auto"/>
              <w:rPr>
                <w:rFonts w:ascii="Garamond" w:eastAsia="Times New Roman" w:hAnsi="Garamond"/>
                <w:b/>
                <w:bCs/>
                <w:color w:val="000000"/>
                <w:u w:val="single"/>
              </w:rPr>
            </w:pPr>
            <w:r w:rsidRPr="005715C2">
              <w:rPr>
                <w:rFonts w:ascii="Garamond" w:eastAsia="Times New Roman" w:hAnsi="Garamond"/>
                <w:bCs/>
                <w:color w:val="000000"/>
                <w:lang w:val="en-GB"/>
              </w:rPr>
              <w:t>Shënim</w:t>
            </w:r>
            <w:r>
              <w:rPr>
                <w:rFonts w:ascii="Garamond" w:eastAsia="Times New Roman" w:hAnsi="Garamond"/>
                <w:b/>
                <w:bCs/>
                <w:color w:val="000000"/>
                <w:u w:val="single"/>
                <w:lang w:val="en-GB"/>
              </w:rPr>
              <w:t>.</w:t>
            </w:r>
          </w:p>
        </w:tc>
        <w:tc>
          <w:tcPr>
            <w:tcW w:w="4963" w:type="dxa"/>
            <w:shd w:val="clear" w:color="auto" w:fill="auto"/>
            <w:noWrap/>
            <w:vAlign w:val="center"/>
            <w:hideMark/>
          </w:tcPr>
          <w:p w:rsidR="00033FA3" w:rsidRPr="005715C2" w:rsidRDefault="00033FA3" w:rsidP="00B20A4F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</w:p>
        </w:tc>
        <w:tc>
          <w:tcPr>
            <w:tcW w:w="1736" w:type="dxa"/>
            <w:shd w:val="clear" w:color="auto" w:fill="auto"/>
            <w:noWrap/>
            <w:vAlign w:val="center"/>
            <w:hideMark/>
          </w:tcPr>
          <w:p w:rsidR="00033FA3" w:rsidRPr="005715C2" w:rsidRDefault="00033FA3" w:rsidP="00B20A4F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</w:p>
        </w:tc>
        <w:tc>
          <w:tcPr>
            <w:tcW w:w="1550" w:type="dxa"/>
            <w:gridSpan w:val="2"/>
            <w:shd w:val="clear" w:color="auto" w:fill="auto"/>
            <w:noWrap/>
            <w:vAlign w:val="center"/>
            <w:hideMark/>
          </w:tcPr>
          <w:p w:rsidR="00033FA3" w:rsidRPr="005715C2" w:rsidRDefault="00033FA3" w:rsidP="00B20A4F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</w:p>
        </w:tc>
      </w:tr>
      <w:tr w:rsidR="00033FA3" w:rsidRPr="00722814" w:rsidTr="00B20A4F">
        <w:trPr>
          <w:gridAfter w:val="1"/>
          <w:wAfter w:w="714" w:type="dxa"/>
          <w:trHeight w:val="414"/>
          <w:jc w:val="center"/>
        </w:trPr>
        <w:tc>
          <w:tcPr>
            <w:tcW w:w="9922" w:type="dxa"/>
            <w:gridSpan w:val="4"/>
            <w:shd w:val="clear" w:color="auto" w:fill="auto"/>
            <w:vAlign w:val="center"/>
            <w:hideMark/>
          </w:tcPr>
          <w:p w:rsidR="00033FA3" w:rsidRPr="005715C2" w:rsidRDefault="00033FA3" w:rsidP="00B20A4F">
            <w:pPr>
              <w:spacing w:after="0" w:line="240" w:lineRule="auto"/>
              <w:rPr>
                <w:rFonts w:ascii="Garamond" w:eastAsia="Times New Roman" w:hAnsi="Garamond"/>
                <w:color w:val="000000"/>
              </w:rPr>
            </w:pPr>
            <w:r w:rsidRPr="005715C2">
              <w:rPr>
                <w:rFonts w:ascii="Garamond" w:eastAsia="Times New Roman" w:hAnsi="Garamond"/>
                <w:color w:val="000000"/>
                <w:lang w:val="en-GB"/>
              </w:rPr>
              <w:t>1. “Vlera e plotë e projektit” përfaqëson vlerën brenda së cilës caktohet fondi limit për prokurimin e zbatimit të punimeve (kur nuk ka financim tjetër nga NJQV-të).</w:t>
            </w:r>
          </w:p>
        </w:tc>
      </w:tr>
      <w:tr w:rsidR="00033FA3" w:rsidRPr="00722814" w:rsidTr="00B20A4F">
        <w:trPr>
          <w:gridAfter w:val="1"/>
          <w:wAfter w:w="714" w:type="dxa"/>
          <w:trHeight w:val="592"/>
          <w:jc w:val="center"/>
        </w:trPr>
        <w:tc>
          <w:tcPr>
            <w:tcW w:w="9922" w:type="dxa"/>
            <w:gridSpan w:val="4"/>
            <w:shd w:val="clear" w:color="auto" w:fill="auto"/>
            <w:vAlign w:val="center"/>
            <w:hideMark/>
          </w:tcPr>
          <w:p w:rsidR="00033FA3" w:rsidRPr="005715C2" w:rsidRDefault="00033FA3" w:rsidP="00B20A4F">
            <w:pPr>
              <w:spacing w:after="0" w:line="240" w:lineRule="auto"/>
              <w:rPr>
                <w:rFonts w:ascii="Garamond" w:eastAsia="Times New Roman" w:hAnsi="Garamond"/>
                <w:color w:val="000000"/>
              </w:rPr>
            </w:pPr>
            <w:r w:rsidRPr="005715C2">
              <w:rPr>
                <w:rFonts w:ascii="Garamond" w:eastAsia="Times New Roman" w:hAnsi="Garamond"/>
                <w:color w:val="000000"/>
                <w:lang w:val="en-GB"/>
              </w:rPr>
              <w:t>2. “Vlera e financimit për vitin 2015” tregon vlerën e financimit që vihet në dispozicion nga buxheti i Fondit për Zhvillimin e Rajoneve për vitin 2015.</w:t>
            </w:r>
          </w:p>
        </w:tc>
      </w:tr>
      <w:tr w:rsidR="00033FA3" w:rsidRPr="00722814" w:rsidTr="00B20A4F">
        <w:trPr>
          <w:gridAfter w:val="1"/>
          <w:wAfter w:w="714" w:type="dxa"/>
          <w:trHeight w:val="416"/>
          <w:jc w:val="center"/>
        </w:trPr>
        <w:tc>
          <w:tcPr>
            <w:tcW w:w="9922" w:type="dxa"/>
            <w:gridSpan w:val="4"/>
            <w:shd w:val="clear" w:color="auto" w:fill="auto"/>
            <w:vAlign w:val="center"/>
            <w:hideMark/>
          </w:tcPr>
          <w:p w:rsidR="00033FA3" w:rsidRPr="005715C2" w:rsidRDefault="00033FA3" w:rsidP="00B20A4F">
            <w:pPr>
              <w:spacing w:after="0" w:line="240" w:lineRule="auto"/>
              <w:rPr>
                <w:rFonts w:ascii="Garamond" w:eastAsia="Times New Roman" w:hAnsi="Garamond"/>
                <w:color w:val="000000"/>
              </w:rPr>
            </w:pPr>
            <w:r w:rsidRPr="005715C2">
              <w:rPr>
                <w:rFonts w:ascii="Garamond" w:eastAsia="Times New Roman" w:hAnsi="Garamond"/>
                <w:color w:val="000000"/>
                <w:lang w:val="en-GB"/>
              </w:rPr>
              <w:t>3. Diferenca financimit të vlerës së plotë (mbas prokurimit) me vlerën e financimit për vitin 2015 do të financohet nga FZHR-ja për vitin 2016.</w:t>
            </w:r>
          </w:p>
        </w:tc>
      </w:tr>
    </w:tbl>
    <w:p w:rsidR="00033FA3" w:rsidRDefault="00033FA3" w:rsidP="00033FA3">
      <w:pPr>
        <w:pStyle w:val="Hapesira7"/>
        <w:rPr>
          <w:noProof/>
        </w:rPr>
      </w:pPr>
    </w:p>
    <w:p w:rsidR="00FD57DC" w:rsidRDefault="009910DE"/>
    <w:sectPr w:rsidR="00FD57DC" w:rsidSect="009910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9910DE">
      <w:pPr>
        <w:spacing w:after="0" w:line="240" w:lineRule="auto"/>
      </w:pPr>
      <w:r>
        <w:separator/>
      </w:r>
    </w:p>
  </w:endnote>
  <w:endnote w:type="continuationSeparator" w:id="0">
    <w:p w:rsidR="00000000" w:rsidRDefault="009910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9910DE">
      <w:pPr>
        <w:spacing w:after="0" w:line="240" w:lineRule="auto"/>
      </w:pPr>
      <w:r>
        <w:separator/>
      </w:r>
    </w:p>
  </w:footnote>
  <w:footnote w:type="continuationSeparator" w:id="0">
    <w:p w:rsidR="00000000" w:rsidRDefault="009910D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3FA3"/>
    <w:rsid w:val="00013606"/>
    <w:rsid w:val="00033FA3"/>
    <w:rsid w:val="001D125B"/>
    <w:rsid w:val="002C0AA4"/>
    <w:rsid w:val="002E7553"/>
    <w:rsid w:val="00332E0F"/>
    <w:rsid w:val="00455FC5"/>
    <w:rsid w:val="004A4709"/>
    <w:rsid w:val="00627136"/>
    <w:rsid w:val="007A33AA"/>
    <w:rsid w:val="00912120"/>
    <w:rsid w:val="009910DE"/>
    <w:rsid w:val="00A3508F"/>
    <w:rsid w:val="00A97BF3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3FA3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33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033FA3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033F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3FA3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rsid w:val="00033FA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33FA3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033FA3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3F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3FA3"/>
    <w:rPr>
      <w:rFonts w:ascii="Tahoma" w:eastAsia="Calibri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9910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10DE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3FA3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33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033FA3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033F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3FA3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rsid w:val="00033FA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33FA3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033FA3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3F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3FA3"/>
    <w:rPr>
      <w:rFonts w:ascii="Tahoma" w:eastAsia="Calibri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9910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10DE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273</Words>
  <Characters>1560</Characters>
  <Application>Microsoft Office Word</Application>
  <DocSecurity>4</DocSecurity>
  <Lines>13</Lines>
  <Paragraphs>3</Paragraphs>
  <ScaleCrop>false</ScaleCrop>
  <Company>Grizli777</Company>
  <LinksUpToDate>false</LinksUpToDate>
  <CharactersWithSpaces>1830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dcterms:created xsi:type="dcterms:W3CDTF">2019-01-29T11:11:00Z</dcterms:created>
  <dcterms:modified xsi:type="dcterms:W3CDTF">2019-01-29T11:11:00Z</dcterms:modified>
</cp:coreProperties>
</file>