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063" w:rsidRDefault="009C2063" w:rsidP="009C2063">
      <w:pPr>
        <w:pStyle w:val="Paragrafi0"/>
        <w:ind w:firstLine="0"/>
      </w:pPr>
      <w:bookmarkStart w:id="0" w:name="_GoBack"/>
      <w:bookmarkEnd w:id="0"/>
    </w:p>
    <w:p w:rsidR="009C2063" w:rsidRDefault="009C2063" w:rsidP="009C2063">
      <w:pPr>
        <w:pStyle w:val="Akti"/>
        <w:keepNext w:val="0"/>
      </w:pPr>
      <w:r>
        <w:t>Udhëzim</w:t>
      </w:r>
    </w:p>
    <w:p w:rsidR="009C2063" w:rsidRDefault="009C2063" w:rsidP="009C2063">
      <w:pPr>
        <w:pStyle w:val="NumriData"/>
        <w:keepNext w:val="0"/>
      </w:pPr>
      <w:r>
        <w:t>Nr.20, datë 29.7.2009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Titulli0"/>
        <w:keepNext w:val="0"/>
      </w:pPr>
      <w:r>
        <w:t>Për disa ndryshime në shtojcën 1 të udhëzimit nr.5, datë 22.1.2008 “Për përcaktimin e standardeve akademike të nevojshme për hapjen, mbylljen dhe riorganizimin e programeve të studimit të doktoratës, si dhe të elementeve bazë, sipas të cilave instituCionet e arsimit të lartë duhet të përgatisin rregulloren përkatëse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  <w:r>
        <w:t>Mbështetur në nenin 102 të Kushtetutës, të ligjit nr.9741, datë 21.5.2007 “Për arsimin e lartë në Republikën e Shqipërisë”, i ndryshuar dhe të vendimit nr.864, datë 5.12.2007 të Këshillit të Ministrave “Për hapjen e programeve të studimit të doktoratës në institucionet publike të arsimit të lartë dhe përcaktimin e kushteve, që duhet të plotësojë studenti për marrjen e diplomës për gradën shkencore “Doktor”, të ndryshuar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VENDOSI0"/>
        <w:keepNext w:val="0"/>
      </w:pPr>
      <w:r>
        <w:t>Udhëzoj: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  <w:r>
        <w:t>1. Pika 3 e shtojcës 1 të udhëzimit nr.5, datë 22.1.2008 “Për përcaktimin e standardeve akademike të nevojshme për hapjen, mbylljen dhe riorganizimin e programeve të studimit të doktoratës, si dhe të elementeve bazë, sipas të cilave institucionet e arsimit të lartë duhet të përgatisin rregulloren përkatëse”, ndryshon si më poshtë: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  <w:r>
        <w:t>“3. Elemente të përgjithshme të programit të studimit të doktoratës</w:t>
      </w:r>
    </w:p>
    <w:p w:rsidR="009C2063" w:rsidRDefault="009C2063" w:rsidP="009C2063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856"/>
      </w:tblGrid>
      <w:tr w:rsidR="009C2063" w:rsidTr="009C2063">
        <w:tc>
          <w:tcPr>
            <w:tcW w:w="9289" w:type="dxa"/>
          </w:tcPr>
          <w:p w:rsidR="009C2063" w:rsidRDefault="009C2063" w:rsidP="009C2063">
            <w:pPr>
              <w:pStyle w:val="Paragrafi0"/>
              <w:ind w:firstLine="0"/>
            </w:pPr>
            <w:r>
              <w:t>Viti I</w:t>
            </w:r>
          </w:p>
        </w:tc>
      </w:tr>
      <w:tr w:rsidR="009C2063" w:rsidTr="009C2063">
        <w:tc>
          <w:tcPr>
            <w:tcW w:w="9289" w:type="dxa"/>
          </w:tcPr>
          <w:p w:rsidR="009C2063" w:rsidRDefault="009C2063" w:rsidP="009C2063">
            <w:pPr>
              <w:pStyle w:val="Paragrafi0"/>
              <w:ind w:firstLine="0"/>
            </w:pPr>
            <w:r>
              <w:t>Viti II</w:t>
            </w:r>
          </w:p>
        </w:tc>
      </w:tr>
      <w:tr w:rsidR="009C2063" w:rsidTr="009C2063">
        <w:tc>
          <w:tcPr>
            <w:tcW w:w="9289" w:type="dxa"/>
          </w:tcPr>
          <w:p w:rsidR="009C2063" w:rsidRDefault="009C2063" w:rsidP="009C2063">
            <w:pPr>
              <w:pStyle w:val="Paragrafi0"/>
              <w:ind w:firstLine="0"/>
            </w:pPr>
            <w:r>
              <w:t>Viti III</w:t>
            </w:r>
          </w:p>
        </w:tc>
      </w:tr>
    </w:tbl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  <w:r>
        <w:t>Kur, për raste të veçanta, kohëzgjatja normale e programit të doktoratës, në formën me kohë të plotë, nevojitet të jetë më shumë se tre vjet, të specifikohen elementet e përgjithshme të programit të studimit dhe për vitet e tjera.”.</w:t>
      </w:r>
    </w:p>
    <w:p w:rsidR="009C2063" w:rsidRDefault="009C2063" w:rsidP="009C2063">
      <w:pPr>
        <w:pStyle w:val="Paragrafi0"/>
      </w:pPr>
      <w:r>
        <w:t>2. Pika 4 e shtojcës 1, ndryshon si më poshtë:</w:t>
      </w:r>
    </w:p>
    <w:p w:rsidR="009C2063" w:rsidRDefault="009C2063" w:rsidP="009C2063">
      <w:pPr>
        <w:pStyle w:val="Paragrafi0"/>
      </w:pPr>
      <w:r>
        <w:t>“4. Plani i detajuar mësimor për thellimin teorik</w:t>
      </w:r>
    </w:p>
    <w:p w:rsidR="009C2063" w:rsidRDefault="009C2063" w:rsidP="009C2063">
      <w:pPr>
        <w:pStyle w:val="Paragrafi0"/>
      </w:pPr>
      <w:r>
        <w:t>Të jepet plani mësimor duke detajuar shpërndarjen në vite dhe semestra të disiplinave, të seminareve dhe çdo aktiviteti tjetër formues, shoqëruar me numrin e krediteve dhe orëve përkatëse, si dhe kërkesat për frekuentimin dhe verifikim të dijeve.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130"/>
        <w:gridCol w:w="1228"/>
        <w:gridCol w:w="1421"/>
        <w:gridCol w:w="1325"/>
        <w:gridCol w:w="1272"/>
        <w:gridCol w:w="1252"/>
      </w:tblGrid>
      <w:tr w:rsidR="009C2063" w:rsidRPr="00BB269D" w:rsidTr="009C2063">
        <w:trPr>
          <w:jc w:val="center"/>
        </w:trPr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Emërtimi i aktivitetit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Kreditë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Orë mësimore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Viti/semestri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Frekuentim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Mënyra e verifikimit të dijeve</w:t>
            </w:r>
          </w:p>
        </w:tc>
        <w:tc>
          <w:tcPr>
            <w:tcW w:w="1327" w:type="dxa"/>
          </w:tcPr>
          <w:p w:rsidR="009C2063" w:rsidRPr="00BB269D" w:rsidRDefault="009C2063" w:rsidP="009C2063">
            <w:pPr>
              <w:pStyle w:val="Paragrafi0"/>
              <w:ind w:firstLine="0"/>
              <w:jc w:val="center"/>
              <w:rPr>
                <w:b/>
              </w:rPr>
            </w:pPr>
            <w:r w:rsidRPr="00BB269D">
              <w:rPr>
                <w:b/>
              </w:rPr>
              <w:t>Personi përgjegjës</w:t>
            </w:r>
          </w:p>
        </w:tc>
      </w:tr>
      <w:tr w:rsidR="009C2063" w:rsidTr="009C2063">
        <w:trPr>
          <w:jc w:val="center"/>
        </w:trPr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  <w:r>
              <w:t>1.</w:t>
            </w: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</w:tr>
      <w:tr w:rsidR="009C2063" w:rsidTr="009C2063">
        <w:trPr>
          <w:jc w:val="center"/>
        </w:trPr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  <w:r>
              <w:t>2.</w:t>
            </w: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</w:tr>
      <w:tr w:rsidR="009C2063" w:rsidTr="009C2063">
        <w:trPr>
          <w:jc w:val="center"/>
        </w:trPr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  <w:r>
              <w:t>3.</w:t>
            </w: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</w:tr>
      <w:tr w:rsidR="009C2063" w:rsidTr="009C2063">
        <w:trPr>
          <w:jc w:val="center"/>
        </w:trPr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  <w:r>
              <w:t>4.</w:t>
            </w: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</w:tr>
      <w:tr w:rsidR="009C2063" w:rsidTr="009C2063">
        <w:trPr>
          <w:jc w:val="center"/>
        </w:trPr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  <w:r>
              <w:t>5.</w:t>
            </w: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  <w:tc>
          <w:tcPr>
            <w:tcW w:w="1327" w:type="dxa"/>
          </w:tcPr>
          <w:p w:rsidR="009C2063" w:rsidRDefault="009C2063" w:rsidP="009C2063">
            <w:pPr>
              <w:pStyle w:val="Paragrafi0"/>
              <w:ind w:firstLine="0"/>
            </w:pPr>
          </w:p>
        </w:tc>
      </w:tr>
    </w:tbl>
    <w:p w:rsidR="009C2063" w:rsidRDefault="009C2063" w:rsidP="009C2063">
      <w:pPr>
        <w:pStyle w:val="Paragrafi0"/>
      </w:pPr>
    </w:p>
    <w:p w:rsidR="009C2063" w:rsidRDefault="009C2063" w:rsidP="009C2063">
      <w:pPr>
        <w:pStyle w:val="Paragrafi0"/>
      </w:pPr>
      <w:r>
        <w:t>3. Ngarkohen për zbatimin e këtij udhëzimi Drejtoria e Politikave të Arsimit të Lartë dhe institucionet e arsimit të lartë.</w:t>
      </w:r>
    </w:p>
    <w:p w:rsidR="009C2063" w:rsidRDefault="009C2063" w:rsidP="009C2063">
      <w:pPr>
        <w:pStyle w:val="Paragrafi0"/>
      </w:pPr>
      <w:r>
        <w:t>Ky udhëzim hyn në fuqi pas botimit në Fletoren Zyrtare.</w:t>
      </w:r>
    </w:p>
    <w:p w:rsidR="009C2063" w:rsidRDefault="009C2063" w:rsidP="009C2063">
      <w:pPr>
        <w:pStyle w:val="Paragrafi0"/>
      </w:pPr>
    </w:p>
    <w:p w:rsidR="009C2063" w:rsidRDefault="009C2063" w:rsidP="009C2063">
      <w:pPr>
        <w:pStyle w:val="Autoriteti"/>
        <w:keepNext w:val="0"/>
      </w:pPr>
      <w:r>
        <w:t>Ministri i Arsimit dhe Shkencës</w:t>
      </w:r>
    </w:p>
    <w:p w:rsidR="009C2063" w:rsidRDefault="009C2063" w:rsidP="009C2063">
      <w:pPr>
        <w:pStyle w:val="AutoritetiEmer"/>
      </w:pPr>
      <w:r>
        <w:t>Fatos Beja</w:t>
      </w:r>
    </w:p>
    <w:sectPr w:rsidR="009C20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2063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063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1D4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E5D5C4-124A-41C1-8402-64DD5945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063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9C206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