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AACFE" w14:textId="77777777" w:rsidR="00173DDB" w:rsidRPr="00A653CA" w:rsidRDefault="00173DDB" w:rsidP="0044305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sz w:val="24"/>
          <w:szCs w:val="24"/>
        </w:rPr>
        <w:t>UDHËZIM</w:t>
      </w:r>
    </w:p>
    <w:p w14:paraId="372B55EE" w14:textId="3532BD7F" w:rsidR="00173DDB" w:rsidRPr="00A653CA" w:rsidRDefault="00173DDB" w:rsidP="0044305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sz w:val="24"/>
          <w:szCs w:val="24"/>
        </w:rPr>
        <w:t>Nr.</w:t>
      </w:r>
      <w:r w:rsidR="00640AAB" w:rsidRPr="00A653CA">
        <w:rPr>
          <w:rFonts w:ascii="Garamond" w:hAnsi="Garamond" w:cs="Times New Roman"/>
          <w:b/>
          <w:bCs/>
          <w:sz w:val="24"/>
          <w:szCs w:val="24"/>
        </w:rPr>
        <w:t xml:space="preserve"> </w:t>
      </w:r>
      <w:r w:rsidRPr="00A653CA">
        <w:rPr>
          <w:rFonts w:ascii="Garamond" w:hAnsi="Garamond" w:cs="Times New Roman"/>
          <w:b/>
          <w:bCs/>
          <w:sz w:val="24"/>
          <w:szCs w:val="24"/>
        </w:rPr>
        <w:t>21, datë 15.10.2021</w:t>
      </w:r>
    </w:p>
    <w:p w14:paraId="148C5425"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F50365F" w14:textId="2A7A82ED" w:rsidR="00173DDB" w:rsidRPr="00A653CA" w:rsidRDefault="00173DDB" w:rsidP="00640AAB">
      <w:pPr>
        <w:widowControl w:val="0"/>
        <w:autoSpaceDE w:val="0"/>
        <w:autoSpaceDN w:val="0"/>
        <w:adjustRightInd w:val="0"/>
        <w:spacing w:after="0" w:line="240" w:lineRule="auto"/>
        <w:jc w:val="center"/>
        <w:rPr>
          <w:rFonts w:ascii="Garamond" w:hAnsi="Garamond" w:cs="Times New Roman"/>
          <w:b/>
          <w:bCs/>
          <w:sz w:val="24"/>
          <w:szCs w:val="24"/>
        </w:rPr>
      </w:pPr>
      <w:r w:rsidRPr="00A653CA">
        <w:rPr>
          <w:rFonts w:ascii="Garamond" w:hAnsi="Garamond" w:cs="Times New Roman"/>
          <w:b/>
          <w:bCs/>
          <w:sz w:val="24"/>
          <w:szCs w:val="24"/>
        </w:rPr>
        <w:t>PËR</w:t>
      </w:r>
      <w:r w:rsidR="00443050" w:rsidRPr="00A653CA">
        <w:rPr>
          <w:rFonts w:ascii="Garamond" w:hAnsi="Garamond" w:cs="Times New Roman"/>
          <w:b/>
          <w:bCs/>
          <w:sz w:val="24"/>
          <w:szCs w:val="24"/>
        </w:rPr>
        <w:t xml:space="preserve"> </w:t>
      </w:r>
      <w:r w:rsidRPr="00A653CA">
        <w:rPr>
          <w:rFonts w:ascii="Garamond" w:hAnsi="Garamond" w:cs="Times New Roman"/>
          <w:b/>
          <w:bCs/>
          <w:sz w:val="24"/>
          <w:szCs w:val="24"/>
        </w:rPr>
        <w:t>KRITERET DHE PROCEDURAT PËR NJOHJEN DHE NJËSIMIN NË REPUBLIKËN E SHQIPËRISË, TË DIPLOMAVE, CERTIFIKATAVE, GRADAVE SHKENCORE DHE TITUJVE AKADEMIKË, TË LËSHUARA NGA INSTITUCIONE TË HUAJA TË ARSIMIT TË LARTË DHE INSTITUCIONE TË TJERA TË AUTORIZUARA</w:t>
      </w:r>
    </w:p>
    <w:p w14:paraId="40EB650B" w14:textId="769F9616" w:rsidR="00E3661C" w:rsidRPr="00A653CA" w:rsidRDefault="00E3661C" w:rsidP="00640AAB">
      <w:pPr>
        <w:widowControl w:val="0"/>
        <w:autoSpaceDE w:val="0"/>
        <w:autoSpaceDN w:val="0"/>
        <w:adjustRightInd w:val="0"/>
        <w:spacing w:after="0" w:line="240" w:lineRule="auto"/>
        <w:jc w:val="center"/>
        <w:rPr>
          <w:rFonts w:ascii="Garamond" w:hAnsi="Garamond" w:cs="Times New Roman"/>
          <w:bCs/>
          <w:i/>
          <w:sz w:val="24"/>
          <w:szCs w:val="24"/>
        </w:rPr>
      </w:pPr>
      <w:r w:rsidRPr="00A653CA">
        <w:rPr>
          <w:rFonts w:ascii="Garamond" w:hAnsi="Garamond" w:cs="Times New Roman"/>
          <w:bCs/>
          <w:i/>
          <w:sz w:val="24"/>
          <w:szCs w:val="24"/>
        </w:rPr>
        <w:t>(ndryshuar me udhëzimin nr. 18, datë 8.7.2022</w:t>
      </w:r>
      <w:r w:rsidR="007F0043" w:rsidRPr="00A653CA">
        <w:rPr>
          <w:rFonts w:ascii="Garamond" w:hAnsi="Garamond" w:cs="Times New Roman"/>
          <w:bCs/>
          <w:i/>
          <w:sz w:val="24"/>
          <w:szCs w:val="24"/>
        </w:rPr>
        <w:t>; udhëzim nr. 1, datë 19.1.2024</w:t>
      </w:r>
      <w:r w:rsidRPr="00A653CA">
        <w:rPr>
          <w:rFonts w:ascii="Garamond" w:hAnsi="Garamond" w:cs="Times New Roman"/>
          <w:bCs/>
          <w:i/>
          <w:sz w:val="24"/>
          <w:szCs w:val="24"/>
        </w:rPr>
        <w:t>)</w:t>
      </w:r>
    </w:p>
    <w:p w14:paraId="13429FA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7DF4560F"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Në mbështetje të nenit 102, të Kushtetutës së Republikës së Shqipërisë, pikës 6, të nenit 92, të ligjit nr. 80/2015 “Për arsimin e lartë dhe kërkimin shkencor në institucionet e arsimit të lartë në Republikën e Shqipërisë”,</w:t>
      </w:r>
    </w:p>
    <w:p w14:paraId="21966FB8"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23489979"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UDHËZOJ:</w:t>
      </w:r>
    </w:p>
    <w:p w14:paraId="5B4EAB85" w14:textId="77777777" w:rsidR="009C62C1" w:rsidRPr="00A653CA" w:rsidRDefault="009C62C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3347034"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I</w:t>
      </w:r>
    </w:p>
    <w:p w14:paraId="7B8EEA9B"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DISPOZITA TË PËRGJITHSHME</w:t>
      </w:r>
    </w:p>
    <w:p w14:paraId="70B8638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6CCFD536" w14:textId="0BAE4D8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Institucioni përgjegjës për njohjen dhe njësimin në Republikën e Shqipërisë të “Diplomave </w:t>
      </w:r>
      <w:r w:rsidR="00461033" w:rsidRPr="00A653CA">
        <w:rPr>
          <w:rFonts w:ascii="Garamond" w:hAnsi="Garamond" w:cs="Times New Roman"/>
          <w:sz w:val="24"/>
          <w:szCs w:val="24"/>
        </w:rPr>
        <w:t xml:space="preserve">profesionale/certifikatave </w:t>
      </w:r>
      <w:r w:rsidRPr="00A653CA">
        <w:rPr>
          <w:rFonts w:ascii="Garamond" w:hAnsi="Garamond" w:cs="Times New Roman"/>
          <w:sz w:val="24"/>
          <w:szCs w:val="24"/>
        </w:rPr>
        <w:t xml:space="preserve">profesionale”, </w:t>
      </w:r>
      <w:r w:rsidR="00461033" w:rsidRPr="00A653CA">
        <w:rPr>
          <w:rFonts w:ascii="Garamond" w:hAnsi="Garamond" w:cs="Times New Roman"/>
          <w:sz w:val="24"/>
          <w:szCs w:val="24"/>
        </w:rPr>
        <w:t>d</w:t>
      </w:r>
      <w:r w:rsidRPr="00A653CA">
        <w:rPr>
          <w:rFonts w:ascii="Garamond" w:hAnsi="Garamond" w:cs="Times New Roman"/>
          <w:sz w:val="24"/>
          <w:szCs w:val="24"/>
        </w:rPr>
        <w:t xml:space="preserve">iplomave “Bachelor”, </w:t>
      </w:r>
      <w:r w:rsidR="00CE52FA" w:rsidRPr="00A653CA">
        <w:rPr>
          <w:rFonts w:ascii="Garamond" w:hAnsi="Garamond" w:cs="Times New Roman"/>
          <w:sz w:val="24"/>
          <w:szCs w:val="24"/>
        </w:rPr>
        <w:t>d</w:t>
      </w:r>
      <w:r w:rsidRPr="00A653CA">
        <w:rPr>
          <w:rFonts w:ascii="Garamond" w:hAnsi="Garamond" w:cs="Times New Roman"/>
          <w:sz w:val="24"/>
          <w:szCs w:val="24"/>
        </w:rPr>
        <w:t>iplomave “Master i shkencave”, “Master i arteve” dhe “Master profesional”, “Master ekzekutiv”, “Diploma të specializimit afatgjatë”</w:t>
      </w:r>
      <w:r w:rsidR="00CE52FA" w:rsidRPr="00A653CA">
        <w:rPr>
          <w:rFonts w:ascii="Garamond" w:hAnsi="Garamond" w:cs="Times New Roman"/>
          <w:sz w:val="24"/>
          <w:szCs w:val="24"/>
        </w:rPr>
        <w:t>,</w:t>
      </w:r>
      <w:r w:rsidRPr="00A653CA">
        <w:rPr>
          <w:rFonts w:ascii="Garamond" w:hAnsi="Garamond" w:cs="Times New Roman"/>
          <w:sz w:val="24"/>
          <w:szCs w:val="24"/>
        </w:rPr>
        <w:t xml:space="preserve"> të fituar jashtë vendit, sipas përcaktimeve të ligjit për </w:t>
      </w:r>
      <w:r w:rsidR="00CE52FA" w:rsidRPr="00A653CA">
        <w:rPr>
          <w:rFonts w:ascii="Garamond" w:hAnsi="Garamond" w:cs="Times New Roman"/>
          <w:sz w:val="24"/>
          <w:szCs w:val="24"/>
        </w:rPr>
        <w:t>arsimin e lartë</w:t>
      </w:r>
      <w:r w:rsidRPr="00A653CA">
        <w:rPr>
          <w:rFonts w:ascii="Garamond" w:hAnsi="Garamond" w:cs="Times New Roman"/>
          <w:sz w:val="24"/>
          <w:szCs w:val="24"/>
        </w:rPr>
        <w:t>,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(QSHA).</w:t>
      </w:r>
    </w:p>
    <w:p w14:paraId="5CDFEB59" w14:textId="5167AC9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Institucioni përgjegjës për njohjen dhe njësimin në Republikën e Shqipërisë të gradës shkencore “Doktor”, të fituar në përfundim të studimeve të kryera jashtë vendit, si dhe për njohjen e titujve akademikë të fituar jashtë vendit, sipas përcaktimeve të ligjit për </w:t>
      </w:r>
      <w:r w:rsidR="00CE52FA" w:rsidRPr="00A653CA">
        <w:rPr>
          <w:rFonts w:ascii="Garamond" w:hAnsi="Garamond" w:cs="Times New Roman"/>
          <w:sz w:val="24"/>
          <w:szCs w:val="24"/>
        </w:rPr>
        <w:t xml:space="preserve">arsimin e lartë, </w:t>
      </w:r>
      <w:r w:rsidRPr="00A653CA">
        <w:rPr>
          <w:rFonts w:ascii="Garamond" w:hAnsi="Garamond" w:cs="Times New Roman"/>
          <w:sz w:val="24"/>
          <w:szCs w:val="24"/>
        </w:rPr>
        <w:t xml:space="preserve">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w:t>
      </w:r>
      <w:r w:rsidR="00CE52FA" w:rsidRPr="00A653CA">
        <w:rPr>
          <w:rFonts w:ascii="Garamond" w:hAnsi="Garamond" w:cs="Times New Roman"/>
          <w:sz w:val="24"/>
          <w:szCs w:val="24"/>
        </w:rPr>
        <w:t xml:space="preserve">ministria </w:t>
      </w:r>
      <w:r w:rsidRPr="00A653CA">
        <w:rPr>
          <w:rFonts w:ascii="Garamond" w:hAnsi="Garamond" w:cs="Times New Roman"/>
          <w:sz w:val="24"/>
          <w:szCs w:val="24"/>
        </w:rPr>
        <w:t xml:space="preserve">përgjegjëse për arsimin, nëpërmjet </w:t>
      </w:r>
      <w:r w:rsidR="00CE52FA" w:rsidRPr="00A653CA">
        <w:rPr>
          <w:rFonts w:ascii="Garamond" w:hAnsi="Garamond" w:cs="Times New Roman"/>
          <w:sz w:val="24"/>
          <w:szCs w:val="24"/>
        </w:rPr>
        <w:t>k</w:t>
      </w:r>
      <w:r w:rsidRPr="00A653CA">
        <w:rPr>
          <w:rFonts w:ascii="Garamond" w:hAnsi="Garamond" w:cs="Times New Roman"/>
          <w:sz w:val="24"/>
          <w:szCs w:val="24"/>
        </w:rPr>
        <w:t>omisioneve përkatëse. Sekretariati teknik për këtë shërbim ndodhet pranë Qendrës së Shërbimeve Arsimore.</w:t>
      </w:r>
    </w:p>
    <w:p w14:paraId="677B62DD" w14:textId="7984F6A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w:t>
      </w:r>
      <w:r w:rsidR="00443050" w:rsidRPr="00A653CA">
        <w:rPr>
          <w:rFonts w:ascii="Garamond" w:hAnsi="Garamond" w:cs="Times New Roman"/>
          <w:sz w:val="24"/>
          <w:szCs w:val="24"/>
        </w:rPr>
        <w:t xml:space="preserve"> </w:t>
      </w:r>
      <w:r w:rsidRPr="00A653CA">
        <w:rPr>
          <w:rFonts w:ascii="Garamond" w:hAnsi="Garamond" w:cs="Times New Roman"/>
          <w:sz w:val="24"/>
          <w:szCs w:val="24"/>
        </w:rPr>
        <w:t>Njohja dhe njësimi, në përfundim të procedurës zyrtare të njohjes, ka për qëllim njohjen e së drejtës për të vazhduar arsimimin, punësimin ose karrierën akademike në Republikën e Shqipërisë.</w:t>
      </w:r>
    </w:p>
    <w:p w14:paraId="43A35DBA" w14:textId="447956E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4.</w:t>
      </w:r>
      <w:r w:rsidR="00443050" w:rsidRPr="00A653CA">
        <w:rPr>
          <w:rFonts w:ascii="Garamond" w:hAnsi="Garamond" w:cs="Times New Roman"/>
          <w:sz w:val="24"/>
          <w:szCs w:val="24"/>
        </w:rPr>
        <w:t xml:space="preserve"> </w:t>
      </w:r>
      <w:r w:rsidRPr="00A653CA">
        <w:rPr>
          <w:rFonts w:ascii="Garamond" w:hAnsi="Garamond" w:cs="Times New Roman"/>
          <w:sz w:val="24"/>
          <w:szCs w:val="24"/>
        </w:rPr>
        <w:t>Në këtë udhëzim termat e mëposhtëm, kanë këto kuptime:</w:t>
      </w:r>
    </w:p>
    <w:p w14:paraId="6D4F83E8" w14:textId="540FCF5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61711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“Kualifikimi” është një rezultat formal i një procesi vlerësimi dhe vlefshmërie, i përfituar prej një organi kompetent/institucioni arsimor, të akredituar, që përcakton se individi ka arritur një nivel të caktuar njohurish, aftësish dhe kompetencash në përputhje me një standard të dhënë;</w:t>
      </w:r>
    </w:p>
    <w:p w14:paraId="1E84453B" w14:textId="6ACDF11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61711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“Korniza Shqiptare e Kualifikimeve”, në vijim (KSHK), sipas përcaktimeve ligjore “Për Kornizën Shqiptare të Kualifikimeve”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w:t>
      </w:r>
      <w:r w:rsidR="00635907" w:rsidRPr="00A653CA">
        <w:rPr>
          <w:rFonts w:ascii="Garamond" w:hAnsi="Garamond" w:cs="Times New Roman"/>
          <w:sz w:val="24"/>
          <w:szCs w:val="24"/>
        </w:rPr>
        <w:t>,</w:t>
      </w:r>
      <w:r w:rsidRPr="00A653CA">
        <w:rPr>
          <w:rFonts w:ascii="Garamond" w:hAnsi="Garamond" w:cs="Times New Roman"/>
          <w:sz w:val="24"/>
          <w:szCs w:val="24"/>
        </w:rPr>
        <w:t xml:space="preserve"> që lidhen me tregun e punës dhe shoqërinë civile</w:t>
      </w:r>
      <w:r w:rsidR="00635907" w:rsidRPr="00A653CA">
        <w:rPr>
          <w:rFonts w:ascii="Garamond" w:hAnsi="Garamond" w:cs="Times New Roman"/>
          <w:sz w:val="24"/>
          <w:szCs w:val="24"/>
        </w:rPr>
        <w:t>;</w:t>
      </w:r>
    </w:p>
    <w:p w14:paraId="5360BC47" w14:textId="7344B47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61711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“Korniza Evropiane e Kualifikimeve”, në vijim (KEK),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nxënit gjatë të gjithë jetës</w:t>
      </w:r>
      <w:r w:rsidR="005C3340" w:rsidRPr="00A653CA">
        <w:rPr>
          <w:rFonts w:ascii="Garamond" w:hAnsi="Garamond" w:cs="Times New Roman"/>
          <w:sz w:val="24"/>
          <w:szCs w:val="24"/>
        </w:rPr>
        <w:t>;</w:t>
      </w:r>
    </w:p>
    <w:p w14:paraId="4123D373" w14:textId="1050DF2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lastRenderedPageBreak/>
        <w:t>ç</w:t>
      </w:r>
      <w:r w:rsidR="0061711E"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“Institucione të autorizuara” janë institucione kompetente, të cilat nuk janë institucione të arsimit të lartë, por lëshojnë diploma/certifikata profesionale, diploma të arsimit të lartë të vlefshme në vendin e origjinës, që vërtetojnë përfundimin e studimeve, konform kuadrit ligjor në fuqi të vendit përkatës</w:t>
      </w:r>
      <w:r w:rsidR="005C3340" w:rsidRPr="00A653CA">
        <w:rPr>
          <w:rFonts w:ascii="Garamond" w:hAnsi="Garamond" w:cs="Times New Roman"/>
          <w:sz w:val="24"/>
          <w:szCs w:val="24"/>
        </w:rPr>
        <w:t>;</w:t>
      </w:r>
    </w:p>
    <w:p w14:paraId="1673AC96" w14:textId="2E53ED9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5C3340"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“Rrjeti Evropian i Qendrave Kombëtare të Informacionit (ENIC-NARIC)” është një rrjet me qendra kombëtare</w:t>
      </w:r>
      <w:r w:rsidR="00C011D6" w:rsidRPr="00A653CA">
        <w:rPr>
          <w:rFonts w:ascii="Garamond" w:hAnsi="Garamond" w:cs="Times New Roman"/>
          <w:sz w:val="24"/>
          <w:szCs w:val="24"/>
        </w:rPr>
        <w:t>,</w:t>
      </w:r>
      <w:r w:rsidRPr="00A653CA">
        <w:rPr>
          <w:rFonts w:ascii="Garamond" w:hAnsi="Garamond" w:cs="Times New Roman"/>
          <w:sz w:val="24"/>
          <w:szCs w:val="24"/>
        </w:rPr>
        <w:t xml:space="preserve"> i ngritur për të mbështetur institucionet dhe qytetarët me njohjen e kualifikimeve akademike. QSHA</w:t>
      </w:r>
      <w:r w:rsidR="00C011D6" w:rsidRPr="00A653CA">
        <w:rPr>
          <w:rFonts w:ascii="Garamond" w:hAnsi="Garamond" w:cs="Times New Roman"/>
          <w:sz w:val="24"/>
          <w:szCs w:val="24"/>
        </w:rPr>
        <w:t>-ja</w:t>
      </w:r>
      <w:r w:rsidRPr="00A653CA">
        <w:rPr>
          <w:rFonts w:ascii="Garamond" w:hAnsi="Garamond" w:cs="Times New Roman"/>
          <w:sz w:val="24"/>
          <w:szCs w:val="24"/>
        </w:rPr>
        <w:t xml:space="preserve"> shërben si qendra kombëtare e rrjetit ENIC/NARIC për informimin dhe njohjen e diplomave për Republikën e Shqipërisë</w:t>
      </w:r>
      <w:r w:rsidR="005C3340" w:rsidRPr="00A653CA">
        <w:rPr>
          <w:rFonts w:ascii="Garamond" w:hAnsi="Garamond" w:cs="Times New Roman"/>
          <w:sz w:val="24"/>
          <w:szCs w:val="24"/>
        </w:rPr>
        <w:t>;</w:t>
      </w:r>
    </w:p>
    <w:p w14:paraId="6EB0A6BE" w14:textId="07EDAB2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5C3340"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“Refugjat” është shtetasi i huaj ose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 (A) të Konventës së Gjenevës</w:t>
      </w:r>
      <w:r w:rsidR="005C3340" w:rsidRPr="00A653CA">
        <w:rPr>
          <w:rFonts w:ascii="Garamond" w:hAnsi="Garamond" w:cs="Times New Roman"/>
          <w:sz w:val="24"/>
          <w:szCs w:val="24"/>
        </w:rPr>
        <w:t>;</w:t>
      </w:r>
    </w:p>
    <w:p w14:paraId="09F9C655" w14:textId="7A978DE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5C3340"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“Person i zhvendosur” është çdo person, i cili është detyruar të largohet nga shteti, shtetësinë e të cilit kanë, ose nga vendi ku kanë rezidencën e zakonshme/vendin e banimit të zakonshëm për të shmangur konfliktet e armatosura, dhunën, shkeljen e të drejtave të njeriut, fatkeqësitë natyrore, ose të shkaktuara nga njeriu, të cilët nuk kanë kaluar kufijtë e një shteti ndërkombëtarisht të njohur</w:t>
      </w:r>
      <w:r w:rsidR="005C3340" w:rsidRPr="00A653CA">
        <w:rPr>
          <w:rFonts w:ascii="Garamond" w:hAnsi="Garamond" w:cs="Times New Roman"/>
          <w:sz w:val="24"/>
          <w:szCs w:val="24"/>
        </w:rPr>
        <w:t>;</w:t>
      </w:r>
    </w:p>
    <w:p w14:paraId="4E3A4F5E" w14:textId="295711F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f</w:t>
      </w:r>
      <w:r w:rsidR="005C3340"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“Persona të ngjashëm me refugjatët” është çdo person, i cili ndodhet </w:t>
      </w:r>
      <w:r w:rsidRPr="00A653CA">
        <w:rPr>
          <w:rFonts w:ascii="Garamond" w:hAnsi="Garamond" w:cs="Times New Roman"/>
          <w:i/>
          <w:iCs/>
          <w:sz w:val="24"/>
          <w:szCs w:val="24"/>
        </w:rPr>
        <w:t xml:space="preserve">de facto </w:t>
      </w:r>
      <w:r w:rsidRPr="00A653CA">
        <w:rPr>
          <w:rFonts w:ascii="Garamond" w:hAnsi="Garamond" w:cs="Times New Roman"/>
          <w:sz w:val="24"/>
          <w:szCs w:val="24"/>
        </w:rPr>
        <w:t>në një situatë të ngjashme me atë të refugjatit, personave të zhvendosur, pavarësisht statusit të tyre ligjor</w:t>
      </w:r>
      <w:r w:rsidR="004F2F04" w:rsidRPr="00A653CA">
        <w:rPr>
          <w:rFonts w:ascii="Garamond" w:hAnsi="Garamond" w:cs="Times New Roman"/>
          <w:sz w:val="24"/>
          <w:szCs w:val="24"/>
        </w:rPr>
        <w:t>;</w:t>
      </w:r>
    </w:p>
    <w:p w14:paraId="2E03B499" w14:textId="11B207D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g</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“Kualifikim i dokumentuar në mënyrë jo të përshtatshme” është kualifikimi i fituar nga mbajtësi i tij, i cili nuk mund të vërtetohet nëpërmjet dokumenteve të nevojshme</w:t>
      </w:r>
      <w:r w:rsidR="004F2F04" w:rsidRPr="00A653CA">
        <w:rPr>
          <w:rFonts w:ascii="Garamond" w:hAnsi="Garamond" w:cs="Times New Roman"/>
          <w:sz w:val="24"/>
          <w:szCs w:val="24"/>
        </w:rPr>
        <w:t>;</w:t>
      </w:r>
    </w:p>
    <w:p w14:paraId="6C6A82D2" w14:textId="22A7FBD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5.</w:t>
      </w:r>
      <w:r w:rsidR="00443050" w:rsidRPr="00A653CA">
        <w:rPr>
          <w:rFonts w:ascii="Garamond" w:hAnsi="Garamond" w:cs="Times New Roman"/>
          <w:sz w:val="24"/>
          <w:szCs w:val="24"/>
        </w:rPr>
        <w:t xml:space="preserve"> </w:t>
      </w:r>
      <w:r w:rsidRPr="00A653CA">
        <w:rPr>
          <w:rFonts w:ascii="Garamond" w:hAnsi="Garamond" w:cs="Times New Roman"/>
          <w:sz w:val="24"/>
          <w:szCs w:val="24"/>
        </w:rPr>
        <w:t>Institucioni përgjegjës për njohjen dhe njësimin në Republikën e Shqipërisë nuk shqyrton aplikimet për rastet si më poshtë:</w:t>
      </w:r>
    </w:p>
    <w:p w14:paraId="4D29B231" w14:textId="3C0DD34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diploma/certifikata profesionale, diploma, grada shkencore, për programe studimi të ndjekura në Republikën e Shqipërisë;</w:t>
      </w:r>
    </w:p>
    <w:p w14:paraId="53A5DE09" w14:textId="466A84E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diploma/certifikata profesionale, diploma, grada shkencore për programe studimi të hapura/licencuara si programe studimi </w:t>
      </w:r>
      <w:r w:rsidRPr="00A653CA">
        <w:rPr>
          <w:rFonts w:ascii="Garamond" w:hAnsi="Garamond" w:cs="Times New Roman"/>
          <w:i/>
          <w:iCs/>
          <w:sz w:val="24"/>
          <w:szCs w:val="24"/>
        </w:rPr>
        <w:t xml:space="preserve">online, </w:t>
      </w:r>
      <w:r w:rsidRPr="00A653CA">
        <w:rPr>
          <w:rFonts w:ascii="Garamond" w:hAnsi="Garamond" w:cs="Times New Roman"/>
          <w:sz w:val="24"/>
          <w:szCs w:val="24"/>
        </w:rPr>
        <w:t>sipas përcaktimit të diplomës/suplementit/ dokumentacionit zyrtar të lëshuar nga institucioni që ka lëshuar diplomën;</w:t>
      </w:r>
    </w:p>
    <w:p w14:paraId="1D43F01D" w14:textId="05D9494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dokumente për programe studimi të papërfunduara, që nuk përmbushin kushtet për të qenë diploma/certifikata profesionale, diploma, grada shkencore, të niveleve 5, 6, 7 dhe 8, sipas përcaktimeve të legjislacionit të vendit të origjinës dhe legjislacionit shqiptar. Këto dokumente shqyrtohen nga institucioni i arsimit të lartë pranë të cilit aplikohet për transferim studimesh;</w:t>
      </w:r>
    </w:p>
    <w:p w14:paraId="525F5124" w14:textId="60A411A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certifikata/dëshmi për kurse kualifikimi ose plotësuese, si gjuhë e huaj, kompjuter etj</w:t>
      </w:r>
      <w:r w:rsidR="00DB6722" w:rsidRPr="00A653CA">
        <w:rPr>
          <w:rFonts w:ascii="Garamond" w:hAnsi="Garamond" w:cs="Times New Roman"/>
          <w:sz w:val="24"/>
          <w:szCs w:val="24"/>
        </w:rPr>
        <w:t>.</w:t>
      </w:r>
      <w:r w:rsidRPr="00A653CA">
        <w:rPr>
          <w:rFonts w:ascii="Garamond" w:hAnsi="Garamond" w:cs="Times New Roman"/>
          <w:sz w:val="24"/>
          <w:szCs w:val="24"/>
        </w:rPr>
        <w:t>;</w:t>
      </w:r>
    </w:p>
    <w:p w14:paraId="2DB8AC4B" w14:textId="76227F1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certifikata, diploma dhe grada ushtarake të fituara në institucione ushtarake të arsimit të lartë, përjashtuar diplomat për drejtime civile të studimeve. Personat që zotërojnë certifikata, diploma dhe grada ushtarake të fituara në institucione ushtarake të arsimit të lartë, në funksion të ushtrimit të së drejtës për punësim në institucione me karakter ushtarak, i drejtohen institucioneve përgjegjëse në Republikën e Shqipërisë për fushën ushtarake, për njohjen dhe njësimin e tyre, sipas legjislacionit në fuqi;</w:t>
      </w:r>
    </w:p>
    <w:p w14:paraId="20B68766" w14:textId="399C7D3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FA387A" w:rsidRPr="00A653CA">
        <w:rPr>
          <w:rFonts w:ascii="Garamond" w:hAnsi="Garamond" w:cs="Times New Roman"/>
          <w:sz w:val="24"/>
          <w:szCs w:val="24"/>
        </w:rPr>
        <w:t>)</w:t>
      </w:r>
      <w:r w:rsidRPr="00A653CA">
        <w:rPr>
          <w:rFonts w:ascii="Garamond" w:hAnsi="Garamond" w:cs="Times New Roman"/>
          <w:sz w:val="24"/>
          <w:szCs w:val="24"/>
        </w:rPr>
        <w:t xml:space="preserve"> diploma/certifikata profesionale, diploma dhe grada shkencore të fituara në institucione fetare të arsimit të lartë, përjashtuar diplomat me drejtim civil studimi. </w:t>
      </w:r>
    </w:p>
    <w:p w14:paraId="4846C034"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 xml:space="preserve">Për rastet e përmendura në këtë pikë të udhëzimit, aplikanti njoftohet zyrtarisht për mos shqyrtimin e aplikimit. </w:t>
      </w:r>
    </w:p>
    <w:p w14:paraId="3E4D0019" w14:textId="1153113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w:t>
      </w:r>
      <w:r w:rsidR="00443050" w:rsidRPr="00A653CA">
        <w:rPr>
          <w:rFonts w:ascii="Garamond" w:hAnsi="Garamond" w:cs="Times New Roman"/>
          <w:sz w:val="24"/>
          <w:szCs w:val="24"/>
        </w:rPr>
        <w:t xml:space="preserve"> </w:t>
      </w:r>
      <w:r w:rsidRPr="00A653CA">
        <w:rPr>
          <w:rFonts w:ascii="Garamond" w:hAnsi="Garamond" w:cs="Times New Roman"/>
          <w:sz w:val="24"/>
          <w:szCs w:val="24"/>
        </w:rPr>
        <w:t>Kriteret që duhet të përmbushë diploma/certifikata profesionale dhe grada shkencore për t’u njohur dhe njësuar janë:</w:t>
      </w:r>
    </w:p>
    <w:p w14:paraId="26F22D4D" w14:textId="3690059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FA387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të jetë lëshuar nga institucione të licencuara, të njohura dhe/ ose të akredituara të arsimit të lartë në vendin e origjinës;</w:t>
      </w:r>
    </w:p>
    <w:p w14:paraId="33C0A835" w14:textId="40F78C3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FA387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programi i studimit në përfundim të të cilit lëshohet diploma/certifikata profesionale apo diploma të jetë i njohur/akredituar në datën e lëshimit të saj;</w:t>
      </w:r>
    </w:p>
    <w:p w14:paraId="0101CCCE" w14:textId="70CCE8C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FA387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certifikata apo diploma të jetë e vlefshme në vendin e origjinës;</w:t>
      </w:r>
    </w:p>
    <w:p w14:paraId="3D1A9C41" w14:textId="1DB118C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lastRenderedPageBreak/>
        <w:t>ç</w:t>
      </w:r>
      <w:r w:rsidR="00FA387A"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certifikata apo diploma të jetë autentike.</w:t>
      </w:r>
    </w:p>
    <w:p w14:paraId="40E943E7" w14:textId="3F9F8D6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w:t>
      </w:r>
      <w:r w:rsidR="005874CA" w:rsidRPr="00A653CA">
        <w:rPr>
          <w:rFonts w:ascii="Garamond" w:hAnsi="Garamond" w:cs="Times New Roman"/>
          <w:sz w:val="24"/>
          <w:szCs w:val="24"/>
        </w:rPr>
        <w:t xml:space="preserve"> </w:t>
      </w:r>
      <w:r w:rsidRPr="00A653CA">
        <w:rPr>
          <w:rFonts w:ascii="Garamond" w:hAnsi="Garamond" w:cs="Times New Roman"/>
          <w:sz w:val="24"/>
          <w:szCs w:val="24"/>
        </w:rPr>
        <w:t>Informacioni paraprak mbi institucionet e arsimit të lartë që ushtrojnë veprimtarinë në përputhje me standardet përkatëse të vendit të origjinës mund të gjendet në faqen zyrtare të internetit të Rrjetit Evropian të Qendrave Kombëtare të Informacionit (ENIC-NARIC). Në lidhje me dhënien e informacionit për të interesuarit për sistemin dhe institucionet e arsimit të lartë</w:t>
      </w:r>
      <w:r w:rsidR="00640AAB" w:rsidRPr="00A653CA">
        <w:rPr>
          <w:rFonts w:ascii="Garamond" w:hAnsi="Garamond" w:cs="Times New Roman"/>
          <w:sz w:val="24"/>
          <w:szCs w:val="24"/>
        </w:rPr>
        <w:t>,</w:t>
      </w:r>
      <w:r w:rsidRPr="00A653CA">
        <w:rPr>
          <w:rFonts w:ascii="Garamond" w:hAnsi="Garamond" w:cs="Times New Roman"/>
          <w:sz w:val="24"/>
          <w:szCs w:val="24"/>
        </w:rPr>
        <w:t xml:space="preserve"> si dhe kualifikimet e lëshuara prej tyre në Republikën e Shqipërisë institucion përgjegjës është QSHA</w:t>
      </w:r>
      <w:r w:rsidR="00640AAB" w:rsidRPr="00A653CA">
        <w:rPr>
          <w:rFonts w:ascii="Garamond" w:hAnsi="Garamond" w:cs="Times New Roman"/>
          <w:sz w:val="24"/>
          <w:szCs w:val="24"/>
        </w:rPr>
        <w:t>-ja</w:t>
      </w:r>
      <w:r w:rsidRPr="00A653CA">
        <w:rPr>
          <w:rFonts w:ascii="Garamond" w:hAnsi="Garamond" w:cs="Times New Roman"/>
          <w:sz w:val="24"/>
          <w:szCs w:val="24"/>
        </w:rPr>
        <w:t xml:space="preserve">. </w:t>
      </w:r>
    </w:p>
    <w:p w14:paraId="32B16E83"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5BE9575A"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II</w:t>
      </w:r>
    </w:p>
    <w:p w14:paraId="3836E04B"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PROCEDURAT E APLIKIMIT DHE DOKUMENTACIONI</w:t>
      </w:r>
    </w:p>
    <w:p w14:paraId="2C475C30"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8A86718" w14:textId="480A6D0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Aplikimi për njohjen dhe njësimin e kualifikimeve që i përkasin nivelit 5 deri në 8, të Kornizës Shqiptare, Kornizës Evropiane të Kualifikimeve, si dhe titujve akademikë kryhet </w:t>
      </w:r>
      <w:r w:rsidRPr="00A653CA">
        <w:rPr>
          <w:rFonts w:ascii="Garamond" w:hAnsi="Garamond" w:cs="Times New Roman"/>
          <w:i/>
          <w:iCs/>
          <w:sz w:val="24"/>
          <w:szCs w:val="24"/>
        </w:rPr>
        <w:t>online</w:t>
      </w:r>
      <w:r w:rsidRPr="00A653CA">
        <w:rPr>
          <w:rFonts w:ascii="Garamond" w:hAnsi="Garamond" w:cs="Times New Roman"/>
          <w:sz w:val="24"/>
          <w:szCs w:val="24"/>
        </w:rPr>
        <w:t xml:space="preserve"> nëpërmjet portalit e-Albania. </w:t>
      </w:r>
    </w:p>
    <w:p w14:paraId="0DE13326" w14:textId="6175D53D" w:rsidR="00E3661C" w:rsidRPr="00A653CA" w:rsidRDefault="00E3661C"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A653CA">
        <w:rPr>
          <w:rFonts w:ascii="Garamond" w:hAnsi="Garamond" w:cs="Times New Roman"/>
          <w:i/>
          <w:sz w:val="24"/>
          <w:szCs w:val="24"/>
        </w:rPr>
        <w:t>2. Dokumentacioni shoqërues i kërkuar duhet të depozitohet detyrimisht në formatin elektronik gjatë aplikimit online.</w:t>
      </w:r>
    </w:p>
    <w:p w14:paraId="3547A6A6" w14:textId="572AAABF" w:rsidR="00DD2A37" w:rsidRPr="00A653CA" w:rsidRDefault="00173DDB"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3.</w:t>
      </w:r>
      <w:r w:rsidR="00DD2A37" w:rsidRPr="00A653CA">
        <w:rPr>
          <w:rFonts w:ascii="Garamond" w:hAnsi="Garamond" w:cs="Times New Roman"/>
          <w:i/>
          <w:iCs/>
          <w:sz w:val="24"/>
          <w:szCs w:val="24"/>
        </w:rPr>
        <w:t xml:space="preserve"> Aplikimi për njohjen dhe njësimin e kualifikimeve akademike që i përkasin nivelit 5 deri në 8, të Kornizës Shqiptare ose Evropiane të Kualifikimeve, përveç gradës shkencore “Doktor”, kryhet online sipas procedurës së mëposhtme: </w:t>
      </w:r>
    </w:p>
    <w:p w14:paraId="18D10646"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a) formulari i aplikimit plotësohet online në portalin e-Albania, sipas shtojcës nr. 1 bashkëlidhur këtij udhëzimi dhe pjesë përbërëse e tij; </w:t>
      </w:r>
    </w:p>
    <w:p w14:paraId="25EA6859"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b) aplikanti ngarkon në format elektronik dokumentacionin e mëposhtëm:</w:t>
      </w:r>
    </w:p>
    <w:p w14:paraId="2CB1EBA9"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i. diplomën/certifikatën profesionale, diplomën ose dokumentin zyrtar përkatës të lëshuar nga institucionet përgjegjëse për lëshimin e kualifikimit në vendin e origjinës ekuivalent me diplomën që vërteton përfundimin e studimeve, të pajisur me vulë apostile ose legalizim nga vendi i lëshimit, të njësuar me origjinalin (noterizuar), si dhe të përkthyer në gjuhën shqipe nga përkthyes të licencuar në Republikën e Shqipërisë. </w:t>
      </w:r>
    </w:p>
    <w:p w14:paraId="40AA7741"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ii. suplementin e diplomës dhe/ose listën e notave, të njësuar me origjinalin (noterizuar), si dhe të përkthyer në gjuhën shqipe, nga përkthyes të licencuar në Republikën e Shqipërisë.</w:t>
      </w:r>
    </w:p>
    <w:p w14:paraId="66ADCFAE"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iii. fotokopjen e kartës së identitetit ose të pasaportës (vetëm për shtetasit e huaj);</w:t>
      </w:r>
    </w:p>
    <w:p w14:paraId="5DD93B0E" w14:textId="5EE03EC4" w:rsidR="00173DDB" w:rsidRPr="00A653CA" w:rsidRDefault="00DD2A37" w:rsidP="00DD2A37">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i/>
          <w:iCs/>
          <w:sz w:val="24"/>
          <w:szCs w:val="24"/>
        </w:rPr>
        <w:t>iv. mandat-pagesën ose konfirmimin e pagesës online, sipas shtojcës nr. 2 bashkëlidhur këtij udhëzimi dhe pjesë përbërëse e tij.</w:t>
      </w:r>
    </w:p>
    <w:p w14:paraId="71BB6AFD" w14:textId="427D8A8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3.1</w:t>
      </w:r>
      <w:r w:rsidR="00443050" w:rsidRPr="00A653CA">
        <w:rPr>
          <w:rFonts w:ascii="Garamond" w:hAnsi="Garamond" w:cs="Times New Roman"/>
          <w:sz w:val="24"/>
          <w:szCs w:val="24"/>
        </w:rPr>
        <w:t xml:space="preserve"> </w:t>
      </w:r>
      <w:r w:rsidR="00E3661C" w:rsidRPr="00A653CA">
        <w:rPr>
          <w:rFonts w:ascii="Garamond" w:hAnsi="Garamond" w:cs="Times New Roman"/>
          <w:sz w:val="24"/>
          <w:szCs w:val="24"/>
        </w:rPr>
        <w:t>Shfuqizuar</w:t>
      </w:r>
      <w:r w:rsidRPr="00A653CA">
        <w:rPr>
          <w:rFonts w:ascii="Garamond" w:hAnsi="Garamond" w:cs="Times New Roman"/>
          <w:sz w:val="24"/>
          <w:szCs w:val="24"/>
        </w:rPr>
        <w:t xml:space="preserve">. </w:t>
      </w:r>
    </w:p>
    <w:p w14:paraId="65383A40" w14:textId="23D6F724" w:rsidR="0071094B" w:rsidRPr="00A653CA" w:rsidRDefault="0071094B" w:rsidP="00D27F40">
      <w:pPr>
        <w:widowControl w:val="0"/>
        <w:autoSpaceDE w:val="0"/>
        <w:autoSpaceDN w:val="0"/>
        <w:adjustRightInd w:val="0"/>
        <w:spacing w:after="0" w:line="240" w:lineRule="auto"/>
        <w:ind w:firstLine="284"/>
        <w:jc w:val="both"/>
        <w:rPr>
          <w:rFonts w:ascii="Garamond" w:hAnsi="Garamond" w:cs="Calibri"/>
          <w:i/>
          <w:iCs/>
          <w:sz w:val="24"/>
          <w:szCs w:val="24"/>
        </w:rPr>
      </w:pPr>
      <w:r w:rsidRPr="00A653CA">
        <w:rPr>
          <w:rFonts w:ascii="Garamond" w:hAnsi="Garamond" w:cs="Times New Roman"/>
          <w:i/>
          <w:iCs/>
          <w:sz w:val="24"/>
          <w:szCs w:val="24"/>
        </w:rPr>
        <w:t>3.2 Pas njohjes dhe njësimit të diplomës, QSHA-ja bën llogaritjen e mesatares së vlerësimeve të arritura brenda 5 (pesë) ditëve pune. Njëvlershmëria e mesatares së vlerësimeve të arritura në shtetin përkatës kryhet për çdo vlerësim/notë që aplikanti ka fituar sipas shtojcës nr. 6, bashkëlidhur këtij udhëzimi dhe pjesë përbërëse e tij. Për shtete të tjera që nuk pasqyrohen në tabelë, në shtojcën nr. 6, të këtij udhëzimi, njëvlershmëria bëhet në bazë të informacioneve të marra në faqen zyrtare të rrjetit ENIC-NARIC, ose agjenci dhe/ose ente akredituese të IAL-ve të huaja.</w:t>
      </w:r>
    </w:p>
    <w:p w14:paraId="495B75CD" w14:textId="0054F50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4.</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Aplikimi për njohjen dhe njësimin e gradës shkencore “Doktor” kryhet </w:t>
      </w:r>
      <w:r w:rsidRPr="00A653CA">
        <w:rPr>
          <w:rFonts w:ascii="Garamond" w:hAnsi="Garamond" w:cs="Times New Roman"/>
          <w:i/>
          <w:iCs/>
          <w:sz w:val="24"/>
          <w:szCs w:val="24"/>
        </w:rPr>
        <w:t>online</w:t>
      </w:r>
      <w:r w:rsidR="002F2F1C" w:rsidRPr="00A653CA">
        <w:rPr>
          <w:rFonts w:ascii="Garamond" w:hAnsi="Garamond" w:cs="Times New Roman"/>
          <w:i/>
          <w:iCs/>
          <w:sz w:val="24"/>
          <w:szCs w:val="24"/>
        </w:rPr>
        <w:t>,</w:t>
      </w:r>
      <w:r w:rsidRPr="00A653CA">
        <w:rPr>
          <w:rFonts w:ascii="Garamond" w:hAnsi="Garamond" w:cs="Times New Roman"/>
          <w:sz w:val="24"/>
          <w:szCs w:val="24"/>
        </w:rPr>
        <w:t xml:space="preserve"> sipas procedurës së mëposhtme: </w:t>
      </w:r>
    </w:p>
    <w:p w14:paraId="54C315A2" w14:textId="0BF8473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3C2A6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formulari i aplikimit plotësohet </w:t>
      </w:r>
      <w:r w:rsidRPr="00A653CA">
        <w:rPr>
          <w:rFonts w:ascii="Garamond" w:hAnsi="Garamond" w:cs="Times New Roman"/>
          <w:i/>
          <w:iCs/>
          <w:sz w:val="24"/>
          <w:szCs w:val="24"/>
        </w:rPr>
        <w:t xml:space="preserve">online </w:t>
      </w:r>
      <w:r w:rsidRPr="00A653CA">
        <w:rPr>
          <w:rFonts w:ascii="Garamond" w:hAnsi="Garamond" w:cs="Times New Roman"/>
          <w:sz w:val="24"/>
          <w:szCs w:val="24"/>
        </w:rPr>
        <w:t xml:space="preserve">në portalin e-Albania, sipas shtojcës nr. 1; </w:t>
      </w:r>
    </w:p>
    <w:p w14:paraId="5B21D1B9" w14:textId="64886F1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3C2A6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aplikanti ngarkon në format elektronik (PDF) dokumentacionin e mëposhtëm:</w:t>
      </w:r>
    </w:p>
    <w:p w14:paraId="3B77994C" w14:textId="0E248DC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w:t>
      </w:r>
      <w:r w:rsidR="00443050" w:rsidRPr="00A653CA">
        <w:rPr>
          <w:rFonts w:ascii="Garamond" w:hAnsi="Garamond" w:cs="Times New Roman"/>
          <w:sz w:val="24"/>
          <w:szCs w:val="24"/>
        </w:rPr>
        <w:t xml:space="preserve"> </w:t>
      </w:r>
      <w:r w:rsidRPr="00A653CA">
        <w:rPr>
          <w:rFonts w:ascii="Garamond" w:hAnsi="Garamond" w:cs="Times New Roman"/>
          <w:sz w:val="24"/>
          <w:szCs w:val="24"/>
        </w:rPr>
        <w:t>diplomën dhe suplementin e saj (nëse ka të tillë), lëshuar nga institucioni përkatës i arsimit të lartë, që dëshmon fitimin e gradës shkencore “Doktor” ose dokumentin origjinal t</w:t>
      </w:r>
      <w:r w:rsidR="00244477" w:rsidRPr="00A653CA">
        <w:rPr>
          <w:rFonts w:ascii="Garamond" w:hAnsi="Garamond" w:cs="Times New Roman"/>
          <w:sz w:val="24"/>
          <w:szCs w:val="24"/>
        </w:rPr>
        <w:t>ë</w:t>
      </w:r>
      <w:r w:rsidRPr="00A653CA">
        <w:rPr>
          <w:rFonts w:ascii="Garamond" w:hAnsi="Garamond" w:cs="Times New Roman"/>
          <w:sz w:val="24"/>
          <w:szCs w:val="24"/>
        </w:rPr>
        <w:t xml:space="preserve"> barasvlershëm me diplomën në rastet kur ky përbën dokumentin zyrtar përkatës në vendin e origjinës ekuivalent me diplomën, të pajisur me vulë apostile ose legalizim nga vendi i lëshimit, të njësuar me origjinalin (noterizuar), si dhe të përkthyer në gjuhën shqipe nga përkthyes të licencuar në Republikën e Shqipërisë.</w:t>
      </w:r>
    </w:p>
    <w:p w14:paraId="7640D272" w14:textId="64E2AE0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ii.</w:t>
      </w:r>
      <w:r w:rsidR="00443050" w:rsidRPr="00A653CA">
        <w:rPr>
          <w:rFonts w:ascii="Garamond" w:hAnsi="Garamond" w:cs="Times New Roman"/>
          <w:sz w:val="24"/>
          <w:szCs w:val="24"/>
        </w:rPr>
        <w:t xml:space="preserve"> </w:t>
      </w:r>
      <w:r w:rsidR="00E3661C" w:rsidRPr="00A653CA">
        <w:rPr>
          <w:rFonts w:ascii="Garamond" w:hAnsi="Garamond" w:cs="Times New Roman"/>
          <w:sz w:val="24"/>
          <w:szCs w:val="24"/>
        </w:rPr>
        <w:t>Shfuqizuar</w:t>
      </w:r>
      <w:r w:rsidRPr="00A653CA">
        <w:rPr>
          <w:rFonts w:ascii="Garamond" w:hAnsi="Garamond" w:cs="Times New Roman"/>
          <w:sz w:val="24"/>
          <w:szCs w:val="24"/>
        </w:rPr>
        <w:t>;</w:t>
      </w:r>
    </w:p>
    <w:p w14:paraId="2FD65773" w14:textId="0BDA1C6F" w:rsidR="00173DDB" w:rsidRPr="00A653CA"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iii.</w:t>
      </w:r>
      <w:r w:rsidR="00443050" w:rsidRPr="00A653CA">
        <w:rPr>
          <w:rFonts w:ascii="Garamond" w:hAnsi="Garamond" w:cs="Times New Roman"/>
          <w:sz w:val="24"/>
          <w:szCs w:val="24"/>
        </w:rPr>
        <w:t xml:space="preserve"> </w:t>
      </w:r>
      <w:r w:rsidRPr="00A653CA">
        <w:rPr>
          <w:rFonts w:ascii="Garamond" w:hAnsi="Garamond" w:cs="Times New Roman"/>
          <w:sz w:val="24"/>
          <w:szCs w:val="24"/>
        </w:rPr>
        <w:t>disertacionin e doktoratës. Në rast se disertacioni është në gjuhë të huaj, aplikanti paraqet një përmbledhje në gjuhën shqipe;</w:t>
      </w:r>
    </w:p>
    <w:p w14:paraId="4CE5B051" w14:textId="097CDA3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iv.</w:t>
      </w:r>
      <w:r w:rsidR="00443050" w:rsidRPr="00A653CA">
        <w:rPr>
          <w:rFonts w:ascii="Garamond" w:hAnsi="Garamond" w:cs="Times New Roman"/>
          <w:sz w:val="24"/>
          <w:szCs w:val="24"/>
        </w:rPr>
        <w:t xml:space="preserve"> </w:t>
      </w:r>
      <w:r w:rsidRPr="00A653CA">
        <w:rPr>
          <w:rFonts w:ascii="Garamond" w:hAnsi="Garamond" w:cs="Times New Roman"/>
          <w:sz w:val="24"/>
          <w:szCs w:val="24"/>
        </w:rPr>
        <w:t>fotokopjen e kartës së identitetit ose të pasaportës (vetëm për shtetasit e huaj);</w:t>
      </w:r>
    </w:p>
    <w:p w14:paraId="22A9EF97" w14:textId="4366152D" w:rsidR="00173DDB" w:rsidRPr="00A653CA"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lastRenderedPageBreak/>
        <w:t>v.</w:t>
      </w:r>
      <w:r w:rsidR="00443050" w:rsidRPr="00A653CA">
        <w:rPr>
          <w:rFonts w:ascii="Garamond" w:hAnsi="Garamond" w:cs="Times New Roman"/>
          <w:sz w:val="24"/>
          <w:szCs w:val="24"/>
        </w:rPr>
        <w:t xml:space="preserve"> </w:t>
      </w:r>
      <w:r w:rsidR="00B80D6A" w:rsidRPr="00A653CA">
        <w:rPr>
          <w:rFonts w:ascii="Garamond" w:hAnsi="Garamond" w:cs="Times New Roman"/>
          <w:sz w:val="24"/>
          <w:szCs w:val="24"/>
        </w:rPr>
        <w:t>mandat</w:t>
      </w:r>
      <w:r w:rsidRPr="00A653CA">
        <w:rPr>
          <w:rFonts w:ascii="Garamond" w:hAnsi="Garamond" w:cs="Times New Roman"/>
          <w:sz w:val="24"/>
          <w:szCs w:val="24"/>
        </w:rPr>
        <w:t xml:space="preserve">pagesën ose konfirmimin e pagesës </w:t>
      </w:r>
      <w:r w:rsidRPr="00A653CA">
        <w:rPr>
          <w:rFonts w:ascii="Garamond" w:hAnsi="Garamond" w:cs="Times New Roman"/>
          <w:i/>
          <w:iCs/>
          <w:sz w:val="24"/>
          <w:szCs w:val="24"/>
        </w:rPr>
        <w:t xml:space="preserve">online, </w:t>
      </w:r>
      <w:r w:rsidRPr="00A653CA">
        <w:rPr>
          <w:rFonts w:ascii="Garamond" w:hAnsi="Garamond" w:cs="Times New Roman"/>
          <w:sz w:val="24"/>
          <w:szCs w:val="24"/>
        </w:rPr>
        <w:t>sipas shtojcës nr. 2</w:t>
      </w:r>
      <w:r w:rsidR="00B36A08" w:rsidRPr="00A653CA">
        <w:rPr>
          <w:rFonts w:ascii="Garamond" w:hAnsi="Garamond" w:cs="Times New Roman"/>
          <w:sz w:val="24"/>
          <w:szCs w:val="24"/>
        </w:rPr>
        <w:t>;</w:t>
      </w:r>
    </w:p>
    <w:p w14:paraId="6C59375D" w14:textId="4CB7802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826773" w:rsidRPr="00A653CA">
        <w:rPr>
          <w:rFonts w:ascii="Garamond" w:hAnsi="Garamond" w:cs="Times New Roman"/>
          <w:sz w:val="24"/>
          <w:szCs w:val="24"/>
        </w:rPr>
        <w:t>)</w:t>
      </w:r>
      <w:r w:rsidR="00443050" w:rsidRPr="00A653CA">
        <w:rPr>
          <w:rFonts w:ascii="Garamond" w:hAnsi="Garamond" w:cs="Times New Roman"/>
          <w:sz w:val="24"/>
          <w:szCs w:val="24"/>
        </w:rPr>
        <w:t xml:space="preserve"> </w:t>
      </w:r>
      <w:r w:rsidR="00B36A08" w:rsidRPr="00A653CA">
        <w:rPr>
          <w:rFonts w:ascii="Garamond" w:hAnsi="Garamond" w:cs="Times New Roman"/>
          <w:sz w:val="24"/>
          <w:szCs w:val="24"/>
        </w:rPr>
        <w:t>a</w:t>
      </w:r>
      <w:r w:rsidRPr="00A653CA">
        <w:rPr>
          <w:rFonts w:ascii="Garamond" w:hAnsi="Garamond" w:cs="Times New Roman"/>
          <w:sz w:val="24"/>
          <w:szCs w:val="24"/>
        </w:rPr>
        <w:t xml:space="preserve">plikanti duhet të depozitojë një kopje të disertacionit përkatës në Bibliotekën Kombëtare të Shqipërisë (BKSH) dhe të paraqesë vërtetimin përkatës. </w:t>
      </w:r>
    </w:p>
    <w:p w14:paraId="6A25B436" w14:textId="69C9ECA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4.1</w:t>
      </w:r>
      <w:r w:rsidR="00443050" w:rsidRPr="00A653CA">
        <w:rPr>
          <w:rFonts w:ascii="Garamond" w:hAnsi="Garamond" w:cs="Times New Roman"/>
          <w:sz w:val="24"/>
          <w:szCs w:val="24"/>
        </w:rPr>
        <w:t xml:space="preserve"> </w:t>
      </w:r>
      <w:r w:rsidR="00E3661C" w:rsidRPr="00A653CA">
        <w:rPr>
          <w:rFonts w:ascii="Garamond" w:hAnsi="Garamond" w:cs="Times New Roman"/>
          <w:sz w:val="24"/>
          <w:szCs w:val="24"/>
        </w:rPr>
        <w:t>Shfuqizuar</w:t>
      </w:r>
      <w:r w:rsidRPr="00A653CA">
        <w:rPr>
          <w:rFonts w:ascii="Garamond" w:hAnsi="Garamond" w:cs="Times New Roman"/>
          <w:sz w:val="24"/>
          <w:szCs w:val="24"/>
        </w:rPr>
        <w:t>.</w:t>
      </w:r>
    </w:p>
    <w:p w14:paraId="0B84A710" w14:textId="0BD74D5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pacing w:val="-15"/>
          <w:sz w:val="24"/>
          <w:szCs w:val="24"/>
        </w:rPr>
      </w:pPr>
      <w:r w:rsidRPr="00A653CA">
        <w:rPr>
          <w:rFonts w:ascii="Garamond" w:hAnsi="Garamond" w:cs="Times New Roman"/>
          <w:sz w:val="24"/>
          <w:szCs w:val="24"/>
        </w:rPr>
        <w:t>5.</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Institucioni përgjegjës për njohjen në Republikën e Shqipërisë të titujve akademikë të fituar jashtë vendit, bazohet në kriteret </w:t>
      </w:r>
      <w:r w:rsidRPr="00A653CA">
        <w:rPr>
          <w:rFonts w:ascii="Garamond" w:hAnsi="Garamond" w:cs="Times New Roman"/>
          <w:spacing w:val="-15"/>
          <w:sz w:val="24"/>
          <w:szCs w:val="24"/>
        </w:rPr>
        <w:t>dhe standardet shtetërore të</w:t>
      </w:r>
      <w:r w:rsidRPr="00A653CA">
        <w:rPr>
          <w:rFonts w:ascii="Garamond" w:hAnsi="Garamond" w:cs="Times New Roman"/>
          <w:sz w:val="24"/>
          <w:szCs w:val="24"/>
        </w:rPr>
        <w:t xml:space="preserve"> përcaktuar në legjislacionin në fuqi, në Republikën e Shqipërisë, për fitimin </w:t>
      </w:r>
      <w:r w:rsidRPr="00A653CA">
        <w:rPr>
          <w:rFonts w:ascii="Garamond" w:hAnsi="Garamond" w:cs="Times New Roman"/>
          <w:spacing w:val="-15"/>
          <w:sz w:val="24"/>
          <w:szCs w:val="24"/>
        </w:rPr>
        <w:t>e titujve akademikë.</w:t>
      </w:r>
    </w:p>
    <w:p w14:paraId="7B09B8AC" w14:textId="58CEC0B5" w:rsidR="00173DDB" w:rsidRPr="00A653CA" w:rsidRDefault="00173DDB" w:rsidP="00D27F40">
      <w:pPr>
        <w:widowControl w:val="0"/>
        <w:tabs>
          <w:tab w:val="left" w:pos="2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5.1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Aplikimi për njohjen e titujve akademikë kryhet </w:t>
      </w:r>
      <w:r w:rsidRPr="00A653CA">
        <w:rPr>
          <w:rFonts w:ascii="Garamond" w:hAnsi="Garamond" w:cs="Times New Roman"/>
          <w:i/>
          <w:iCs/>
          <w:sz w:val="24"/>
          <w:szCs w:val="24"/>
        </w:rPr>
        <w:t>online</w:t>
      </w:r>
      <w:r w:rsidRPr="00A653CA">
        <w:rPr>
          <w:rFonts w:ascii="Garamond" w:hAnsi="Garamond" w:cs="Times New Roman"/>
          <w:sz w:val="24"/>
          <w:szCs w:val="24"/>
        </w:rPr>
        <w:t xml:space="preserve"> sipas procedurës së mëposhtme: </w:t>
      </w:r>
    </w:p>
    <w:p w14:paraId="3EFE909A" w14:textId="3AAE3BA3"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270AA1"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formulari i aplikimit plotësohet </w:t>
      </w:r>
      <w:r w:rsidRPr="00A653CA">
        <w:rPr>
          <w:rFonts w:ascii="Garamond" w:hAnsi="Garamond" w:cs="Times New Roman"/>
          <w:i/>
          <w:iCs/>
          <w:sz w:val="24"/>
          <w:szCs w:val="24"/>
        </w:rPr>
        <w:t xml:space="preserve">online </w:t>
      </w:r>
      <w:r w:rsidRPr="00A653CA">
        <w:rPr>
          <w:rFonts w:ascii="Garamond" w:hAnsi="Garamond" w:cs="Times New Roman"/>
          <w:sz w:val="24"/>
          <w:szCs w:val="24"/>
        </w:rPr>
        <w:t xml:space="preserve">në portalin e-Albania, sipas shtojcës nr. 1; </w:t>
      </w:r>
    </w:p>
    <w:p w14:paraId="46FE2FFF" w14:textId="3B28759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270AA1"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aplikanti ngarkon në format elektronik (PDF) dokumentacionin e mëposhtëm:</w:t>
      </w:r>
    </w:p>
    <w:p w14:paraId="2084317D" w14:textId="62357E3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w:t>
      </w:r>
      <w:r w:rsidR="00443050" w:rsidRPr="00A653CA">
        <w:rPr>
          <w:rFonts w:ascii="Garamond" w:hAnsi="Garamond" w:cs="Times New Roman"/>
          <w:sz w:val="24"/>
          <w:szCs w:val="24"/>
        </w:rPr>
        <w:t xml:space="preserve"> </w:t>
      </w:r>
      <w:r w:rsidRPr="00A653CA">
        <w:rPr>
          <w:rFonts w:ascii="Garamond" w:hAnsi="Garamond" w:cs="Times New Roman"/>
          <w:sz w:val="24"/>
          <w:szCs w:val="24"/>
        </w:rPr>
        <w:t>dokumentin e fitimit të titullit akademik, të pajisur me vulë apostile ose legalizim nga vendi i lëshimit, të njësuar me origjinalin (noterizuar), si dhe të përkthyer në gjuhën shqipe nga përkthyes të licencuar në Republikën e Shqipërisë;</w:t>
      </w:r>
    </w:p>
    <w:p w14:paraId="17A4CB2B" w14:textId="77777777" w:rsidR="00E3661C" w:rsidRPr="00A653CA" w:rsidRDefault="00E3661C"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ii. Kopjen e dokumentit që vërteton fitimin e gradës shkencore “Doktor”, e noterizuar dhe shoqëruar me vërtetimin e njohjes së gradës shkencore “Doktor” në Republikën e Shqipërisë, nëse studimet pararendëse janë ndjekur jashtë vendit.</w:t>
      </w:r>
    </w:p>
    <w:p w14:paraId="533AD337" w14:textId="68BA4DD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iii.</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vërtetimin e regjistrimit të titullit akademik në bazën e të dhënave përkatëse në zbatim të kuadrit ligjor të vendit ku është fituar titulli akademik (nëse ky regjistrim është parashikuar nga legjislacioni përkatës i huaj); </w:t>
      </w:r>
    </w:p>
    <w:p w14:paraId="12C5D2E7" w14:textId="036404F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iv.</w:t>
      </w:r>
      <w:r w:rsidR="00443050" w:rsidRPr="00A653CA">
        <w:rPr>
          <w:rFonts w:ascii="Garamond" w:hAnsi="Garamond" w:cs="Times New Roman"/>
          <w:sz w:val="24"/>
          <w:szCs w:val="24"/>
        </w:rPr>
        <w:t xml:space="preserve"> </w:t>
      </w:r>
      <w:r w:rsidRPr="00A653CA">
        <w:rPr>
          <w:rFonts w:ascii="Garamond" w:hAnsi="Garamond" w:cs="Times New Roman"/>
          <w:sz w:val="24"/>
          <w:szCs w:val="24"/>
        </w:rPr>
        <w:t>fotokopjen e kartës së identitetit apo pasaportës (vetëm për shtetasit e huaj);</w:t>
      </w:r>
    </w:p>
    <w:p w14:paraId="4A38AD4D" w14:textId="1BFF9F0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v.</w:t>
      </w:r>
      <w:r w:rsidR="00443050" w:rsidRPr="00A653CA">
        <w:rPr>
          <w:rFonts w:ascii="Garamond" w:hAnsi="Garamond" w:cs="Times New Roman"/>
          <w:sz w:val="24"/>
          <w:szCs w:val="24"/>
        </w:rPr>
        <w:t xml:space="preserve"> </w:t>
      </w:r>
      <w:r w:rsidR="00B80D6A" w:rsidRPr="00A653CA">
        <w:rPr>
          <w:rFonts w:ascii="Garamond" w:hAnsi="Garamond" w:cs="Times New Roman"/>
          <w:sz w:val="24"/>
          <w:szCs w:val="24"/>
        </w:rPr>
        <w:t>mandat</w:t>
      </w:r>
      <w:r w:rsidRPr="00A653CA">
        <w:rPr>
          <w:rFonts w:ascii="Garamond" w:hAnsi="Garamond" w:cs="Times New Roman"/>
          <w:sz w:val="24"/>
          <w:szCs w:val="24"/>
        </w:rPr>
        <w:t xml:space="preserve">pagesën ose konfirmimin e pagesës </w:t>
      </w:r>
      <w:r w:rsidRPr="00A653CA">
        <w:rPr>
          <w:rFonts w:ascii="Garamond" w:hAnsi="Garamond" w:cs="Times New Roman"/>
          <w:i/>
          <w:iCs/>
          <w:sz w:val="24"/>
          <w:szCs w:val="24"/>
        </w:rPr>
        <w:t xml:space="preserve">online, </w:t>
      </w:r>
      <w:r w:rsidRPr="00A653CA">
        <w:rPr>
          <w:rFonts w:ascii="Garamond" w:hAnsi="Garamond" w:cs="Times New Roman"/>
          <w:sz w:val="24"/>
          <w:szCs w:val="24"/>
        </w:rPr>
        <w:t>sipas shtojcës nr. 2;</w:t>
      </w:r>
    </w:p>
    <w:p w14:paraId="7B5D4473" w14:textId="6659D8E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vi.</w:t>
      </w:r>
      <w:r w:rsidR="00443050" w:rsidRPr="00A653CA">
        <w:rPr>
          <w:rFonts w:ascii="Garamond" w:hAnsi="Garamond" w:cs="Times New Roman"/>
          <w:sz w:val="24"/>
          <w:szCs w:val="24"/>
        </w:rPr>
        <w:t xml:space="preserve"> </w:t>
      </w:r>
      <w:r w:rsidRPr="00A653CA">
        <w:rPr>
          <w:rFonts w:ascii="Garamond" w:hAnsi="Garamond" w:cs="Times New Roman"/>
          <w:sz w:val="24"/>
          <w:szCs w:val="24"/>
        </w:rPr>
        <w:t>deklaratën/skedën e nënshkruar në të cilin të jepet informacion për eksperiencën akademike në mësimdhënie; aktivitetin shkencor – lista e artikujve/botimeve shkencore, pjesëmarrje në simpoziume, konferenca, kongrese shkencore të shoqëruar me titujt e materialeve të paraqitura; si dhe botime të punimeve shkencore në organe shkencore ndërkombëtare. Informacioni i parashikuar në këtë skedë duhet të shoqërohet me dokumentacionin provues përkatës.</w:t>
      </w:r>
    </w:p>
    <w:p w14:paraId="672D0D08" w14:textId="05CAEE7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5.2</w:t>
      </w:r>
      <w:r w:rsidR="00443050" w:rsidRPr="00A653CA">
        <w:rPr>
          <w:rFonts w:ascii="Garamond" w:hAnsi="Garamond" w:cs="Times New Roman"/>
          <w:sz w:val="24"/>
          <w:szCs w:val="24"/>
        </w:rPr>
        <w:t xml:space="preserve"> </w:t>
      </w:r>
      <w:r w:rsidR="00E3661C" w:rsidRPr="00A653CA">
        <w:rPr>
          <w:rFonts w:ascii="Garamond" w:hAnsi="Garamond" w:cs="Times New Roman"/>
          <w:sz w:val="24"/>
          <w:szCs w:val="24"/>
        </w:rPr>
        <w:t>Shfuqizuar</w:t>
      </w:r>
      <w:r w:rsidRPr="00A653CA">
        <w:rPr>
          <w:rFonts w:ascii="Garamond" w:hAnsi="Garamond" w:cs="Times New Roman"/>
          <w:sz w:val="24"/>
          <w:szCs w:val="24"/>
        </w:rPr>
        <w:t xml:space="preserve">. </w:t>
      </w:r>
    </w:p>
    <w:p w14:paraId="4659E058"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1007427"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III</w:t>
      </w:r>
    </w:p>
    <w:p w14:paraId="0974AA07" w14:textId="5C24A66D"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 xml:space="preserve">PROCEDURAT E NJOHJES DHE </w:t>
      </w:r>
      <w:r w:rsidR="00270AA1" w:rsidRPr="00A653CA">
        <w:rPr>
          <w:rFonts w:ascii="Garamond" w:hAnsi="Garamond" w:cs="Times New Roman"/>
          <w:bCs/>
          <w:sz w:val="24"/>
          <w:szCs w:val="24"/>
        </w:rPr>
        <w:t xml:space="preserve">TË </w:t>
      </w:r>
      <w:r w:rsidRPr="00A653CA">
        <w:rPr>
          <w:rFonts w:ascii="Garamond" w:hAnsi="Garamond" w:cs="Times New Roman"/>
          <w:bCs/>
          <w:sz w:val="24"/>
          <w:szCs w:val="24"/>
        </w:rPr>
        <w:t>NJËSIMIT</w:t>
      </w:r>
    </w:p>
    <w:p w14:paraId="5BAB8850"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32F3AC2C" w14:textId="7BE87B14" w:rsidR="00550D18" w:rsidRPr="00A653CA" w:rsidRDefault="00173DDB" w:rsidP="00550D18">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00550D18" w:rsidRPr="00A653CA">
        <w:rPr>
          <w:rFonts w:ascii="Garamond" w:hAnsi="Garamond" w:cs="Times New Roman"/>
          <w:i/>
          <w:iCs/>
          <w:sz w:val="24"/>
          <w:szCs w:val="24"/>
        </w:rPr>
        <w:t xml:space="preserve">Procedura e njohjes dhe njësimit, pas aplikimit online, e kualifikimeve akademike që i përkasin nivelit 5 deri në 8, përveç gradave shkencore “Doktor”, të Kornizës Shqiptare ose Evropiane të Kualifikimeve vijon me shqyrtimin dhe verifikimin e dokumentacionit nga struktura përkatëse e QSHA-së. Kjo procedurë, kur dosja e aplikimit është e plotësuar me të gjithë dokumentacionin e kërkuar sipas këtij udhëzimi, përfundon brenda 30 ditëve kalendarike. </w:t>
      </w:r>
    </w:p>
    <w:p w14:paraId="5E994C20" w14:textId="4920D70C" w:rsidR="00173DDB" w:rsidRPr="00A653CA" w:rsidRDefault="00550D18" w:rsidP="00550D18">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i/>
          <w:iCs/>
          <w:sz w:val="24"/>
          <w:szCs w:val="24"/>
        </w:rPr>
        <w:t>Përjashtimisht, procedura përfundon brenda 5 ditëve pune nga data e aplikimit, për diploma të fituara në vendet e BE-së dhe SHBA-së, Britani e Madhe, Kanada, Japoni, Norvegji, Izrael, Zvicër, Islandë, Australi, si dhe Turqi në rast se diploma dhe suplementi ose lista e notave të saj janë të pajisura me vulë apostile. Në rastet kur QSHA-ja evidenton parregullsi/mangësi në dokumentacionin e paraqitur, mund të nisë procesin e verifikimit të tij, sipas përcaktimeve të këtij udhëzimi.</w:t>
      </w:r>
    </w:p>
    <w:p w14:paraId="3A0A4EBA" w14:textId="4BBECE4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1.1</w:t>
      </w:r>
      <w:r w:rsidR="00443050" w:rsidRPr="00A653CA">
        <w:rPr>
          <w:rFonts w:ascii="Garamond" w:hAnsi="Garamond" w:cs="Times New Roman"/>
          <w:sz w:val="24"/>
          <w:szCs w:val="24"/>
        </w:rPr>
        <w:t xml:space="preserve"> </w:t>
      </w:r>
      <w:r w:rsidR="002A2808" w:rsidRPr="00A653CA">
        <w:rPr>
          <w:rFonts w:ascii="Garamond" w:hAnsi="Garamond" w:cs="Times New Roman"/>
          <w:i/>
          <w:sz w:val="24"/>
          <w:szCs w:val="24"/>
        </w:rPr>
        <w:t>Shfuqizuar</w:t>
      </w:r>
      <w:r w:rsidRPr="00A653CA">
        <w:rPr>
          <w:rFonts w:ascii="Garamond" w:hAnsi="Garamond" w:cs="Times New Roman"/>
          <w:i/>
          <w:sz w:val="24"/>
          <w:szCs w:val="24"/>
        </w:rPr>
        <w:t>.</w:t>
      </w:r>
    </w:p>
    <w:p w14:paraId="6BFDCBFE" w14:textId="77777777" w:rsidR="00E3661C" w:rsidRPr="00A653CA" w:rsidRDefault="00E3661C" w:rsidP="00E3661C">
      <w:pPr>
        <w:tabs>
          <w:tab w:val="left" w:pos="900"/>
        </w:tabs>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1.2 Procedura e njohjes dhe njësimit fillon menjëherë pasi QSHA-së i është shfaqur aplikimi në sistemin online, në rastet kur dokumentacioni i ngarkuar në formë elektronike është i plotë, sipas përcaktimeve të këtij udhëzimi. </w:t>
      </w:r>
    </w:p>
    <w:p w14:paraId="0287B5DB" w14:textId="77777777" w:rsidR="00E3661C" w:rsidRPr="00A653CA" w:rsidRDefault="00E3661C" w:rsidP="00E3661C">
      <w:pPr>
        <w:tabs>
          <w:tab w:val="left" w:pos="900"/>
        </w:tabs>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SENJOD vetëm në ato raste kur ka dyshime të arsyeshme për autenticitetin e diplomës ose certifikatës se lëshuar kontakton me anë të postës elektronike me institucionin përgjegjës që ka lëshuar diplomën ose certifikatën përkatëse.</w:t>
      </w:r>
    </w:p>
    <w:p w14:paraId="729AEEED" w14:textId="77777777" w:rsidR="00E3661C" w:rsidRPr="00A653CA" w:rsidRDefault="00E3661C" w:rsidP="00E3661C">
      <w:pPr>
        <w:widowControl w:val="0"/>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Aplikimi nuk konsiderohet i plotë nëse mungon një nga dokumentet e cituara në këtë udhëzim. Informimi për plotësim dokumentacioni bëhet nëpërmjet sistemit online.</w:t>
      </w:r>
    </w:p>
    <w:p w14:paraId="73ED7CF0" w14:textId="11183A0D" w:rsidR="002E5DB0" w:rsidRPr="00A653CA" w:rsidRDefault="002E5DB0" w:rsidP="006C0176">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1.3 </w:t>
      </w:r>
      <w:r w:rsidR="006C0176" w:rsidRPr="00A653CA">
        <w:rPr>
          <w:rFonts w:ascii="Garamond" w:hAnsi="Garamond" w:cs="Times New Roman"/>
          <w:i/>
          <w:iCs/>
          <w:sz w:val="24"/>
          <w:szCs w:val="24"/>
        </w:rPr>
        <w:t>Shfuqizuar.</w:t>
      </w:r>
    </w:p>
    <w:p w14:paraId="247BEC68" w14:textId="3A697789" w:rsidR="002E5DB0" w:rsidRPr="00A653CA" w:rsidRDefault="002E5DB0" w:rsidP="00D27F40">
      <w:pPr>
        <w:widowControl w:val="0"/>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lastRenderedPageBreak/>
        <w:t xml:space="preserve">1.4 </w:t>
      </w:r>
      <w:r w:rsidR="00721AAA" w:rsidRPr="00A653CA">
        <w:rPr>
          <w:rFonts w:ascii="Garamond" w:hAnsi="Garamond" w:cs="Times New Roman"/>
          <w:i/>
          <w:iCs/>
          <w:sz w:val="24"/>
          <w:szCs w:val="24"/>
        </w:rPr>
        <w:t>Në rast të konstatimit të mangësive në dokumentacionin e depozituar, QSHA-ja me anë të postës elektronike, ose sistemit i kërkon aplikantit plotësimin e dokumentacionit brenda 5 ditëve nga momenti i njoftimit. Në rast të mos paraqitjes së dokumentacionit, brenda 30 ditëve, QSHA-ja ndërpret shqyrtimin e aplikimit dhe dokumentacioni përkatës arkivohet. Akti administrativ i arkivimit i njoftohet aplikuesit nëpërmjet portalit e-Albania. Në rastet kur dosja është arkivuar për shkak të mosplotësimit të dokumentacionit, aplikuesi kryen aplikim të ri sipas kritereve të përcaktuara në këtë udhëzim duke kryer një pagesë të re për llogari të QSHA-së.</w:t>
      </w:r>
    </w:p>
    <w:p w14:paraId="1C2FF835" w14:textId="4D75F325"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1.5</w:t>
      </w:r>
      <w:r w:rsidR="00443050" w:rsidRPr="00A653CA">
        <w:rPr>
          <w:rFonts w:ascii="Garamond" w:hAnsi="Garamond" w:cs="Times New Roman"/>
          <w:sz w:val="24"/>
          <w:szCs w:val="24"/>
        </w:rPr>
        <w:t xml:space="preserve"> </w:t>
      </w:r>
      <w:r w:rsidRPr="00A653CA">
        <w:rPr>
          <w:rFonts w:ascii="Garamond" w:hAnsi="Garamond" w:cs="Times New Roman"/>
          <w:sz w:val="24"/>
          <w:szCs w:val="24"/>
        </w:rPr>
        <w:t>SENJOD</w:t>
      </w:r>
      <w:r w:rsidR="005874CA" w:rsidRPr="00A653CA">
        <w:rPr>
          <w:rFonts w:ascii="Garamond" w:hAnsi="Garamond" w:cs="Times New Roman"/>
          <w:sz w:val="24"/>
          <w:szCs w:val="24"/>
        </w:rPr>
        <w:t>-ja</w:t>
      </w:r>
      <w:r w:rsidRPr="00A653CA">
        <w:rPr>
          <w:rFonts w:ascii="Garamond" w:hAnsi="Garamond" w:cs="Times New Roman"/>
          <w:sz w:val="24"/>
          <w:szCs w:val="24"/>
        </w:rPr>
        <w:t xml:space="preserve"> llogarit afatet e përcaktuara në këtë udhëzim për njohjen dhe njësimin e kualifikimeve, duke iu referuar datës së plotësimit të praktikës me të gjithë dokumentacionin e plotë.</w:t>
      </w:r>
    </w:p>
    <w:p w14:paraId="7751D48E" w14:textId="2BCB3DC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trike/>
          <w:sz w:val="24"/>
          <w:szCs w:val="24"/>
        </w:rPr>
      </w:pPr>
      <w:r w:rsidRPr="00A653CA">
        <w:rPr>
          <w:rFonts w:ascii="Garamond" w:hAnsi="Garamond" w:cs="Times New Roman"/>
          <w:sz w:val="24"/>
          <w:szCs w:val="24"/>
        </w:rPr>
        <w:t>2.</w:t>
      </w:r>
      <w:r w:rsidR="005874CA" w:rsidRPr="00A653CA">
        <w:rPr>
          <w:rFonts w:ascii="Garamond" w:hAnsi="Garamond" w:cs="Times New Roman"/>
          <w:sz w:val="24"/>
          <w:szCs w:val="24"/>
        </w:rPr>
        <w:t xml:space="preserve"> </w:t>
      </w:r>
      <w:r w:rsidRPr="00A653CA">
        <w:rPr>
          <w:rFonts w:ascii="Garamond" w:hAnsi="Garamond" w:cs="Times New Roman"/>
          <w:sz w:val="24"/>
          <w:szCs w:val="24"/>
        </w:rPr>
        <w:t>QSHA</w:t>
      </w:r>
      <w:r w:rsidR="005874CA" w:rsidRPr="00A653CA">
        <w:rPr>
          <w:rFonts w:ascii="Garamond" w:hAnsi="Garamond" w:cs="Times New Roman"/>
          <w:sz w:val="24"/>
          <w:szCs w:val="24"/>
        </w:rPr>
        <w:t>-ja</w:t>
      </w:r>
      <w:r w:rsidRPr="00A653CA">
        <w:rPr>
          <w:rFonts w:ascii="Garamond" w:hAnsi="Garamond" w:cs="Times New Roman"/>
          <w:sz w:val="24"/>
          <w:szCs w:val="24"/>
        </w:rPr>
        <w:t xml:space="preserve"> në zbatim të procedurës së verifikimit:</w:t>
      </w:r>
    </w:p>
    <w:p w14:paraId="19543A7C" w14:textId="1C29CFF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5874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kërkon informacion nëse programi i studimit i përfunduar nga aplikanti në një institucion të huaj të arsimit të lartë apo institucion tjetër i autorizuar është i hapur/licencuar si program studimi </w:t>
      </w:r>
      <w:r w:rsidRPr="00A653CA">
        <w:rPr>
          <w:rFonts w:ascii="Garamond" w:hAnsi="Garamond" w:cs="Times New Roman"/>
          <w:i/>
          <w:iCs/>
          <w:sz w:val="24"/>
          <w:szCs w:val="24"/>
        </w:rPr>
        <w:t>online;</w:t>
      </w:r>
      <w:r w:rsidRPr="00A653CA">
        <w:rPr>
          <w:rFonts w:ascii="Garamond" w:hAnsi="Garamond" w:cs="Times New Roman"/>
          <w:sz w:val="24"/>
          <w:szCs w:val="24"/>
        </w:rPr>
        <w:t xml:space="preserve"> </w:t>
      </w:r>
    </w:p>
    <w:p w14:paraId="4F5453EE" w14:textId="63AB314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5874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kërkon çdo informacion shtesë që e konsideron të nevojshëm për vlerësimin objektiv për njohjen dhe njësimin e diplomës/certifikatës;</w:t>
      </w:r>
    </w:p>
    <w:p w14:paraId="7124A3BB" w14:textId="40C5B32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5874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i kërkon përmes postës elektronike IAL-së përkatëse konfirmimin e autenticitetit, të paktën dy herë dhe në rast mospërgjigjeje, konfirmimi kërkohet me shkresë zyrtare (dërguar me postë zyrtare). Në rast se pas 1 viti nga momenti i kërkesës së konfirmimit me shkresë zyrtare, ende nuk ka një përgjigje nga IAL-ja, shqyrtimi i aplikimit përkatës ndërpritet dhe dokumentacioni arkivohet në QSHA. Aplikanti njoftohet për vendimin e </w:t>
      </w:r>
      <w:r w:rsidR="001C2491" w:rsidRPr="00A653CA">
        <w:rPr>
          <w:rFonts w:ascii="Garamond" w:hAnsi="Garamond" w:cs="Times New Roman"/>
          <w:i/>
          <w:iCs/>
          <w:sz w:val="24"/>
          <w:szCs w:val="24"/>
        </w:rPr>
        <w:t>QSHA</w:t>
      </w:r>
      <w:r w:rsidR="001C2491" w:rsidRPr="00A653CA">
        <w:rPr>
          <w:rFonts w:ascii="Garamond" w:hAnsi="Garamond" w:cs="Times New Roman"/>
          <w:sz w:val="24"/>
          <w:szCs w:val="24"/>
        </w:rPr>
        <w:t xml:space="preserve"> </w:t>
      </w:r>
      <w:r w:rsidRPr="00A653CA">
        <w:rPr>
          <w:rFonts w:ascii="Garamond" w:hAnsi="Garamond" w:cs="Times New Roman"/>
          <w:sz w:val="24"/>
          <w:szCs w:val="24"/>
        </w:rPr>
        <w:t>mbi arkivimin e dokumentacionit.</w:t>
      </w:r>
    </w:p>
    <w:p w14:paraId="25AA27B5"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Gjithashtu, konfirmimi kërkohet edhe nga institucionet e tjera përgjegjëse sipas rastit;</w:t>
      </w:r>
    </w:p>
    <w:p w14:paraId="0BC21E74" w14:textId="70F8412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5874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QSHA</w:t>
      </w:r>
      <w:r w:rsidR="005874CA" w:rsidRPr="00A653CA">
        <w:rPr>
          <w:rFonts w:ascii="Garamond" w:hAnsi="Garamond" w:cs="Times New Roman"/>
          <w:sz w:val="24"/>
          <w:szCs w:val="24"/>
        </w:rPr>
        <w:t>-ja</w:t>
      </w:r>
      <w:r w:rsidRPr="00A653CA">
        <w:rPr>
          <w:rFonts w:ascii="Garamond" w:hAnsi="Garamond" w:cs="Times New Roman"/>
          <w:sz w:val="24"/>
          <w:szCs w:val="24"/>
        </w:rPr>
        <w:t xml:space="preserve"> i referohet listës zyrtare të institucioneve të njohura/licencuara/ akredituara në vendin e origjinës të publikuar në faqet përkatëse zyrtare të rrjetit ENIC-NARIC dhe sipas rastit kërkon informacion pranë qendrave të rrjetit evropian të informimit dhe njohjes së diplomave (ENIC–NARIC) dhe institucioneve përgjegjëse të shteteve të tjera mbi statusin e institucioneve të arsimit të lartë, vlefshmërinë e diplomave apo certifikatave, nivelin e tyre sipas kornizës kombëtare apo evropiane të kualifikimeve, si dhe informacion tjetër shtesë në funksion të njësimit të diplomës. QSHA</w:t>
      </w:r>
      <w:r w:rsidR="00C37AB6" w:rsidRPr="00A653CA">
        <w:rPr>
          <w:rFonts w:ascii="Garamond" w:hAnsi="Garamond" w:cs="Times New Roman"/>
          <w:sz w:val="24"/>
          <w:szCs w:val="24"/>
        </w:rPr>
        <w:t>-ja</w:t>
      </w:r>
      <w:r w:rsidRPr="00A653CA">
        <w:rPr>
          <w:rFonts w:ascii="Garamond" w:hAnsi="Garamond" w:cs="Times New Roman"/>
          <w:sz w:val="24"/>
          <w:szCs w:val="24"/>
        </w:rPr>
        <w:t xml:space="preserve"> shërben si qendra kombëtare e rrjetit ENIC/NARIC për informimin dhe njohjen e diplomave për Republikën e Shqipërisë;</w:t>
      </w:r>
    </w:p>
    <w:p w14:paraId="5921952F" w14:textId="73E8A57E" w:rsidR="00173DDB" w:rsidRPr="00A653CA" w:rsidRDefault="00173DDB" w:rsidP="006701A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6701A0"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materialet shkresore ose të printuara për të gjitha ve</w:t>
      </w:r>
      <w:r w:rsidR="006701A0" w:rsidRPr="00A653CA">
        <w:rPr>
          <w:rFonts w:ascii="Garamond" w:hAnsi="Garamond" w:cs="Times New Roman"/>
          <w:sz w:val="24"/>
          <w:szCs w:val="24"/>
        </w:rPr>
        <w:t xml:space="preserve">rifikimet e kryera, depozitohen </w:t>
      </w:r>
      <w:r w:rsidRPr="00A653CA">
        <w:rPr>
          <w:rFonts w:ascii="Garamond" w:hAnsi="Garamond" w:cs="Times New Roman"/>
          <w:sz w:val="24"/>
          <w:szCs w:val="24"/>
        </w:rPr>
        <w:t xml:space="preserve">në dosjen e aplikantit. Për verifikimet e kryera </w:t>
      </w:r>
      <w:r w:rsidRPr="00A653CA">
        <w:rPr>
          <w:rFonts w:ascii="Garamond" w:hAnsi="Garamond" w:cs="Times New Roman"/>
          <w:i/>
          <w:iCs/>
          <w:sz w:val="24"/>
          <w:szCs w:val="24"/>
        </w:rPr>
        <w:t>online</w:t>
      </w:r>
      <w:r w:rsidRPr="00A653CA">
        <w:rPr>
          <w:rFonts w:ascii="Garamond" w:hAnsi="Garamond" w:cs="Times New Roman"/>
          <w:sz w:val="24"/>
          <w:szCs w:val="24"/>
        </w:rPr>
        <w:t>, dokumentacioni i printuar firmoset nga nëpunësi që kryen verifikimet dhe depozitohet në dosjen e aplikantit.</w:t>
      </w:r>
    </w:p>
    <w:p w14:paraId="56085A88" w14:textId="4437394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w:t>
      </w:r>
      <w:r w:rsidR="00A653CA" w:rsidRPr="00A653CA">
        <w:rPr>
          <w:rFonts w:ascii="Garamond" w:hAnsi="Garamond" w:cs="Times New Roman"/>
          <w:sz w:val="24"/>
          <w:szCs w:val="24"/>
        </w:rPr>
        <w:t xml:space="preserve"> </w:t>
      </w:r>
      <w:r w:rsidR="001C2491" w:rsidRPr="00A653CA">
        <w:rPr>
          <w:rFonts w:ascii="Garamond" w:hAnsi="Garamond" w:cs="Times New Roman"/>
          <w:i/>
          <w:sz w:val="24"/>
          <w:szCs w:val="24"/>
        </w:rPr>
        <w:t>Shfuqizuar</w:t>
      </w:r>
      <w:r w:rsidRPr="00A653CA">
        <w:rPr>
          <w:rFonts w:ascii="Garamond" w:hAnsi="Garamond" w:cs="Times New Roman"/>
          <w:i/>
          <w:sz w:val="24"/>
          <w:szCs w:val="24"/>
        </w:rPr>
        <w:t>.</w:t>
      </w:r>
    </w:p>
    <w:p w14:paraId="45D96E4B" w14:textId="0FC845F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4.</w:t>
      </w:r>
      <w:r w:rsidR="00443050" w:rsidRPr="00A653CA">
        <w:rPr>
          <w:rFonts w:ascii="Garamond" w:hAnsi="Garamond" w:cs="Times New Roman"/>
          <w:sz w:val="24"/>
          <w:szCs w:val="24"/>
        </w:rPr>
        <w:t xml:space="preserve"> </w:t>
      </w:r>
      <w:r w:rsidRPr="00A653CA">
        <w:rPr>
          <w:rFonts w:ascii="Garamond" w:hAnsi="Garamond" w:cs="Times New Roman"/>
          <w:sz w:val="24"/>
          <w:szCs w:val="24"/>
        </w:rPr>
        <w:t>Në zbatim të parimit të barazisë dhe mos diskriminimit, bazuar në përcaktimet e shkronjës “b”, të nenit 75 të pikës 2, të nenit 124, të ligjit nr. 80/2015:</w:t>
      </w:r>
    </w:p>
    <w:p w14:paraId="41691C12" w14:textId="41A31FB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02406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Diplomat e fituara nga institucionet e huaja të arsimit të lartë, përpara aplikimit të sistemit të Bolonjës në Shqipëri, të cilat e kanë datën e lëshimit të diplomës deri në vitin 2010, me kohëzgjatje normale minimale 4 (katër) vite (tetë semestra), me kohë të plotë, të njësohen si ekuivalentët e tyre që ofroheshin në institucionet e arsimit të lartë në Republikën e Shqipërisë, në të njëjtën periudhë kohore.</w:t>
      </w:r>
    </w:p>
    <w:p w14:paraId="7866BCCC" w14:textId="1DF20732"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02406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Diplomat e lëshuara nga institucione të huaja të arsimit të lartë, për programet e studimit të cilat përmbajnë të paktën 300 ECTS, me kohëzgjatje normale minimale 5 (pesë) vite akademike, të njësohen si ekuivalentët e tyre që ofrohen në institucionet e arsimit të lartë në Republikën e Shqipërisë.</w:t>
      </w:r>
    </w:p>
    <w:p w14:paraId="3A9F03AE" w14:textId="5230B119" w:rsidR="002E5DB0" w:rsidRPr="00A653CA"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5</w:t>
      </w:r>
      <w:r w:rsidRPr="00A653CA">
        <w:rPr>
          <w:rFonts w:ascii="Garamond" w:hAnsi="Garamond" w:cs="Times New Roman"/>
          <w:i/>
          <w:iCs/>
          <w:sz w:val="24"/>
          <w:szCs w:val="24"/>
        </w:rPr>
        <w:t>.</w:t>
      </w:r>
      <w:r w:rsidR="00105431" w:rsidRPr="00A653CA">
        <w:rPr>
          <w:rFonts w:ascii="Garamond" w:hAnsi="Garamond" w:cs="Times New Roman"/>
          <w:i/>
          <w:iCs/>
          <w:sz w:val="24"/>
          <w:szCs w:val="24"/>
        </w:rPr>
        <w:t xml:space="preserve"> Titullari i QSHA-së lëshon vërtetimin e njohjes dhe njehsimit për çdo aplikant, nëpërmjet sistemit online me nënshkrim dhe vulë elektronike, sipas shtojcës nr. 3, bashkëlidhur këtij udhëzimi dhe pjesë përbërëse e tij, pas shqyrtimit të dokumentacionit nga struktura përkatëse për njohjen e diplomave, raportit përmbledhës dhe vendimit të përgatitur. Në rastet kur raporti përmbledhës nga struktura përkatëse dhe vendimi për njohjen dhe njësimin e diplomës ose certifikatës refuzohet, aplikantit i kthehet përgjigje e arsyetuar nga QSHA-ja nëpërmjet sistemit online për mangësitë e aplikimit</w:t>
      </w:r>
      <w:r w:rsidRPr="00A653CA">
        <w:rPr>
          <w:rFonts w:ascii="Garamond" w:hAnsi="Garamond" w:cs="Times New Roman"/>
          <w:i/>
          <w:iCs/>
          <w:sz w:val="24"/>
          <w:szCs w:val="24"/>
        </w:rPr>
        <w:t>.</w:t>
      </w:r>
    </w:p>
    <w:p w14:paraId="0A57E98E" w14:textId="144D77B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lastRenderedPageBreak/>
        <w:t>6.</w:t>
      </w:r>
      <w:r w:rsidR="00443050" w:rsidRPr="00A653CA">
        <w:rPr>
          <w:rFonts w:ascii="Garamond" w:hAnsi="Garamond" w:cs="Times New Roman"/>
          <w:sz w:val="24"/>
          <w:szCs w:val="24"/>
        </w:rPr>
        <w:t xml:space="preserve"> </w:t>
      </w:r>
      <w:r w:rsidRPr="00A653CA">
        <w:rPr>
          <w:rFonts w:ascii="Garamond" w:hAnsi="Garamond" w:cs="Times New Roman"/>
          <w:sz w:val="24"/>
          <w:szCs w:val="24"/>
        </w:rPr>
        <w:t>Për njohjen e gradave shkencore “Doktor” ngrihet me urdhër të ministrit përgjegjës për arsimin, Komisioni i Njohjes dhe Njësimit të Gradave Shkencore (</w:t>
      </w:r>
      <w:r w:rsidR="003D2C65" w:rsidRPr="00A653CA">
        <w:rPr>
          <w:rFonts w:ascii="Garamond" w:hAnsi="Garamond" w:cs="Times New Roman"/>
          <w:sz w:val="24"/>
          <w:szCs w:val="24"/>
        </w:rPr>
        <w:t>KNJG</w:t>
      </w:r>
      <w:r w:rsidRPr="00A653CA">
        <w:rPr>
          <w:rFonts w:ascii="Garamond" w:hAnsi="Garamond" w:cs="Times New Roman"/>
          <w:sz w:val="24"/>
          <w:szCs w:val="24"/>
        </w:rPr>
        <w:t>), i cili kryesohet nga ministri përgjegjës për arsimin.</w:t>
      </w:r>
    </w:p>
    <w:p w14:paraId="69A79E7C" w14:textId="47CC171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6.1</w:t>
      </w:r>
      <w:r w:rsidR="00443050" w:rsidRPr="00A653CA">
        <w:rPr>
          <w:rFonts w:ascii="Garamond" w:hAnsi="Garamond" w:cs="Times New Roman"/>
          <w:sz w:val="24"/>
          <w:szCs w:val="24"/>
        </w:rPr>
        <w:t xml:space="preserve"> </w:t>
      </w:r>
      <w:r w:rsidR="003D2C65" w:rsidRPr="00A653CA">
        <w:rPr>
          <w:rFonts w:ascii="Garamond" w:hAnsi="Garamond" w:cs="Times New Roman"/>
          <w:sz w:val="24"/>
          <w:szCs w:val="24"/>
        </w:rPr>
        <w:t>KNJG</w:t>
      </w:r>
      <w:r w:rsidR="000F04C2" w:rsidRPr="00A653CA">
        <w:rPr>
          <w:rFonts w:ascii="Garamond" w:hAnsi="Garamond" w:cs="Times New Roman"/>
          <w:sz w:val="24"/>
          <w:szCs w:val="24"/>
        </w:rPr>
        <w:t>-ja</w:t>
      </w:r>
      <w:r w:rsidRPr="00A653CA">
        <w:rPr>
          <w:rFonts w:ascii="Garamond" w:hAnsi="Garamond" w:cs="Times New Roman"/>
          <w:sz w:val="24"/>
          <w:szCs w:val="24"/>
        </w:rPr>
        <w:t xml:space="preserve"> përbëhet nga kryetari dhe nga një anëtar, për secilën prej fushave të studimit dhe kërkimit shkencor, pedagog i kategorisë “Profesor”.</w:t>
      </w:r>
    </w:p>
    <w:p w14:paraId="5E77FA33" w14:textId="440DC48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6.2</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Sektori i Njohjes së Diplomave në QSHA shërben si sekretariat teknik i </w:t>
      </w:r>
      <w:r w:rsidR="003D2C65" w:rsidRPr="00A653CA">
        <w:rPr>
          <w:rFonts w:ascii="Garamond" w:hAnsi="Garamond" w:cs="Times New Roman"/>
          <w:sz w:val="24"/>
          <w:szCs w:val="24"/>
        </w:rPr>
        <w:t>KNJG</w:t>
      </w:r>
      <w:r w:rsidR="0002406E" w:rsidRPr="00A653CA">
        <w:rPr>
          <w:rFonts w:ascii="Garamond" w:hAnsi="Garamond" w:cs="Times New Roman"/>
          <w:sz w:val="24"/>
          <w:szCs w:val="24"/>
        </w:rPr>
        <w:t>-së</w:t>
      </w:r>
      <w:r w:rsidRPr="00A653CA">
        <w:rPr>
          <w:rFonts w:ascii="Garamond" w:hAnsi="Garamond" w:cs="Times New Roman"/>
          <w:sz w:val="24"/>
          <w:szCs w:val="24"/>
        </w:rPr>
        <w:t xml:space="preserve">. </w:t>
      </w:r>
    </w:p>
    <w:p w14:paraId="3BC659BC" w14:textId="5C51F06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6.3</w:t>
      </w:r>
      <w:r w:rsidR="00443050" w:rsidRPr="00A653CA">
        <w:rPr>
          <w:rFonts w:ascii="Garamond" w:hAnsi="Garamond" w:cs="Times New Roman"/>
          <w:sz w:val="24"/>
          <w:szCs w:val="24"/>
        </w:rPr>
        <w:t xml:space="preserve"> </w:t>
      </w:r>
      <w:r w:rsidR="003D2C65" w:rsidRPr="00A653CA">
        <w:rPr>
          <w:rFonts w:ascii="Garamond" w:hAnsi="Garamond" w:cs="Times New Roman"/>
          <w:sz w:val="24"/>
          <w:szCs w:val="24"/>
        </w:rPr>
        <w:t>KNJG-ja</w:t>
      </w:r>
      <w:r w:rsidRPr="00A653CA">
        <w:rPr>
          <w:rFonts w:ascii="Garamond" w:hAnsi="Garamond" w:cs="Times New Roman"/>
          <w:sz w:val="24"/>
          <w:szCs w:val="24"/>
        </w:rPr>
        <w:t xml:space="preserve"> mblidhet periodikisht në varësi të numrit të aplikimeve. Procedura për shqyrtimin e dosjeve nga </w:t>
      </w:r>
      <w:r w:rsidR="003D2C65" w:rsidRPr="00A653CA">
        <w:rPr>
          <w:rFonts w:ascii="Garamond" w:hAnsi="Garamond" w:cs="Times New Roman"/>
          <w:sz w:val="24"/>
          <w:szCs w:val="24"/>
        </w:rPr>
        <w:t>KNJG-ja</w:t>
      </w:r>
      <w:r w:rsidRPr="00A653CA">
        <w:rPr>
          <w:rFonts w:ascii="Garamond" w:hAnsi="Garamond" w:cs="Times New Roman"/>
          <w:sz w:val="24"/>
          <w:szCs w:val="24"/>
        </w:rPr>
        <w:t xml:space="preserve"> fillon në momentin që SENJOD</w:t>
      </w:r>
      <w:r w:rsidR="008E3BE7" w:rsidRPr="00A653CA">
        <w:rPr>
          <w:rFonts w:ascii="Garamond" w:hAnsi="Garamond" w:cs="Times New Roman"/>
          <w:sz w:val="24"/>
          <w:szCs w:val="24"/>
        </w:rPr>
        <w:t>-ja</w:t>
      </w:r>
      <w:r w:rsidRPr="00A653CA">
        <w:rPr>
          <w:rFonts w:ascii="Garamond" w:hAnsi="Garamond" w:cs="Times New Roman"/>
          <w:sz w:val="24"/>
          <w:szCs w:val="24"/>
        </w:rPr>
        <w:t xml:space="preserve"> në QSHA vlerëson se janë të plota për shqyrtim dosjet për njohjen e gradës shkencore “Doktor”, sipas përcaktimeve të këtij udhëzimi. </w:t>
      </w:r>
    </w:p>
    <w:p w14:paraId="436D47A8" w14:textId="27F4A315" w:rsidR="002E5DB0" w:rsidRPr="00A653CA"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6.4 Në përfundim të procedurave të shqyrtimit, kryetari dhe anëtarët e komisionit, nënshkruajnë procesverbalin dhe vendimin përkatës. Vërtetimi lëshohet nëpërmjet sistemit online me nënshkrim dhe vulë elektronike të kryetarit, sipas shtojcës nr. 4, bashkëlidhur këtij udhëzimi dhe pjesë përbërëse e tij.</w:t>
      </w:r>
    </w:p>
    <w:p w14:paraId="5262C103" w14:textId="23C8376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6.5</w:t>
      </w:r>
      <w:r w:rsidR="00443050" w:rsidRPr="00A653CA">
        <w:rPr>
          <w:rFonts w:ascii="Garamond" w:hAnsi="Garamond" w:cs="Times New Roman"/>
          <w:sz w:val="24"/>
          <w:szCs w:val="24"/>
        </w:rPr>
        <w:t xml:space="preserve"> </w:t>
      </w:r>
      <w:r w:rsidRPr="00A653CA">
        <w:rPr>
          <w:rFonts w:ascii="Garamond" w:hAnsi="Garamond" w:cs="Times New Roman"/>
          <w:sz w:val="24"/>
          <w:szCs w:val="24"/>
        </w:rPr>
        <w:t>Procedura e njohjes dhe njësimit të gradës shkencore të fituar jashtë vendit, kur dosja e aplikimit është e plotësuar me të gjithë dokumentacionin e kërkuar sipas këtij udhëzimi, përfundon brenda 45 ditëve.</w:t>
      </w:r>
    </w:p>
    <w:p w14:paraId="319366C8" w14:textId="0DA84B7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6.6</w:t>
      </w:r>
      <w:r w:rsidR="00443050" w:rsidRPr="00A653CA">
        <w:rPr>
          <w:rFonts w:ascii="Garamond" w:hAnsi="Garamond" w:cs="Times New Roman"/>
          <w:sz w:val="24"/>
          <w:szCs w:val="24"/>
        </w:rPr>
        <w:t xml:space="preserve"> </w:t>
      </w:r>
      <w:r w:rsidRPr="00A653CA">
        <w:rPr>
          <w:rFonts w:ascii="Garamond" w:hAnsi="Garamond" w:cs="Times New Roman"/>
          <w:sz w:val="24"/>
          <w:szCs w:val="24"/>
        </w:rPr>
        <w:t>Përcaktimet e pikave 1.2 dhe 1.3</w:t>
      </w:r>
      <w:r w:rsidR="00D44E7E" w:rsidRPr="00A653CA">
        <w:rPr>
          <w:rFonts w:ascii="Garamond" w:hAnsi="Garamond" w:cs="Times New Roman"/>
          <w:sz w:val="24"/>
          <w:szCs w:val="24"/>
        </w:rPr>
        <w:t>,</w:t>
      </w:r>
      <w:r w:rsidRPr="00A653CA">
        <w:rPr>
          <w:rFonts w:ascii="Garamond" w:hAnsi="Garamond" w:cs="Times New Roman"/>
          <w:sz w:val="24"/>
          <w:szCs w:val="24"/>
        </w:rPr>
        <w:t xml:space="preserve"> të kreut III</w:t>
      </w:r>
      <w:r w:rsidR="00D44E7E" w:rsidRPr="00A653CA">
        <w:rPr>
          <w:rFonts w:ascii="Garamond" w:hAnsi="Garamond" w:cs="Times New Roman"/>
          <w:sz w:val="24"/>
          <w:szCs w:val="24"/>
        </w:rPr>
        <w:t>,</w:t>
      </w:r>
      <w:r w:rsidRPr="00A653CA">
        <w:rPr>
          <w:rFonts w:ascii="Garamond" w:hAnsi="Garamond" w:cs="Times New Roman"/>
          <w:sz w:val="24"/>
          <w:szCs w:val="24"/>
        </w:rPr>
        <w:t xml:space="preserve"> të këtij udhëzimit, lidhur me afatet procedurale, aplikohen edhe për aplikimet për njohjen dhe njësimin e gradave shkencore të fituara jashtë vendit.</w:t>
      </w:r>
    </w:p>
    <w:p w14:paraId="2ECC0F56" w14:textId="6674852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w:t>
      </w:r>
      <w:r w:rsidR="00443050" w:rsidRPr="00A653CA">
        <w:rPr>
          <w:rFonts w:ascii="Garamond" w:hAnsi="Garamond" w:cs="Times New Roman"/>
          <w:sz w:val="24"/>
          <w:szCs w:val="24"/>
        </w:rPr>
        <w:t xml:space="preserve"> </w:t>
      </w:r>
      <w:r w:rsidRPr="00A653CA">
        <w:rPr>
          <w:rFonts w:ascii="Garamond" w:hAnsi="Garamond" w:cs="Times New Roman"/>
          <w:sz w:val="24"/>
          <w:szCs w:val="24"/>
        </w:rPr>
        <w:t>Për njohjen e titujve akademikë ngrihen me urdhër të ministrit përgjegjës për arsimin komisione</w:t>
      </w:r>
      <w:r w:rsidRPr="00A653CA">
        <w:rPr>
          <w:rFonts w:ascii="Garamond" w:hAnsi="Garamond" w:cs="Times New Roman"/>
          <w:i/>
          <w:iCs/>
          <w:sz w:val="24"/>
          <w:szCs w:val="24"/>
        </w:rPr>
        <w:t xml:space="preserve"> ad hoc, </w:t>
      </w:r>
      <w:r w:rsidRPr="00A653CA">
        <w:rPr>
          <w:rFonts w:ascii="Garamond" w:hAnsi="Garamond" w:cs="Times New Roman"/>
          <w:sz w:val="24"/>
          <w:szCs w:val="24"/>
        </w:rPr>
        <w:t>për secilin aplikim</w:t>
      </w:r>
      <w:r w:rsidRPr="00A653CA">
        <w:rPr>
          <w:rFonts w:ascii="Garamond" w:hAnsi="Garamond" w:cs="Times New Roman"/>
          <w:i/>
          <w:iCs/>
          <w:sz w:val="24"/>
          <w:szCs w:val="24"/>
        </w:rPr>
        <w:t xml:space="preserve"> </w:t>
      </w:r>
      <w:r w:rsidRPr="00A653CA">
        <w:rPr>
          <w:rFonts w:ascii="Garamond" w:hAnsi="Garamond" w:cs="Times New Roman"/>
          <w:sz w:val="24"/>
          <w:szCs w:val="24"/>
        </w:rPr>
        <w:t xml:space="preserve">për njohje titulli akademik të fituar jashtë vendit, me pedagogë ekspertë të fushës përkatëse të kategorisë “Profesor”. Komisionet </w:t>
      </w:r>
      <w:r w:rsidRPr="00A653CA">
        <w:rPr>
          <w:rFonts w:ascii="Garamond" w:hAnsi="Garamond" w:cs="Times New Roman"/>
          <w:i/>
          <w:iCs/>
          <w:sz w:val="24"/>
          <w:szCs w:val="24"/>
        </w:rPr>
        <w:t>ad-hoc</w:t>
      </w:r>
      <w:r w:rsidRPr="00A653CA">
        <w:rPr>
          <w:rFonts w:ascii="Garamond" w:hAnsi="Garamond" w:cs="Times New Roman"/>
          <w:sz w:val="24"/>
          <w:szCs w:val="24"/>
        </w:rPr>
        <w:t xml:space="preserve"> për njohjen e titujve akademikë kryesohen nga ministri përgjegjës për arsimin dhe përbëhen nga kryetari dhe katër anëtarë. </w:t>
      </w:r>
    </w:p>
    <w:p w14:paraId="657514CE" w14:textId="6805AB83"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7.1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Sektori i Njohjes së Diplomave në QSHA shërben si sekretariat teknik i komisioneve </w:t>
      </w:r>
      <w:r w:rsidRPr="00A653CA">
        <w:rPr>
          <w:rFonts w:ascii="Garamond" w:hAnsi="Garamond" w:cs="Times New Roman"/>
          <w:i/>
          <w:iCs/>
          <w:sz w:val="24"/>
          <w:szCs w:val="24"/>
        </w:rPr>
        <w:t>ad hoc.</w:t>
      </w:r>
    </w:p>
    <w:p w14:paraId="57AC1660" w14:textId="3AEC47F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7.2</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Kërkesa për ngritjen e komisionit </w:t>
      </w:r>
      <w:r w:rsidRPr="00A653CA">
        <w:rPr>
          <w:rFonts w:ascii="Garamond" w:hAnsi="Garamond" w:cs="Times New Roman"/>
          <w:i/>
          <w:iCs/>
          <w:sz w:val="24"/>
          <w:szCs w:val="24"/>
        </w:rPr>
        <w:t>ad hoc</w:t>
      </w:r>
      <w:r w:rsidRPr="00A653CA">
        <w:rPr>
          <w:rFonts w:ascii="Garamond" w:hAnsi="Garamond" w:cs="Times New Roman"/>
          <w:sz w:val="24"/>
          <w:szCs w:val="24"/>
        </w:rPr>
        <w:t xml:space="preserve"> kryhet nga Sektori i Njohjes së Diplomave në QSHA, menjëherë pas depozitimit të aplikimit për njohjen e titullit akademik të fituar jashtë vendit, në përputhje me përcaktimet e këtij udhëzimi. </w:t>
      </w:r>
    </w:p>
    <w:p w14:paraId="7FE33E28" w14:textId="77777777" w:rsidR="002E5DB0" w:rsidRPr="00A653CA"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7.3 Në përfundim të procedurave të shqyrtimit dhe vlerësimit, kryetari dhe anëtarët e komisionit ad hoc nënshkruajnë procesverbalin dhe vendimin përkatës. Nëse është vendosur njohja e titullit akademik, vërtetimi lëshohet nëpërmjet sistemit online me nënshkrim dhe vulë elektronike të kryetarit, sipas shtojcës nr. 5, bashkëlidhur këtij udhëzimi dhe pjesë përbërëse e tij.</w:t>
      </w:r>
    </w:p>
    <w:p w14:paraId="4BD48A34" w14:textId="036E88B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7.4</w:t>
      </w:r>
      <w:r w:rsidR="00443050" w:rsidRPr="00A653CA">
        <w:rPr>
          <w:rFonts w:ascii="Garamond" w:hAnsi="Garamond" w:cs="Times New Roman"/>
          <w:sz w:val="24"/>
          <w:szCs w:val="24"/>
        </w:rPr>
        <w:t xml:space="preserve"> </w:t>
      </w:r>
      <w:r w:rsidRPr="00A653CA">
        <w:rPr>
          <w:rFonts w:ascii="Garamond" w:hAnsi="Garamond" w:cs="Times New Roman"/>
          <w:sz w:val="24"/>
          <w:szCs w:val="24"/>
        </w:rPr>
        <w:t>Procedura e njohjes së titullit akademik të fituar jashtë vendit, kur dosja e aplikimit është e plotësuar me të gjithë dokumentacionin e kërkuar sipas këtij udhëzimi, përfundon brenda 45 ditëve.</w:t>
      </w:r>
    </w:p>
    <w:p w14:paraId="33C6C887" w14:textId="3DBE675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7.5</w:t>
      </w:r>
      <w:r w:rsidR="00443050" w:rsidRPr="00A653CA">
        <w:rPr>
          <w:rFonts w:ascii="Garamond" w:hAnsi="Garamond" w:cs="Times New Roman"/>
          <w:sz w:val="24"/>
          <w:szCs w:val="24"/>
        </w:rPr>
        <w:t xml:space="preserve"> </w:t>
      </w:r>
      <w:r w:rsidRPr="00A653CA">
        <w:rPr>
          <w:rFonts w:ascii="Garamond" w:hAnsi="Garamond" w:cs="Times New Roman"/>
          <w:sz w:val="24"/>
          <w:szCs w:val="24"/>
        </w:rPr>
        <w:t>Përcaktimet e pikave 1.2 dhe 1.3 të kreut III të këtij udhëzimit, lidhur me afatet procedurale, aplikohen edhe për aplikimet për njohjen dhe njësimin e gradave shkencore të fituara jashtë vendit.</w:t>
      </w:r>
    </w:p>
    <w:p w14:paraId="00BD9214" w14:textId="6FF0C1E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8.</w:t>
      </w:r>
      <w:r w:rsidR="00105431" w:rsidRPr="00A653CA">
        <w:rPr>
          <w:rFonts w:ascii="Garamond" w:hAnsi="Garamond" w:cs="Times New Roman"/>
          <w:i/>
          <w:iCs/>
          <w:sz w:val="24"/>
          <w:szCs w:val="24"/>
        </w:rPr>
        <w:t xml:space="preserve"> KNJG-ja dhe komisionet ad hoc për grada shkencore dhe tituj akademikë, vlerësojnë dhe marrin vendim mbi njohjen ose jo, të mbështetur në marrëveshjet ndërkombëtare të ratifikuara, legjislacionin shqiptar për arsimin e lartë, si edhe në praktikat më të mira të vendeve perëndimore. Në rastet kur certifikatat/diplomat nuk përmbushin kriteret e përcaktuar në legjislacionin shqiptar, QSHA-ja për certifikata dhe diploma të niveleve 5 deri në 7, të vlefshme në vendin e origjinës, merr vendim mbi njohjen dhe njehsimin, sipas përcaktimeve të Kornizës së Kualifikimeve të vendit të origjinës dhe lëshon vërtetimin e njohjes dhe njësimit sipas shtojcës nr. 3, bashkëlidhur dhe pjesë përbërëse e këtij udhëzimi</w:t>
      </w:r>
      <w:r w:rsidRPr="00A653CA">
        <w:rPr>
          <w:rFonts w:ascii="Garamond" w:hAnsi="Garamond" w:cs="Times New Roman"/>
          <w:sz w:val="24"/>
          <w:szCs w:val="24"/>
        </w:rPr>
        <w:t xml:space="preserve">. </w:t>
      </w:r>
    </w:p>
    <w:p w14:paraId="570D8522" w14:textId="17710F75" w:rsidR="002E5DB0" w:rsidRPr="00A653CA" w:rsidRDefault="002E5DB0" w:rsidP="00D27F40">
      <w:pPr>
        <w:widowControl w:val="0"/>
        <w:tabs>
          <w:tab w:val="left" w:pos="360"/>
        </w:tabs>
        <w:autoSpaceDE w:val="0"/>
        <w:autoSpaceDN w:val="0"/>
        <w:adjustRightInd w:val="0"/>
        <w:spacing w:after="0" w:line="240" w:lineRule="auto"/>
        <w:ind w:firstLine="284"/>
        <w:jc w:val="both"/>
        <w:rPr>
          <w:rFonts w:ascii="Garamond" w:hAnsi="Garamond" w:cs="Times New Roman"/>
          <w:i/>
          <w:sz w:val="24"/>
          <w:szCs w:val="24"/>
        </w:rPr>
      </w:pPr>
      <w:r w:rsidRPr="00A653CA">
        <w:rPr>
          <w:rFonts w:ascii="Garamond" w:hAnsi="Garamond" w:cs="Times New Roman"/>
          <w:i/>
          <w:sz w:val="24"/>
          <w:szCs w:val="24"/>
        </w:rPr>
        <w:t>9.</w:t>
      </w:r>
      <w:r w:rsidR="00474E2D" w:rsidRPr="00A653CA">
        <w:rPr>
          <w:rFonts w:ascii="Garamond" w:hAnsi="Garamond" w:cs="Times New Roman"/>
          <w:i/>
          <w:iCs/>
          <w:sz w:val="24"/>
          <w:szCs w:val="24"/>
        </w:rPr>
        <w:t xml:space="preserve"> Vërtetimi i njohjes dhe i njësimit, për diplomat që i përkasin nivelit 5 deri në 8, të Kornizës Shqiptare të Kualifikimeve ose Kornizës Evropiane të Kualifikimeve, (përveç gradave shkencore “Doktor”) lëshohet i firmosur nga titullari i QSHA-së në dy kopje me nënshkrim dhe vulë elektronike (njëra kopje ruhet në protokollin e QSHA-së dhe tjetra ruhet në dosjen e aplikimit përkatës)</w:t>
      </w:r>
      <w:r w:rsidRPr="00A653CA">
        <w:rPr>
          <w:rFonts w:ascii="Garamond" w:hAnsi="Garamond" w:cs="Times New Roman"/>
          <w:i/>
          <w:sz w:val="24"/>
          <w:szCs w:val="24"/>
        </w:rPr>
        <w:t xml:space="preserve">. </w:t>
      </w:r>
    </w:p>
    <w:p w14:paraId="0DD2C29A" w14:textId="024AD513"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10.</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Vërtetimi i njohjes dhe i njësimit të certifikatave/diplomave të nivelit 5 deri në 8, të Kornizës Shqiptare të Kualifikimeve ose Kornizës Evropiane të Kualifikimeve, me përjashtim të </w:t>
      </w:r>
      <w:r w:rsidRPr="00A653CA">
        <w:rPr>
          <w:rFonts w:ascii="Garamond" w:hAnsi="Garamond" w:cs="Times New Roman"/>
          <w:sz w:val="24"/>
          <w:szCs w:val="24"/>
        </w:rPr>
        <w:lastRenderedPageBreak/>
        <w:t>gradave shkencore, përmban minimalisht elementet e mëposhtme:</w:t>
      </w:r>
    </w:p>
    <w:p w14:paraId="69803AD3" w14:textId="6D59E64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9648CA" w:rsidRPr="00A653CA">
        <w:rPr>
          <w:rFonts w:ascii="Garamond" w:hAnsi="Garamond" w:cs="Times New Roman"/>
          <w:sz w:val="24"/>
          <w:szCs w:val="24"/>
        </w:rPr>
        <w:t>)</w:t>
      </w:r>
      <w:r w:rsidRPr="00A653CA">
        <w:rPr>
          <w:rFonts w:ascii="Garamond" w:hAnsi="Garamond" w:cs="Times New Roman"/>
          <w:sz w:val="24"/>
          <w:szCs w:val="24"/>
        </w:rPr>
        <w:t xml:space="preserve"> emrin, atësinë dhe mbiemrin e aplikantit;</w:t>
      </w:r>
    </w:p>
    <w:p w14:paraId="775DA949" w14:textId="420D227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9648CA" w:rsidRPr="00A653CA">
        <w:rPr>
          <w:rFonts w:ascii="Garamond" w:hAnsi="Garamond" w:cs="Times New Roman"/>
          <w:sz w:val="24"/>
          <w:szCs w:val="24"/>
        </w:rPr>
        <w:t xml:space="preserve">) </w:t>
      </w:r>
      <w:r w:rsidRPr="00A653CA">
        <w:rPr>
          <w:rFonts w:ascii="Garamond" w:hAnsi="Garamond" w:cs="Times New Roman"/>
          <w:sz w:val="24"/>
          <w:szCs w:val="24"/>
        </w:rPr>
        <w:t>institucionin e huaj të arsimit të lartë që ka lëshuar diplomën;</w:t>
      </w:r>
    </w:p>
    <w:p w14:paraId="5F34404A" w14:textId="11882B3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9648CA"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shtetin përkatës;</w:t>
      </w:r>
    </w:p>
    <w:p w14:paraId="729350F0" w14:textId="1457B6D3" w:rsidR="00173DDB" w:rsidRPr="00A653CA" w:rsidRDefault="00173DDB" w:rsidP="00D27F40">
      <w:pPr>
        <w:widowControl w:val="0"/>
        <w:tabs>
          <w:tab w:val="left" w:pos="440"/>
          <w:tab w:val="left" w:pos="80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numrin e krediteve ECTS (nëse mund të përcaktohet);</w:t>
      </w:r>
    </w:p>
    <w:p w14:paraId="18950345" w14:textId="79064C2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9648CA"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emërtimin e plotë të programit të studimit;</w:t>
      </w:r>
    </w:p>
    <w:p w14:paraId="27AB401D" w14:textId="7F1E22D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9648CA"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formën e studimit;</w:t>
      </w:r>
    </w:p>
    <w:p w14:paraId="6FC76E66" w14:textId="518891A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kohëzgjatjen e programit të studimit;</w:t>
      </w:r>
    </w:p>
    <w:p w14:paraId="50E34567" w14:textId="59427EA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ë</w:t>
      </w:r>
      <w:r w:rsidR="009648CA"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datën e lëshimit të diplomës;</w:t>
      </w:r>
    </w:p>
    <w:p w14:paraId="39EA4E1F" w14:textId="270AFBE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f</w:t>
      </w:r>
      <w:r w:rsidR="009648CA"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njohjen dhe njësimin e diplomës/certifikatës në Republikën e Shqipërisë.</w:t>
      </w:r>
      <w:r w:rsidR="00AB5A8A" w:rsidRPr="00A653CA">
        <w:rPr>
          <w:rFonts w:ascii="Garamond" w:hAnsi="Garamond" w:cs="Times New Roman"/>
          <w:sz w:val="24"/>
          <w:szCs w:val="24"/>
        </w:rPr>
        <w:t xml:space="preserve"> </w:t>
      </w:r>
    </w:p>
    <w:p w14:paraId="2C272269" w14:textId="04255A94"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11.</w:t>
      </w:r>
      <w:r w:rsidR="00443050" w:rsidRPr="00A653CA">
        <w:rPr>
          <w:rFonts w:ascii="Garamond" w:hAnsi="Garamond" w:cs="Times New Roman"/>
          <w:sz w:val="24"/>
          <w:szCs w:val="24"/>
        </w:rPr>
        <w:t xml:space="preserve"> </w:t>
      </w:r>
      <w:r w:rsidRPr="00A653CA">
        <w:rPr>
          <w:rFonts w:ascii="Garamond" w:hAnsi="Garamond" w:cs="Times New Roman"/>
          <w:sz w:val="24"/>
          <w:szCs w:val="24"/>
        </w:rPr>
        <w:t>Vërtetimi i njohjes dhe i njësimit të gradës shkencore “Doktor”, sipas shtojcës nr. 4, bashkëlidhur këtij udhëzimi dhe pjesë përbërëse e tij, përmban minimalisht elementet e mëposhtme:</w:t>
      </w:r>
    </w:p>
    <w:p w14:paraId="745FCE1D" w14:textId="07257C8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atësinë dhe mbiemrin e aplikantit;</w:t>
      </w:r>
    </w:p>
    <w:p w14:paraId="1A7322AD" w14:textId="71481B1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institucionin e huaj të arsimit të lartë që ka lëshuar gradën shkencore “Doktor”;</w:t>
      </w:r>
    </w:p>
    <w:p w14:paraId="4E060F4E" w14:textId="7D93089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shtetin përkatës;</w:t>
      </w:r>
    </w:p>
    <w:p w14:paraId="5985EF9D" w14:textId="74DE808A" w:rsidR="00173DDB" w:rsidRPr="00A653CA" w:rsidRDefault="00443050"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9648CA" w:rsidRPr="00A653CA">
        <w:rPr>
          <w:rFonts w:ascii="Garamond" w:hAnsi="Garamond" w:cs="Times New Roman"/>
          <w:sz w:val="24"/>
          <w:szCs w:val="24"/>
        </w:rPr>
        <w:t>)</w:t>
      </w:r>
      <w:r w:rsidRPr="00A653CA">
        <w:rPr>
          <w:rFonts w:ascii="Garamond" w:hAnsi="Garamond" w:cs="Times New Roman"/>
          <w:sz w:val="24"/>
          <w:szCs w:val="24"/>
        </w:rPr>
        <w:t xml:space="preserve"> </w:t>
      </w:r>
      <w:r w:rsidR="00173DDB" w:rsidRPr="00A653CA">
        <w:rPr>
          <w:rFonts w:ascii="Garamond" w:hAnsi="Garamond" w:cs="Times New Roman"/>
          <w:sz w:val="24"/>
          <w:szCs w:val="24"/>
        </w:rPr>
        <w:t>datën e fitimit të gradës shkencore “Doktor”;</w:t>
      </w:r>
    </w:p>
    <w:p w14:paraId="0246306E" w14:textId="7534054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fushën e studimit;</w:t>
      </w:r>
    </w:p>
    <w:p w14:paraId="59BCAFFF" w14:textId="4E3A13C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9648CA" w:rsidRPr="00A653CA">
        <w:rPr>
          <w:rFonts w:ascii="Garamond" w:hAnsi="Garamond" w:cs="Times New Roman"/>
          <w:sz w:val="24"/>
          <w:szCs w:val="24"/>
        </w:rPr>
        <w:t>)</w:t>
      </w:r>
      <w:r w:rsidRPr="00A653CA">
        <w:rPr>
          <w:rFonts w:ascii="Garamond" w:hAnsi="Garamond" w:cs="Times New Roman"/>
          <w:sz w:val="24"/>
          <w:szCs w:val="24"/>
        </w:rPr>
        <w:t xml:space="preserve"> temën e disertacionit;</w:t>
      </w:r>
    </w:p>
    <w:p w14:paraId="36B8A0C8" w14:textId="600A564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numrin dhe datën e vendimit të </w:t>
      </w:r>
      <w:r w:rsidR="003D2C65" w:rsidRPr="00A653CA">
        <w:rPr>
          <w:rFonts w:ascii="Garamond" w:hAnsi="Garamond" w:cs="Times New Roman"/>
          <w:sz w:val="24"/>
          <w:szCs w:val="24"/>
        </w:rPr>
        <w:t>KNJG</w:t>
      </w:r>
      <w:r w:rsidR="00F92F79" w:rsidRPr="00A653CA">
        <w:rPr>
          <w:rFonts w:ascii="Garamond" w:hAnsi="Garamond" w:cs="Times New Roman"/>
          <w:sz w:val="24"/>
          <w:szCs w:val="24"/>
        </w:rPr>
        <w:t>-së</w:t>
      </w:r>
      <w:r w:rsidRPr="00A653CA">
        <w:rPr>
          <w:rFonts w:ascii="Garamond" w:hAnsi="Garamond" w:cs="Times New Roman"/>
          <w:sz w:val="24"/>
          <w:szCs w:val="24"/>
        </w:rPr>
        <w:t>;</w:t>
      </w:r>
    </w:p>
    <w:p w14:paraId="63FCECA6" w14:textId="5172FCE6" w:rsidR="00173DDB" w:rsidRPr="00A653CA" w:rsidRDefault="00443050"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ë</w:t>
      </w:r>
      <w:r w:rsidR="009648CA" w:rsidRPr="00A653CA">
        <w:rPr>
          <w:rFonts w:ascii="Garamond" w:hAnsi="Garamond" w:cs="Times New Roman"/>
          <w:sz w:val="24"/>
          <w:szCs w:val="24"/>
        </w:rPr>
        <w:t>)</w:t>
      </w:r>
      <w:r w:rsidRPr="00A653CA">
        <w:rPr>
          <w:rFonts w:ascii="Garamond" w:hAnsi="Garamond" w:cs="Times New Roman"/>
          <w:sz w:val="24"/>
          <w:szCs w:val="24"/>
        </w:rPr>
        <w:t xml:space="preserve"> </w:t>
      </w:r>
      <w:r w:rsidR="00173DDB" w:rsidRPr="00A653CA">
        <w:rPr>
          <w:rFonts w:ascii="Garamond" w:hAnsi="Garamond" w:cs="Times New Roman"/>
          <w:sz w:val="24"/>
          <w:szCs w:val="24"/>
        </w:rPr>
        <w:t>numrin rendor të regjistrimit të gradës shkencore “Doktor” në regjistrin shtetëror të gradës shkencore dhe titujve akademikë të fituar jashtë vendit;</w:t>
      </w:r>
    </w:p>
    <w:p w14:paraId="790F8DE5" w14:textId="3E668A2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f</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njohjen dhe njësimin e gradës shkencore “Doktor” në Republikën e Shqipërisë.</w:t>
      </w:r>
    </w:p>
    <w:p w14:paraId="38FDC057" w14:textId="71B3018B"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12.</w:t>
      </w:r>
      <w:r w:rsidR="00443050" w:rsidRPr="00A653CA">
        <w:rPr>
          <w:rFonts w:ascii="Garamond" w:hAnsi="Garamond" w:cs="Times New Roman"/>
          <w:sz w:val="24"/>
          <w:szCs w:val="24"/>
        </w:rPr>
        <w:t xml:space="preserve"> </w:t>
      </w:r>
      <w:r w:rsidRPr="00A653CA">
        <w:rPr>
          <w:rFonts w:ascii="Garamond" w:hAnsi="Garamond" w:cs="Times New Roman"/>
          <w:sz w:val="24"/>
          <w:szCs w:val="24"/>
        </w:rPr>
        <w:t>Vërtetimi i njohjes së titujve akademikë, përmban minimalisht elementet e mëposhtme:</w:t>
      </w:r>
    </w:p>
    <w:p w14:paraId="79C8A278" w14:textId="4D49981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atësinë dhe mbiemrin e aplikantit;</w:t>
      </w:r>
    </w:p>
    <w:p w14:paraId="210DBFC5" w14:textId="29EB8F4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institucionin e huaj të arsimit të lartë që ka lëshuar titullin akademik;</w:t>
      </w:r>
    </w:p>
    <w:p w14:paraId="2782AAE1" w14:textId="1F24C30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emërtimin e titullit të fituar;</w:t>
      </w:r>
    </w:p>
    <w:p w14:paraId="5AE24A0F" w14:textId="11EE706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DD3FDD"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shtetin përkatës;</w:t>
      </w:r>
    </w:p>
    <w:p w14:paraId="364016DD" w14:textId="7EE59E3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datën e fitimit të titullit akademik;</w:t>
      </w:r>
    </w:p>
    <w:p w14:paraId="53B9E7F6" w14:textId="503968D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DD3FDD" w:rsidRPr="00A653CA">
        <w:rPr>
          <w:rFonts w:ascii="Garamond" w:hAnsi="Garamond" w:cs="Times New Roman"/>
          <w:sz w:val="24"/>
          <w:szCs w:val="24"/>
        </w:rPr>
        <w:t>)</w:t>
      </w:r>
      <w:r w:rsidRPr="00A653CA">
        <w:rPr>
          <w:rFonts w:ascii="Garamond" w:hAnsi="Garamond" w:cs="Times New Roman"/>
          <w:sz w:val="24"/>
          <w:szCs w:val="24"/>
        </w:rPr>
        <w:t xml:space="preserve"> fushën e studimit;</w:t>
      </w:r>
    </w:p>
    <w:p w14:paraId="1E04B3BE" w14:textId="77F6C2E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numrin dhe datën e vendimit të komisionit </w:t>
      </w:r>
      <w:r w:rsidRPr="00A653CA">
        <w:rPr>
          <w:rFonts w:ascii="Garamond" w:hAnsi="Garamond" w:cs="Times New Roman"/>
          <w:i/>
          <w:iCs/>
          <w:sz w:val="24"/>
          <w:szCs w:val="24"/>
        </w:rPr>
        <w:t>ad hoc</w:t>
      </w:r>
      <w:r w:rsidRPr="00A653CA">
        <w:rPr>
          <w:rFonts w:ascii="Garamond" w:hAnsi="Garamond" w:cs="Times New Roman"/>
          <w:sz w:val="24"/>
          <w:szCs w:val="24"/>
        </w:rPr>
        <w:t>;</w:t>
      </w:r>
    </w:p>
    <w:p w14:paraId="2E20D3E7" w14:textId="7ECE129D" w:rsidR="00173DDB" w:rsidRPr="00A653CA" w:rsidRDefault="00173DDB" w:rsidP="00DD3FDD">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ë</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numrin rendor të regjistrimit të titullit akademik në regjistrin shtetëror të gradave</w:t>
      </w:r>
      <w:r w:rsidR="00443050" w:rsidRPr="00A653CA">
        <w:rPr>
          <w:rFonts w:ascii="Garamond" w:hAnsi="Garamond" w:cs="Times New Roman"/>
          <w:sz w:val="24"/>
          <w:szCs w:val="24"/>
        </w:rPr>
        <w:t xml:space="preserve"> </w:t>
      </w:r>
      <w:r w:rsidRPr="00A653CA">
        <w:rPr>
          <w:rFonts w:ascii="Garamond" w:hAnsi="Garamond" w:cs="Times New Roman"/>
          <w:sz w:val="24"/>
          <w:szCs w:val="24"/>
        </w:rPr>
        <w:t>shkencore dhe titujve akademikë të fituar jashtë vendit.</w:t>
      </w:r>
    </w:p>
    <w:p w14:paraId="6784EB4F" w14:textId="42AD103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13.</w:t>
      </w:r>
      <w:r w:rsidR="00443050" w:rsidRPr="00A653CA">
        <w:rPr>
          <w:rFonts w:ascii="Garamond" w:hAnsi="Garamond" w:cs="Times New Roman"/>
          <w:sz w:val="24"/>
          <w:szCs w:val="24"/>
        </w:rPr>
        <w:t xml:space="preserve"> </w:t>
      </w:r>
      <w:r w:rsidRPr="00A653CA">
        <w:rPr>
          <w:rFonts w:ascii="Garamond" w:hAnsi="Garamond" w:cs="Times New Roman"/>
          <w:sz w:val="24"/>
          <w:szCs w:val="24"/>
        </w:rPr>
        <w:t>QSHA</w:t>
      </w:r>
      <w:r w:rsidR="00DD3FDD" w:rsidRPr="00A653CA">
        <w:rPr>
          <w:rFonts w:ascii="Garamond" w:hAnsi="Garamond" w:cs="Times New Roman"/>
          <w:sz w:val="24"/>
          <w:szCs w:val="24"/>
        </w:rPr>
        <w:t>-ja</w:t>
      </w:r>
      <w:r w:rsidRPr="00A653CA">
        <w:rPr>
          <w:rFonts w:ascii="Garamond" w:hAnsi="Garamond" w:cs="Times New Roman"/>
          <w:sz w:val="24"/>
          <w:szCs w:val="24"/>
        </w:rPr>
        <w:t xml:space="preserve"> është institucioni përgjegjës për mbajtjen dhe plotësimin e regjistrit shtetëror të njohjes dhe njësimit të diplomave dhe regjistrit shtetëror të gradave shkencore dhe titujve akademikë. Regjistrat mbahen në formatin </w:t>
      </w:r>
      <w:r w:rsidRPr="00A653CA">
        <w:rPr>
          <w:rFonts w:ascii="Garamond" w:hAnsi="Garamond" w:cs="Times New Roman"/>
          <w:i/>
          <w:iCs/>
          <w:sz w:val="24"/>
          <w:szCs w:val="24"/>
        </w:rPr>
        <w:t>hard copy</w:t>
      </w:r>
      <w:r w:rsidRPr="00A653CA">
        <w:rPr>
          <w:rFonts w:ascii="Garamond" w:hAnsi="Garamond" w:cs="Times New Roman"/>
          <w:sz w:val="24"/>
          <w:szCs w:val="24"/>
        </w:rPr>
        <w:t xml:space="preserve"> dhe në atë elektronik.</w:t>
      </w:r>
    </w:p>
    <w:p w14:paraId="7144342D" w14:textId="0452E4B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QSHA</w:t>
      </w:r>
      <w:r w:rsidR="00DD3FDD" w:rsidRPr="00A653CA">
        <w:rPr>
          <w:rFonts w:ascii="Garamond" w:hAnsi="Garamond" w:cs="Times New Roman"/>
          <w:sz w:val="24"/>
          <w:szCs w:val="24"/>
        </w:rPr>
        <w:t>-ja</w:t>
      </w:r>
      <w:r w:rsidRPr="00A653CA">
        <w:rPr>
          <w:rFonts w:ascii="Garamond" w:hAnsi="Garamond" w:cs="Times New Roman"/>
          <w:sz w:val="24"/>
          <w:szCs w:val="24"/>
        </w:rPr>
        <w:t xml:space="preserve"> publikon listën emërore të personave të cilëve u janë njohur dhe njësuar diplomat në faqen e saj zyrtare të internetit.</w:t>
      </w:r>
    </w:p>
    <w:p w14:paraId="7233E6D5"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4C2B6C52"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IV</w:t>
      </w:r>
    </w:p>
    <w:p w14:paraId="1D3B8CF5"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NJOHJA E DIPLOMAVE TË PERSONAVE QË KANË STATUSIN E REFUGJATIT, PERSONAVE TË ZHVENDOSUR DHE PERSONAVE TË NGJASHËM ME REFUGJATËT</w:t>
      </w:r>
    </w:p>
    <w:p w14:paraId="109B6368"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5B85C3E" w14:textId="2EEA9985" w:rsidR="00173DDB" w:rsidRPr="00A653CA" w:rsidRDefault="00173DDB" w:rsidP="001C7DD5">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Për personat që kanë statusin e refugjatit, personit të zhvendosur dhe/ose personit të ngjashëm me refugjatin nuk zbatohen procedurat e parashikuara n</w:t>
      </w:r>
      <w:r w:rsidR="00C55977" w:rsidRPr="00A653CA">
        <w:rPr>
          <w:rFonts w:ascii="Garamond" w:hAnsi="Garamond" w:cs="Times New Roman"/>
          <w:sz w:val="24"/>
          <w:szCs w:val="24"/>
        </w:rPr>
        <w:t>ë</w:t>
      </w:r>
      <w:r w:rsidRPr="00A653CA">
        <w:rPr>
          <w:rFonts w:ascii="Garamond" w:hAnsi="Garamond" w:cs="Times New Roman"/>
          <w:sz w:val="24"/>
          <w:szCs w:val="24"/>
        </w:rPr>
        <w:t xml:space="preserve"> </w:t>
      </w:r>
      <w:r w:rsidR="00C55977" w:rsidRPr="00A653CA">
        <w:rPr>
          <w:rFonts w:ascii="Garamond" w:hAnsi="Garamond" w:cs="Times New Roman"/>
          <w:sz w:val="24"/>
          <w:szCs w:val="24"/>
        </w:rPr>
        <w:t>k</w:t>
      </w:r>
      <w:r w:rsidRPr="00A653CA">
        <w:rPr>
          <w:rFonts w:ascii="Garamond" w:hAnsi="Garamond" w:cs="Times New Roman"/>
          <w:sz w:val="24"/>
          <w:szCs w:val="24"/>
        </w:rPr>
        <w:t>reun II të këtij udhëzimi.</w:t>
      </w:r>
    </w:p>
    <w:p w14:paraId="4CB7A245" w14:textId="43A9829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Aplikimi për njohjen dhe njësimin e kualifikimeve akademike që i përkasin nivelit 5 deri në 8, të Kornizës Shqiptare ose Evropiane të Kualifikimeve, përveç gradës shkencore “Doktor”, kryhet sipas procedurës së mëposhtme: </w:t>
      </w:r>
    </w:p>
    <w:p w14:paraId="3BD9128C" w14:textId="4808461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8121F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formulari i aplikimit plotësohet në QSHA, sipas shtojcës nr. 1; </w:t>
      </w:r>
    </w:p>
    <w:p w14:paraId="11A96AC4" w14:textId="1BFF3A4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8121F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aplikanti dorëzon në QSHA dokumentacionin e mëposhtëm:</w:t>
      </w:r>
    </w:p>
    <w:p w14:paraId="2B7195E1" w14:textId="60BB0D51" w:rsidR="00173DDB" w:rsidRPr="00A653CA"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i.</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diplomën/certifikatën profesionale, diplomën ose dokumentin zyrtar përkatës të lëshuar nga </w:t>
      </w:r>
      <w:r w:rsidRPr="00A653CA">
        <w:rPr>
          <w:rFonts w:ascii="Garamond" w:hAnsi="Garamond" w:cs="Times New Roman"/>
          <w:sz w:val="24"/>
          <w:szCs w:val="24"/>
        </w:rPr>
        <w:lastRenderedPageBreak/>
        <w:t xml:space="preserve">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F8FA6D0" w14:textId="6A0C1F6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ii.</w:t>
      </w:r>
      <w:r w:rsidR="00443050" w:rsidRPr="00A653CA">
        <w:rPr>
          <w:rFonts w:ascii="Garamond" w:hAnsi="Garamond" w:cs="Times New Roman"/>
          <w:sz w:val="24"/>
          <w:szCs w:val="24"/>
        </w:rPr>
        <w:t xml:space="preserve"> </w:t>
      </w:r>
      <w:r w:rsidRPr="00A653CA">
        <w:rPr>
          <w:rFonts w:ascii="Garamond" w:hAnsi="Garamond" w:cs="Times New Roman"/>
          <w:sz w:val="24"/>
          <w:szCs w:val="24"/>
        </w:rPr>
        <w:t>suplementin e diplomës dhe/ose listën e notave, të njësuar me origjinalin (noterizuar), si dhe të përkthyer në gjuhën shqipe nga përkthyes të licencuar në Republikën e Shqipërisë.</w:t>
      </w:r>
    </w:p>
    <w:p w14:paraId="04FF5DBF" w14:textId="7687E5A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iii.</w:t>
      </w:r>
      <w:r w:rsidR="00443050" w:rsidRPr="00A653CA">
        <w:rPr>
          <w:rFonts w:ascii="Garamond" w:hAnsi="Garamond" w:cs="Times New Roman"/>
          <w:sz w:val="24"/>
          <w:szCs w:val="24"/>
        </w:rPr>
        <w:t xml:space="preserve"> </w:t>
      </w:r>
      <w:r w:rsidRPr="00A653CA">
        <w:rPr>
          <w:rFonts w:ascii="Garamond" w:hAnsi="Garamond" w:cs="Times New Roman"/>
          <w:sz w:val="24"/>
          <w:szCs w:val="24"/>
        </w:rPr>
        <w:t>fotokopjen e kartës së identitetit ose të pasaportës, ose dokumentin e lëshuar nga organet kompetente me anë të të cilit vërtetohet identiteti i tij;</w:t>
      </w:r>
    </w:p>
    <w:p w14:paraId="53BC163E" w14:textId="1BBEC850" w:rsidR="00173DDB" w:rsidRPr="00A653CA"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iv.</w:t>
      </w:r>
      <w:r w:rsidR="00443050" w:rsidRPr="00A653CA">
        <w:rPr>
          <w:rFonts w:ascii="Garamond" w:hAnsi="Garamond" w:cs="Times New Roman"/>
          <w:sz w:val="24"/>
          <w:szCs w:val="24"/>
        </w:rPr>
        <w:t xml:space="preserve"> </w:t>
      </w:r>
      <w:r w:rsidRPr="00A653CA">
        <w:rPr>
          <w:rFonts w:ascii="Garamond" w:hAnsi="Garamond" w:cs="Times New Roman"/>
          <w:sz w:val="24"/>
          <w:szCs w:val="24"/>
        </w:rPr>
        <w:t>dokumentin e lëshuar nga organet kompetente me anë të të cilit vërtetohet q</w:t>
      </w:r>
      <w:r w:rsidR="006A500A" w:rsidRPr="00A653CA">
        <w:rPr>
          <w:rFonts w:ascii="Garamond" w:hAnsi="Garamond" w:cs="Times New Roman"/>
          <w:sz w:val="24"/>
          <w:szCs w:val="24"/>
        </w:rPr>
        <w:t>ë</w:t>
      </w:r>
      <w:r w:rsidRPr="00A653CA">
        <w:rPr>
          <w:rFonts w:ascii="Garamond" w:hAnsi="Garamond" w:cs="Times New Roman"/>
          <w:sz w:val="24"/>
          <w:szCs w:val="24"/>
        </w:rPr>
        <w:t xml:space="preserve"> personi ka fituar statusin e refugjatit, person i zhvendosur dhe person i ngjashëm me refugjatët;</w:t>
      </w:r>
    </w:p>
    <w:p w14:paraId="2DA5510E" w14:textId="77777777"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3</w:t>
      </w:r>
      <w:r w:rsidRPr="00A653CA">
        <w:rPr>
          <w:rFonts w:ascii="Garamond" w:hAnsi="Garamond" w:cs="Times New Roman"/>
          <w:i/>
          <w:iCs/>
          <w:sz w:val="24"/>
          <w:szCs w:val="24"/>
        </w:rPr>
        <w:t xml:space="preserve">. Aplikimi për njohjen dhe njësimin e gradës shkencore “Doktor” dhe të titujve akademikë, kryhet sipas procedurës së mëposhtme: </w:t>
      </w:r>
    </w:p>
    <w:p w14:paraId="4A69EFDC" w14:textId="71C199BD"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a) formulari i aplikimit plotësohet në QSHA, sipas shtojcës nr. 1; </w:t>
      </w:r>
    </w:p>
    <w:p w14:paraId="5D23A030" w14:textId="00CD3116"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b) aplikanti dorëzon në QSHA dokumentacionin e mëposhtëm:</w:t>
      </w:r>
    </w:p>
    <w:p w14:paraId="3AC54667" w14:textId="77777777"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i.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D2AA5A6" w14:textId="77777777"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ii. suplementin e diplomës për gradën shkencore “Doktor” </w:t>
      </w:r>
      <w:r w:rsidRPr="00A653CA">
        <w:rPr>
          <w:rFonts w:ascii="Garamond" w:hAnsi="Garamond" w:cs="Times New Roman"/>
          <w:sz w:val="24"/>
          <w:szCs w:val="24"/>
        </w:rPr>
        <w:t>(nëse ka të tillë),</w:t>
      </w:r>
      <w:r w:rsidRPr="00A653CA">
        <w:rPr>
          <w:rFonts w:ascii="Garamond" w:hAnsi="Garamond" w:cs="Times New Roman"/>
          <w:i/>
          <w:iCs/>
          <w:sz w:val="24"/>
          <w:szCs w:val="24"/>
        </w:rPr>
        <w:t xml:space="preserve"> dhe/ose listën e notave, të njësuar me origjinalin (noterizuar), si dhe të përkthyer në gjuhën shqipe nga përkthyes të licencuar në Republikën e Shqipërisë.</w:t>
      </w:r>
    </w:p>
    <w:p w14:paraId="2821AF0B" w14:textId="3377B89F"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iii.</w:t>
      </w:r>
      <w:r w:rsidR="00ED47D4" w:rsidRPr="00A653CA">
        <w:rPr>
          <w:rFonts w:ascii="Garamond" w:hAnsi="Garamond" w:cs="Segoe UI"/>
          <w:i/>
          <w:iCs/>
          <w:sz w:val="24"/>
          <w:szCs w:val="24"/>
        </w:rPr>
        <w:t xml:space="preserve"> fotokopjen e kartës së identitetit ose të pasaportës (vetëm për shtetasit e huaj)</w:t>
      </w:r>
      <w:r w:rsidRPr="00A653CA">
        <w:rPr>
          <w:rFonts w:ascii="Garamond" w:hAnsi="Garamond" w:cs="Times New Roman"/>
          <w:i/>
          <w:iCs/>
          <w:sz w:val="24"/>
          <w:szCs w:val="24"/>
        </w:rPr>
        <w:t>;</w:t>
      </w:r>
    </w:p>
    <w:p w14:paraId="606B22B2" w14:textId="77777777" w:rsidR="002E5DB0" w:rsidRPr="00A653CA" w:rsidRDefault="002E5DB0" w:rsidP="002E5DB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iv. dokumentin e lëshuar nga organet kompetente me anë të të cilit vërtetohet qe personi ka fituar statusin e refugjatit, person i zhvendosur dhe person i ngjashëm me refugjatët.</w:t>
      </w:r>
    </w:p>
    <w:p w14:paraId="015A4C2F" w14:textId="1BD0944C" w:rsidR="00173DDB" w:rsidRPr="00A653CA" w:rsidRDefault="00173DDB" w:rsidP="002E5DB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4.</w:t>
      </w:r>
      <w:r w:rsidR="00443050" w:rsidRPr="00A653CA">
        <w:rPr>
          <w:rFonts w:ascii="Garamond" w:hAnsi="Garamond" w:cs="Times New Roman"/>
          <w:sz w:val="24"/>
          <w:szCs w:val="24"/>
        </w:rPr>
        <w:t xml:space="preserve"> </w:t>
      </w:r>
      <w:r w:rsidR="002E5DB0" w:rsidRPr="00A653CA">
        <w:rPr>
          <w:rFonts w:ascii="Garamond" w:hAnsi="Garamond" w:cs="Times New Roman"/>
          <w:sz w:val="24"/>
          <w:szCs w:val="24"/>
        </w:rPr>
        <w:t>Shfuqizuar</w:t>
      </w:r>
      <w:r w:rsidRPr="00A653CA">
        <w:rPr>
          <w:rFonts w:ascii="Garamond" w:hAnsi="Garamond" w:cs="Times New Roman"/>
          <w:sz w:val="24"/>
          <w:szCs w:val="24"/>
        </w:rPr>
        <w:t>.</w:t>
      </w:r>
    </w:p>
    <w:p w14:paraId="00296678" w14:textId="336047A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5.</w:t>
      </w:r>
      <w:r w:rsidR="00443050" w:rsidRPr="00A653CA">
        <w:rPr>
          <w:rFonts w:ascii="Garamond" w:hAnsi="Garamond" w:cs="Times New Roman"/>
          <w:sz w:val="24"/>
          <w:szCs w:val="24"/>
        </w:rPr>
        <w:t xml:space="preserve"> </w:t>
      </w:r>
      <w:r w:rsidRPr="00A653CA">
        <w:rPr>
          <w:rFonts w:ascii="Garamond" w:hAnsi="Garamond" w:cs="Times New Roman"/>
          <w:sz w:val="24"/>
          <w:szCs w:val="24"/>
        </w:rPr>
        <w:t>Refugjatët, personat e zhvendosur dhe personat e ngjashëm me refugjatët, të cilët paraqesin dokumentacion të pjesshëm, ose nuk mund të paraqesin dokumente për të vërtetuar kualifikimet e tyre dhe/ose periudhat e studimit, kanë të drejtën e njohjes dhe njësimit pa pagesë dhe brenda një afati të arsyeshëm të kualifikimit të tyre dhe/ose periudhave të studimit me qëllim për të vazhduar studimet e mëtejshme, ose për tu punësuar.</w:t>
      </w:r>
    </w:p>
    <w:p w14:paraId="4C158EB2" w14:textId="6B2E806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w:t>
      </w:r>
      <w:r w:rsidR="00443050" w:rsidRPr="00A653CA">
        <w:rPr>
          <w:rFonts w:ascii="Garamond" w:hAnsi="Garamond" w:cs="Times New Roman"/>
          <w:sz w:val="24"/>
          <w:szCs w:val="24"/>
        </w:rPr>
        <w:t xml:space="preserve"> </w:t>
      </w:r>
      <w:r w:rsidRPr="00A653CA">
        <w:rPr>
          <w:rFonts w:ascii="Garamond" w:hAnsi="Garamond" w:cs="Times New Roman"/>
          <w:sz w:val="24"/>
          <w:szCs w:val="24"/>
        </w:rPr>
        <w:t>Për njohjen dhe/ose njësimin e diplomave/certifikatave profesionale, diplomave që u përkasin niveleve 5</w:t>
      </w:r>
      <w:r w:rsidR="002E75BE" w:rsidRPr="00A653CA">
        <w:rPr>
          <w:rFonts w:ascii="Garamond" w:hAnsi="Garamond" w:cs="Times New Roman"/>
          <w:sz w:val="24"/>
          <w:szCs w:val="24"/>
        </w:rPr>
        <w:t>–</w:t>
      </w:r>
      <w:r w:rsidRPr="00A653CA">
        <w:rPr>
          <w:rFonts w:ascii="Garamond" w:hAnsi="Garamond" w:cs="Times New Roman"/>
          <w:sz w:val="24"/>
          <w:szCs w:val="24"/>
        </w:rPr>
        <w:t>8, gradave shkencore, titujve akademikë dhe kualifikimet e tjera të fituara jashtë Republikës së Shqipërisë dhe/ose periudhave të studimit nga mbajtësit/titullarët e statusit të refugjatit, personave të zhvendosur dhe personave të ngjashëm me refugjatët, organet kompetente, përcaktojnë procedurat e përshtatshme të vlerësimit, vlefshmërisë dhe kritereve të tjera, që lejojnë njohjen e këtyre kualifikimeve dhe/ose periudhave të studimit, edhe në mungesë të verifikimit të vlefshmërisë së tyre, apo mungesës, apo paraqitjes së dokumentacionit të pjesshëm ligjor, në ato raste kur personat e interesuar provojnë pamundësinë për të verifikuar vlefshmërinë e këtyre diplomave/certifikatave, ose nuk mund të paraqesin dokumente që ta bëjnë këtë gjë.</w:t>
      </w:r>
    </w:p>
    <w:p w14:paraId="6FC06B6B" w14:textId="0C1CA78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w:t>
      </w:r>
      <w:r w:rsidR="00443050" w:rsidRPr="00A653CA">
        <w:rPr>
          <w:rFonts w:ascii="Garamond" w:hAnsi="Garamond" w:cs="Times New Roman"/>
          <w:sz w:val="24"/>
          <w:szCs w:val="24"/>
        </w:rPr>
        <w:t xml:space="preserve"> </w:t>
      </w:r>
      <w:r w:rsidRPr="00A653CA">
        <w:rPr>
          <w:rFonts w:ascii="Garamond" w:hAnsi="Garamond" w:cs="Times New Roman"/>
          <w:sz w:val="24"/>
          <w:szCs w:val="24"/>
        </w:rPr>
        <w:t>Për njohjen e kualifikimeve dhe periudhave të studimit të përcaktuara në këtë kr</w:t>
      </w:r>
      <w:r w:rsidR="002E57C2" w:rsidRPr="00A653CA">
        <w:rPr>
          <w:rFonts w:ascii="Garamond" w:hAnsi="Garamond" w:cs="Times New Roman"/>
          <w:sz w:val="24"/>
          <w:szCs w:val="24"/>
        </w:rPr>
        <w:t>y</w:t>
      </w:r>
      <w:r w:rsidRPr="00A653CA">
        <w:rPr>
          <w:rFonts w:ascii="Garamond" w:hAnsi="Garamond" w:cs="Times New Roman"/>
          <w:sz w:val="24"/>
          <w:szCs w:val="24"/>
        </w:rPr>
        <w:t>e të këtij kreu, organet kompetente i referohen dispozitave përkatëse të këtij udhëzimi, Konventës së Lisbonës, të ratifikuar me ligjin nr. 8834, datë 22.11.2001</w:t>
      </w:r>
      <w:r w:rsidR="00BE3082" w:rsidRPr="00A653CA">
        <w:rPr>
          <w:rFonts w:ascii="Garamond" w:hAnsi="Garamond" w:cs="Times New Roman"/>
          <w:sz w:val="24"/>
          <w:szCs w:val="24"/>
        </w:rPr>
        <w:t>,</w:t>
      </w:r>
      <w:r w:rsidRPr="00A653CA">
        <w:rPr>
          <w:rFonts w:ascii="Garamond" w:hAnsi="Garamond" w:cs="Times New Roman"/>
          <w:sz w:val="24"/>
          <w:szCs w:val="24"/>
        </w:rPr>
        <w:t xml:space="preserve"> “</w:t>
      </w:r>
      <w:r w:rsidRPr="00A653CA">
        <w:rPr>
          <w:rFonts w:ascii="Garamond" w:hAnsi="Garamond" w:cs="Times New Roman"/>
          <w:iCs/>
          <w:sz w:val="24"/>
          <w:szCs w:val="24"/>
        </w:rPr>
        <w:t>Për ratifikimin e “Konventës për njohjen e kualifikimeve të arsimit të lartë në E</w:t>
      </w:r>
      <w:r w:rsidR="00BE3082" w:rsidRPr="00A653CA">
        <w:rPr>
          <w:rFonts w:ascii="Garamond" w:hAnsi="Garamond" w:cs="Times New Roman"/>
          <w:iCs/>
          <w:sz w:val="24"/>
          <w:szCs w:val="24"/>
        </w:rPr>
        <w:t>v</w:t>
      </w:r>
      <w:r w:rsidRPr="00A653CA">
        <w:rPr>
          <w:rFonts w:ascii="Garamond" w:hAnsi="Garamond" w:cs="Times New Roman"/>
          <w:iCs/>
          <w:sz w:val="24"/>
          <w:szCs w:val="24"/>
        </w:rPr>
        <w:t xml:space="preserve">ropë” (Lisbonë, 1997)”, </w:t>
      </w:r>
      <w:r w:rsidRPr="00A653CA">
        <w:rPr>
          <w:rFonts w:ascii="Garamond" w:hAnsi="Garamond" w:cs="Times New Roman"/>
          <w:sz w:val="24"/>
          <w:szCs w:val="24"/>
        </w:rPr>
        <w:t>si dhe dokumenteve të tjera ndërkombëtarë të njohura nga rrjeti ENIC-NARIC.</w:t>
      </w:r>
    </w:p>
    <w:p w14:paraId="667DAD37" w14:textId="4328B76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8.</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Kualifikimet e paraqitura sipas përcaktimeve të këtij kreu, duhet të vlerësohen nëpërmjet mbledhjes së informacionit nga burime të besueshme publike, rrjeti ENIC-NARIC, nga personi që aplikon për njohjen e kualifikimit dhe/ose periudhave të studimit dhe sipas rastit duhet të plotësohet me intervista me aplikantin, provimet dhe çdo metodë tjetër të përshtatshme vlerësimi. </w:t>
      </w:r>
    </w:p>
    <w:p w14:paraId="7E6B0A11" w14:textId="122C9FA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 xml:space="preserve">Organet kompetente për njohjen dhe njësimin e diplomave dhe/ose periudhave të studimit, duhet të përdorin çdo mjet të diponueshëm dhe çdo informacion të besueshëm për të verifikuar programet e studimit, institucionet ku janë fituar kualifikimet, apo janë kryer periudhat e studimit dhe gjithashtu të përdorin për aq sa është e mundur çdo informacion apo praktikë të vlerësimeve </w:t>
      </w:r>
      <w:r w:rsidRPr="00A653CA">
        <w:rPr>
          <w:rFonts w:ascii="Garamond" w:hAnsi="Garamond" w:cs="Times New Roman"/>
          <w:sz w:val="24"/>
          <w:szCs w:val="24"/>
        </w:rPr>
        <w:lastRenderedPageBreak/>
        <w:t>të mëparshme për kualifikime të ngjashme për</w:t>
      </w:r>
      <w:r w:rsidR="00FA3A90" w:rsidRPr="00A653CA">
        <w:rPr>
          <w:rFonts w:ascii="Garamond" w:hAnsi="Garamond" w:cs="Times New Roman"/>
          <w:sz w:val="24"/>
          <w:szCs w:val="24"/>
        </w:rPr>
        <w:t xml:space="preserve"> </w:t>
      </w:r>
      <w:r w:rsidRPr="00A653CA">
        <w:rPr>
          <w:rFonts w:ascii="Garamond" w:hAnsi="Garamond" w:cs="Times New Roman"/>
          <w:sz w:val="24"/>
          <w:szCs w:val="24"/>
        </w:rPr>
        <w:t>sa i përket vlefshmërisë, cilësisë, nivelit dhe rezultateve të të nxënit.</w:t>
      </w:r>
    </w:p>
    <w:p w14:paraId="7CF610FB" w14:textId="7EE6345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9.</w:t>
      </w:r>
      <w:r w:rsidR="00443050" w:rsidRPr="00A653CA">
        <w:rPr>
          <w:rFonts w:ascii="Garamond" w:hAnsi="Garamond" w:cs="Times New Roman"/>
          <w:sz w:val="24"/>
          <w:szCs w:val="24"/>
        </w:rPr>
        <w:t xml:space="preserve"> </w:t>
      </w:r>
      <w:r w:rsidRPr="00A653CA">
        <w:rPr>
          <w:rFonts w:ascii="Garamond" w:hAnsi="Garamond" w:cs="Times New Roman"/>
          <w:sz w:val="24"/>
          <w:szCs w:val="24"/>
        </w:rPr>
        <w:t>Organet kompetente në rastet kur refugjatët, personat e zhvendosur dhe personat e ngjashëm me refugjatët, për arsye të përligjura nuk mund të provojnë dhe dokumentojnë kualifikimet e tyre dhe /ose periudhat e studimit që ata pretendojnë, hartojnë një raport, i cili duhet të përmbajë një informacion të detajuar për kualifikimin e fituar, ose periudhave e studimit të përfunduara, me të gjithë dokumentacionin provues dhe dëshmitë mbështetëse të përshkruara në pikën 6 të këtij kreu.</w:t>
      </w:r>
    </w:p>
    <w:p w14:paraId="06F673F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Raporti i hartuar nuk përbën në vetvete një dokument njohjeje dhe njësimi.</w:t>
      </w:r>
    </w:p>
    <w:p w14:paraId="3026CCDB" w14:textId="550BB48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10.</w:t>
      </w:r>
      <w:r w:rsidR="00443050" w:rsidRPr="00A653CA">
        <w:rPr>
          <w:rFonts w:ascii="Garamond" w:hAnsi="Garamond" w:cs="Times New Roman"/>
          <w:sz w:val="24"/>
          <w:szCs w:val="24"/>
        </w:rPr>
        <w:t xml:space="preserve"> </w:t>
      </w:r>
      <w:r w:rsidRPr="00A653CA">
        <w:rPr>
          <w:rFonts w:ascii="Garamond" w:hAnsi="Garamond" w:cs="Times New Roman"/>
          <w:sz w:val="24"/>
          <w:szCs w:val="24"/>
        </w:rPr>
        <w:t>Në të gjitha rastet raporti duhet të përmbajë:</w:t>
      </w:r>
    </w:p>
    <w:p w14:paraId="5B8DB244" w14:textId="4080A21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të dhënat personale të aplikantit (emër, mbiemër, atësi (nëse shënohet);</w:t>
      </w:r>
    </w:p>
    <w:p w14:paraId="65FCCA32" w14:textId="4EABB0D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në gjuhën origjinale të kualifikimit të fituar;</w:t>
      </w:r>
    </w:p>
    <w:p w14:paraId="2DE5C4CB" w14:textId="230CE86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në gjuhën origjinale të institucionit ku është fituar kualifikimi, ose janë kryer periudhat e studimit;</w:t>
      </w:r>
    </w:p>
    <w:p w14:paraId="62BB7769" w14:textId="491F3F5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në gjuhën origjinale të programit të studimit;</w:t>
      </w:r>
    </w:p>
    <w:p w14:paraId="4CE0E4EA" w14:textId="4854B22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841218"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statusin e institucionit dhe programit të studimit (licencuar, akredituar/njohur, vlefshmërinë);</w:t>
      </w:r>
    </w:p>
    <w:p w14:paraId="6ABAC2D1" w14:textId="7148E1E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f</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nivelin e kualifikimit të fituar;</w:t>
      </w:r>
    </w:p>
    <w:p w14:paraId="19D0B5A7" w14:textId="002380F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g</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kohëzgjatja zyrtare e programit të studimit;</w:t>
      </w:r>
    </w:p>
    <w:p w14:paraId="76D58674" w14:textId="35F18A4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h</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të drejtat e fituara nga kualifikimi;</w:t>
      </w:r>
    </w:p>
    <w:p w14:paraId="78941895" w14:textId="6F7B31D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vitin në të cilin është fituar kualifikimi, ose është kryer periudha e studimit;</w:t>
      </w:r>
    </w:p>
    <w:p w14:paraId="6480037D" w14:textId="5A668CB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j</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dokumentacioni përkatës ku është mbështetur raporti.</w:t>
      </w:r>
    </w:p>
    <w:p w14:paraId="4F720D62" w14:textId="71B217E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10.1</w:t>
      </w:r>
      <w:r w:rsidR="005874CA" w:rsidRPr="00A653CA">
        <w:rPr>
          <w:rFonts w:ascii="Garamond" w:hAnsi="Garamond" w:cs="Times New Roman"/>
          <w:sz w:val="24"/>
          <w:szCs w:val="24"/>
        </w:rPr>
        <w:t xml:space="preserve"> </w:t>
      </w:r>
      <w:r w:rsidRPr="00A653CA">
        <w:rPr>
          <w:rFonts w:ascii="Garamond" w:hAnsi="Garamond" w:cs="Times New Roman"/>
          <w:sz w:val="24"/>
          <w:szCs w:val="24"/>
        </w:rPr>
        <w:t>Raporti hartohet dhe lëshohet në gjuhën shqipe dhe në atë angleze.</w:t>
      </w:r>
    </w:p>
    <w:p w14:paraId="541D9DC1" w14:textId="15E5E65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11.</w:t>
      </w:r>
      <w:r w:rsidR="00443050" w:rsidRPr="00A653CA">
        <w:rPr>
          <w:rFonts w:ascii="Garamond" w:hAnsi="Garamond" w:cs="Times New Roman"/>
          <w:sz w:val="24"/>
          <w:szCs w:val="24"/>
        </w:rPr>
        <w:t xml:space="preserve"> </w:t>
      </w:r>
      <w:r w:rsidRPr="00A653CA">
        <w:rPr>
          <w:rFonts w:ascii="Garamond" w:hAnsi="Garamond" w:cs="Times New Roman"/>
          <w:sz w:val="24"/>
          <w:szCs w:val="24"/>
        </w:rPr>
        <w:t>Refugjatët, personat e zhvendosur dhe personat e ngjashëm me refugjatët, kanë të drejtën e ankimit sipas kreut VI të këtij udhëzimi.</w:t>
      </w:r>
    </w:p>
    <w:p w14:paraId="0F39CC1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3757FD3A"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V</w:t>
      </w:r>
    </w:p>
    <w:p w14:paraId="51C4FEA9"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TARIFAT</w:t>
      </w:r>
    </w:p>
    <w:p w14:paraId="0D6A77E2"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885CE73" w14:textId="2FF716A4" w:rsidR="00173DDB" w:rsidRPr="00A653CA"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Tarifat për njohjen dhe njësimin e certifikatave/diplomave dhe gradave shkencore, që i përkasin nivelit 5 deri në 8 të Kornizës Shqiptare të Kualifikimeve dhe Kornizës Evropiane të Kualifikimeve, si dhe titujve akademikë, për çdo diplomë/titull akademik që kërkohet të njihet, përveç aplikimeve të paraqitura nga refugjatët, personat e zhvendosur dhe personat e ngjashëm me refugjatët i referohen përcaktimeve të legjislacionit në fuqi.</w:t>
      </w:r>
    </w:p>
    <w:p w14:paraId="5A37C858" w14:textId="54DBB4B3" w:rsidR="00173DDB" w:rsidRPr="00A653CA"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Pagesa për njohjen dhe njësimin e certifikatave/diplomave dhe gradave shkencore, që i përkasin nivelit 5 deri në 8 të Kornizës Shqiptare të Kualifikimeve dhe Kornizës Evropiane të Kualifikimeve, si dhe titujve akademikë kryhet në llogarinë bankare të QSHA</w:t>
      </w:r>
      <w:r w:rsidR="006661E7" w:rsidRPr="00A653CA">
        <w:rPr>
          <w:rFonts w:ascii="Garamond" w:hAnsi="Garamond" w:cs="Times New Roman"/>
          <w:sz w:val="24"/>
          <w:szCs w:val="24"/>
        </w:rPr>
        <w:t>-së</w:t>
      </w:r>
      <w:r w:rsidRPr="00A653CA">
        <w:rPr>
          <w:rFonts w:ascii="Garamond" w:hAnsi="Garamond" w:cs="Times New Roman"/>
          <w:sz w:val="24"/>
          <w:szCs w:val="24"/>
        </w:rPr>
        <w:t>, të përcaktuar në faqen zyrtare të QSHA</w:t>
      </w:r>
      <w:r w:rsidR="005F0D36" w:rsidRPr="00A653CA">
        <w:rPr>
          <w:rFonts w:ascii="Garamond" w:hAnsi="Garamond" w:cs="Times New Roman"/>
          <w:sz w:val="24"/>
          <w:szCs w:val="24"/>
        </w:rPr>
        <w:t>-së</w:t>
      </w:r>
      <w:r w:rsidRPr="00A653CA">
        <w:rPr>
          <w:rFonts w:ascii="Garamond" w:hAnsi="Garamond" w:cs="Times New Roman"/>
          <w:sz w:val="24"/>
          <w:szCs w:val="24"/>
        </w:rPr>
        <w:t xml:space="preserve"> dhe e-Albania, në seksionin përkatës të njohjes së diplomave.</w:t>
      </w:r>
    </w:p>
    <w:p w14:paraId="290DAF90"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760B92AE"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VI</w:t>
      </w:r>
    </w:p>
    <w:p w14:paraId="699384C6"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ANKIMIMI</w:t>
      </w:r>
    </w:p>
    <w:p w14:paraId="5B597E30"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134AE49C" w14:textId="512F3A8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Aplikanti për njohjen dhe njësimin e certifikatave dhe diplomave që i përkasin nivelit 5 deri në 8, përveç gradave shkencore “Doktor”, të Kornizës Shqiptare të Kualifikimeve dhe Kornizës Evropiane të Kualifikimeve ka të drejtë të bëjë ankim me shkrim kundër vendimit të </w:t>
      </w:r>
      <w:r w:rsidR="004057AD" w:rsidRPr="00A653CA">
        <w:rPr>
          <w:rFonts w:ascii="Garamond" w:hAnsi="Garamond" w:cs="Times New Roman"/>
          <w:i/>
          <w:iCs/>
          <w:sz w:val="24"/>
          <w:szCs w:val="24"/>
        </w:rPr>
        <w:t>Titullarit të</w:t>
      </w:r>
      <w:r w:rsidRPr="00A653CA">
        <w:rPr>
          <w:rFonts w:ascii="Garamond" w:hAnsi="Garamond" w:cs="Times New Roman"/>
          <w:sz w:val="24"/>
          <w:szCs w:val="24"/>
        </w:rPr>
        <w:t xml:space="preserve"> QSHA, sipas afateve të parashikuara nga Kodi i Procedurave Administrative të Republikës së Shqipërisë.</w:t>
      </w:r>
    </w:p>
    <w:p w14:paraId="62040069" w14:textId="21988EB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Aplikanti për njohjen dhe njësimin e gradës shkencore “Doktor” dhe titujve akademikë ka të drejtë të bëjë ankim me shkrim kundër vendimit të</w:t>
      </w:r>
      <w:r w:rsidR="005874CA" w:rsidRPr="00A653CA">
        <w:rPr>
          <w:rFonts w:ascii="Garamond" w:hAnsi="Garamond" w:cs="Times New Roman"/>
          <w:sz w:val="24"/>
          <w:szCs w:val="24"/>
        </w:rPr>
        <w:t xml:space="preserve"> </w:t>
      </w:r>
      <w:r w:rsidR="003D2C65" w:rsidRPr="00A653CA">
        <w:rPr>
          <w:rFonts w:ascii="Garamond" w:hAnsi="Garamond" w:cs="Times New Roman"/>
          <w:sz w:val="24"/>
          <w:szCs w:val="24"/>
        </w:rPr>
        <w:t>KNJG</w:t>
      </w:r>
      <w:r w:rsidRPr="00A653CA">
        <w:rPr>
          <w:rFonts w:ascii="Garamond" w:hAnsi="Garamond" w:cs="Times New Roman"/>
          <w:sz w:val="24"/>
          <w:szCs w:val="24"/>
        </w:rPr>
        <w:t xml:space="preserve"> ose komisionit </w:t>
      </w:r>
      <w:r w:rsidRPr="00A653CA">
        <w:rPr>
          <w:rFonts w:ascii="Garamond" w:hAnsi="Garamond" w:cs="Times New Roman"/>
          <w:i/>
          <w:iCs/>
          <w:sz w:val="24"/>
          <w:szCs w:val="24"/>
        </w:rPr>
        <w:t>ad hoc</w:t>
      </w:r>
      <w:r w:rsidRPr="00A653CA">
        <w:rPr>
          <w:rFonts w:ascii="Garamond" w:hAnsi="Garamond" w:cs="Times New Roman"/>
          <w:sz w:val="24"/>
          <w:szCs w:val="24"/>
        </w:rPr>
        <w:t xml:space="preserve"> pranë MAS</w:t>
      </w:r>
      <w:r w:rsidR="00B111DB" w:rsidRPr="00A653CA">
        <w:rPr>
          <w:rFonts w:ascii="Garamond" w:hAnsi="Garamond" w:cs="Times New Roman"/>
          <w:sz w:val="24"/>
          <w:szCs w:val="24"/>
        </w:rPr>
        <w:t>-it</w:t>
      </w:r>
      <w:r w:rsidRPr="00A653CA">
        <w:rPr>
          <w:rFonts w:ascii="Garamond" w:hAnsi="Garamond" w:cs="Times New Roman"/>
          <w:sz w:val="24"/>
          <w:szCs w:val="24"/>
        </w:rPr>
        <w:t>, sipas afateve të parashikuara nga Kodi i Procedurave Administrative të Republikës së Shqipërisë.</w:t>
      </w:r>
    </w:p>
    <w:p w14:paraId="1D15C7DE" w14:textId="1D7F005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Ankesa duhet të shoqërohet me dokumentacionin mbi të cilin mbështeten pretendimet e ankuesit. </w:t>
      </w:r>
    </w:p>
    <w:p w14:paraId="18FAE1EB"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BB9BEFF"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VII</w:t>
      </w:r>
    </w:p>
    <w:p w14:paraId="0E695B8C"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DISPOZITA TRANZITORE DHE TË FUNDIT</w:t>
      </w:r>
    </w:p>
    <w:p w14:paraId="7AE9B95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737904C4" w14:textId="642CA12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Personat të cilët kanë aplikuar dhe/ose kanë paraqitur dokumentacionin për njohjen dhe njësimin e diplomave përpara hyrjes në fuqi të këtij udhëzimi, do të trajtohen në bazë të dispozitave të udhëzimit nr.</w:t>
      </w:r>
      <w:r w:rsidR="0085785E" w:rsidRPr="00A653CA">
        <w:rPr>
          <w:rFonts w:ascii="Garamond" w:hAnsi="Garamond" w:cs="Times New Roman"/>
          <w:sz w:val="24"/>
          <w:szCs w:val="24"/>
        </w:rPr>
        <w:t xml:space="preserve"> </w:t>
      </w:r>
      <w:r w:rsidR="00E0770F" w:rsidRPr="00A653CA">
        <w:rPr>
          <w:rFonts w:ascii="Garamond" w:hAnsi="Garamond" w:cs="Times New Roman"/>
          <w:sz w:val="24"/>
          <w:szCs w:val="24"/>
        </w:rPr>
        <w:t>17, datë 3.</w:t>
      </w:r>
      <w:r w:rsidRPr="00A653CA">
        <w:rPr>
          <w:rFonts w:ascii="Garamond" w:hAnsi="Garamond" w:cs="Times New Roman"/>
          <w:sz w:val="24"/>
          <w:szCs w:val="24"/>
        </w:rPr>
        <w:t>8.2016, “</w:t>
      </w:r>
      <w:r w:rsidRPr="00A653CA">
        <w:rPr>
          <w:rFonts w:ascii="Garamond" w:hAnsi="Garamond" w:cs="Times New Roman"/>
          <w:iCs/>
          <w:sz w:val="24"/>
          <w:szCs w:val="24"/>
        </w:rPr>
        <w:t>Për procedurat dhe kriteret për njohjen dhe njësimin në Republikën e Shqipërisë</w:t>
      </w:r>
      <w:r w:rsidR="005874CA" w:rsidRPr="00A653CA">
        <w:rPr>
          <w:rFonts w:ascii="Garamond" w:hAnsi="Garamond" w:cs="Times New Roman"/>
          <w:iCs/>
          <w:sz w:val="24"/>
          <w:szCs w:val="24"/>
        </w:rPr>
        <w:t xml:space="preserve"> </w:t>
      </w:r>
      <w:r w:rsidRPr="00A653CA">
        <w:rPr>
          <w:rFonts w:ascii="Garamond" w:hAnsi="Garamond" w:cs="Times New Roman"/>
          <w:iCs/>
          <w:sz w:val="24"/>
          <w:szCs w:val="24"/>
        </w:rPr>
        <w:t>të diplomave, certifikatave, gradave shkencore dhe titujve akademikë, të lëshuara nga institucionet e huaja të arsimit të lartë dhe institucione të tjera të autorizuara jashtë vendit</w:t>
      </w:r>
      <w:r w:rsidRPr="00A653CA">
        <w:rPr>
          <w:rFonts w:ascii="Garamond" w:hAnsi="Garamond" w:cs="Times New Roman"/>
          <w:sz w:val="24"/>
          <w:szCs w:val="24"/>
        </w:rPr>
        <w:t>”, i ndryshuar.</w:t>
      </w:r>
    </w:p>
    <w:p w14:paraId="062C2082" w14:textId="33E4895D" w:rsidR="002E5DB0" w:rsidRPr="00A653CA" w:rsidRDefault="002E5DB0"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A653CA">
        <w:rPr>
          <w:rFonts w:ascii="Garamond" w:hAnsi="Garamond" w:cs="Times New Roman"/>
          <w:i/>
          <w:sz w:val="24"/>
          <w:szCs w:val="24"/>
        </w:rPr>
        <w:t>1/1. Për procedurën, afatet dhe dokumentacionin ndiqen përcaktimet e parashikuar në këtë udhëzim, me përjashtim të rasteve kur përcaktohet ndryshe në marrëveshjet dy ose më shumëpalëshe të nënshkruar ndërmjet ministrisë përgjegjëse për arsimin apo institucionit përgjegjës të autorizuar prej saj dhe një subjekti juridik të huaj, që kanë për objekt njohjen dhe njësimin e diplomave të lëshuara nga institucione të huaja të arsimit të lartë.</w:t>
      </w:r>
    </w:p>
    <w:p w14:paraId="3FC1637B" w14:textId="5B07248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Udhëzimi nr.</w:t>
      </w:r>
      <w:r w:rsidR="0085785E" w:rsidRPr="00A653CA">
        <w:rPr>
          <w:rFonts w:ascii="Garamond" w:hAnsi="Garamond" w:cs="Times New Roman"/>
          <w:sz w:val="24"/>
          <w:szCs w:val="24"/>
        </w:rPr>
        <w:t xml:space="preserve"> </w:t>
      </w:r>
      <w:r w:rsidR="00E0770F" w:rsidRPr="00A653CA">
        <w:rPr>
          <w:rFonts w:ascii="Garamond" w:hAnsi="Garamond" w:cs="Times New Roman"/>
          <w:sz w:val="24"/>
          <w:szCs w:val="24"/>
        </w:rPr>
        <w:t>17, datë 3.</w:t>
      </w:r>
      <w:r w:rsidRPr="00A653CA">
        <w:rPr>
          <w:rFonts w:ascii="Garamond" w:hAnsi="Garamond" w:cs="Times New Roman"/>
          <w:sz w:val="24"/>
          <w:szCs w:val="24"/>
        </w:rPr>
        <w:t>8.2016, “</w:t>
      </w:r>
      <w:r w:rsidRPr="00A653CA">
        <w:rPr>
          <w:rFonts w:ascii="Garamond" w:hAnsi="Garamond" w:cs="Times New Roman"/>
          <w:iCs/>
          <w:sz w:val="24"/>
          <w:szCs w:val="24"/>
        </w:rPr>
        <w:t>Për procedurat dhe kriteret për njohjen dhe njësimin në Republikën e Shqipërisë të diplomave, certifikatave, gradave shkencore dhe titujve akademikë, të lëshuara nga institucionet e huaja të arsimit të lartë dhe institucione të tjera të autorizuara jashtë vendit</w:t>
      </w:r>
      <w:r w:rsidRPr="00A653CA">
        <w:rPr>
          <w:rFonts w:ascii="Garamond" w:hAnsi="Garamond" w:cs="Times New Roman"/>
          <w:sz w:val="24"/>
          <w:szCs w:val="24"/>
        </w:rPr>
        <w:t>”, i ndryshuar, shfuqizohet.</w:t>
      </w:r>
    </w:p>
    <w:p w14:paraId="49A645AC" w14:textId="592CBB4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w:t>
      </w:r>
      <w:r w:rsidR="00443050" w:rsidRPr="00A653CA">
        <w:rPr>
          <w:rFonts w:ascii="Garamond" w:hAnsi="Garamond" w:cs="Times New Roman"/>
          <w:sz w:val="24"/>
          <w:szCs w:val="24"/>
        </w:rPr>
        <w:t xml:space="preserve"> </w:t>
      </w:r>
      <w:r w:rsidRPr="00A653CA">
        <w:rPr>
          <w:rFonts w:ascii="Garamond" w:hAnsi="Garamond" w:cs="Times New Roman"/>
          <w:sz w:val="24"/>
          <w:szCs w:val="24"/>
        </w:rPr>
        <w:t>Ngarkohet për zbatim të këtij udhëzimi Sekretari i Përgjithshëm, Drejtoria e Përgjithshme e Politikave të Zhvillimit të Arsimit, në Ministrinë e Arsimit dhe Sportit, Qendra e Shërbimeve Arsimore dhe komisionet përkatëse.</w:t>
      </w:r>
    </w:p>
    <w:p w14:paraId="46556CAF"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Ky udhëzim hyn në fuqi pas botimit në Fletoren Zyrtare.</w:t>
      </w:r>
    </w:p>
    <w:p w14:paraId="5637412D"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Cs/>
          <w:sz w:val="24"/>
          <w:szCs w:val="24"/>
        </w:rPr>
      </w:pPr>
    </w:p>
    <w:p w14:paraId="6272B213" w14:textId="195E410C" w:rsidR="0085785E" w:rsidRPr="00A653CA" w:rsidRDefault="0085785E" w:rsidP="009C50BF">
      <w:pPr>
        <w:widowControl w:val="0"/>
        <w:autoSpaceDE w:val="0"/>
        <w:autoSpaceDN w:val="0"/>
        <w:adjustRightInd w:val="0"/>
        <w:spacing w:after="0" w:line="240" w:lineRule="auto"/>
        <w:ind w:firstLine="284"/>
        <w:jc w:val="right"/>
        <w:rPr>
          <w:rFonts w:ascii="Garamond" w:hAnsi="Garamond" w:cs="Times New Roman"/>
          <w:bCs/>
          <w:sz w:val="24"/>
          <w:szCs w:val="24"/>
        </w:rPr>
      </w:pPr>
      <w:r w:rsidRPr="00A653CA">
        <w:rPr>
          <w:rFonts w:ascii="Garamond" w:hAnsi="Garamond" w:cs="Times New Roman"/>
          <w:bCs/>
          <w:sz w:val="24"/>
          <w:szCs w:val="24"/>
        </w:rPr>
        <w:t xml:space="preserve">MINISTËR I ARSIMIT </w:t>
      </w:r>
    </w:p>
    <w:p w14:paraId="56B691E0" w14:textId="17B05F40" w:rsidR="00173DDB" w:rsidRPr="00A653CA" w:rsidRDefault="0085785E" w:rsidP="009C50BF">
      <w:pPr>
        <w:widowControl w:val="0"/>
        <w:autoSpaceDE w:val="0"/>
        <w:autoSpaceDN w:val="0"/>
        <w:adjustRightInd w:val="0"/>
        <w:spacing w:after="0" w:line="240" w:lineRule="auto"/>
        <w:ind w:firstLine="284"/>
        <w:jc w:val="right"/>
        <w:rPr>
          <w:rFonts w:ascii="Garamond" w:hAnsi="Garamond" w:cs="Times New Roman"/>
          <w:bCs/>
          <w:sz w:val="24"/>
          <w:szCs w:val="24"/>
        </w:rPr>
      </w:pPr>
      <w:r w:rsidRPr="00A653CA">
        <w:rPr>
          <w:rFonts w:ascii="Garamond" w:hAnsi="Garamond" w:cs="Times New Roman"/>
          <w:bCs/>
          <w:sz w:val="24"/>
          <w:szCs w:val="24"/>
        </w:rPr>
        <w:t>DHE SPORTIT</w:t>
      </w:r>
    </w:p>
    <w:p w14:paraId="7508A9E9" w14:textId="30915C50" w:rsidR="00173DDB" w:rsidRPr="00A653CA" w:rsidRDefault="009C50BF" w:rsidP="009C50BF">
      <w:pPr>
        <w:widowControl w:val="0"/>
        <w:autoSpaceDE w:val="0"/>
        <w:autoSpaceDN w:val="0"/>
        <w:adjustRightInd w:val="0"/>
        <w:spacing w:after="0" w:line="240" w:lineRule="auto"/>
        <w:ind w:firstLine="284"/>
        <w:jc w:val="right"/>
        <w:rPr>
          <w:rFonts w:ascii="Garamond" w:hAnsi="Garamond" w:cs="Times New Roman"/>
          <w:b/>
          <w:bCs/>
          <w:sz w:val="24"/>
          <w:szCs w:val="24"/>
        </w:rPr>
      </w:pPr>
      <w:r w:rsidRPr="00A653CA">
        <w:rPr>
          <w:rFonts w:ascii="Garamond" w:hAnsi="Garamond" w:cs="Times New Roman"/>
          <w:b/>
          <w:bCs/>
          <w:sz w:val="24"/>
          <w:szCs w:val="24"/>
        </w:rPr>
        <w:t>Evis Kushi</w:t>
      </w:r>
    </w:p>
    <w:p w14:paraId="2BCADC89" w14:textId="327A6C95" w:rsidR="00D27F40" w:rsidRPr="00A653CA" w:rsidRDefault="00D27F40" w:rsidP="009C50BF">
      <w:pPr>
        <w:widowControl w:val="0"/>
        <w:autoSpaceDE w:val="0"/>
        <w:autoSpaceDN w:val="0"/>
        <w:adjustRightInd w:val="0"/>
        <w:spacing w:after="0" w:line="240" w:lineRule="auto"/>
        <w:ind w:firstLine="284"/>
        <w:rPr>
          <w:rFonts w:ascii="Garamond" w:hAnsi="Garamond" w:cs="Times New Roman"/>
          <w:b/>
          <w:bCs/>
          <w:sz w:val="24"/>
          <w:szCs w:val="24"/>
        </w:rPr>
      </w:pPr>
      <w:r w:rsidRPr="00A653CA">
        <w:rPr>
          <w:rFonts w:ascii="Garamond" w:hAnsi="Garamond" w:cs="Times New Roman"/>
          <w:b/>
          <w:bCs/>
          <w:noProof/>
          <w:sz w:val="24"/>
          <w:szCs w:val="24"/>
          <w:lang w:val="en-US"/>
        </w:rPr>
        <w:lastRenderedPageBreak/>
        <w:drawing>
          <wp:inline distT="0" distB="0" distL="0" distR="0" wp14:anchorId="1DA45A76" wp14:editId="3B40393A">
            <wp:extent cx="5760085" cy="86499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MAS n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85" cy="8649970"/>
                    </a:xfrm>
                    <a:prstGeom prst="rect">
                      <a:avLst/>
                    </a:prstGeom>
                  </pic:spPr>
                </pic:pic>
              </a:graphicData>
            </a:graphic>
          </wp:inline>
        </w:drawing>
      </w:r>
    </w:p>
    <w:p w14:paraId="29E03379"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92374CA"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F0B817E" w14:textId="59CAD7A0" w:rsidR="00D27F40" w:rsidRPr="00A653CA"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noProof/>
          <w:sz w:val="24"/>
          <w:szCs w:val="24"/>
          <w:lang w:val="en-US"/>
        </w:rPr>
        <w:lastRenderedPageBreak/>
        <w:drawing>
          <wp:inline distT="0" distB="0" distL="0" distR="0" wp14:anchorId="55BF0E0F" wp14:editId="00993070">
            <wp:extent cx="5760085" cy="81235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222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85" cy="8123555"/>
                    </a:xfrm>
                    <a:prstGeom prst="rect">
                      <a:avLst/>
                    </a:prstGeom>
                  </pic:spPr>
                </pic:pic>
              </a:graphicData>
            </a:graphic>
          </wp:inline>
        </w:drawing>
      </w:r>
    </w:p>
    <w:p w14:paraId="2DF31BFE"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2859E5C"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B192D61" w14:textId="10E3A8C8"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noProof/>
          <w:sz w:val="24"/>
          <w:szCs w:val="24"/>
          <w:lang w:val="en-US"/>
        </w:rPr>
        <w:lastRenderedPageBreak/>
        <w:drawing>
          <wp:inline distT="0" distB="0" distL="0" distR="0" wp14:anchorId="08CEC3A5" wp14:editId="156AB4F0">
            <wp:extent cx="5718048" cy="8241792"/>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Udhezimi MAS n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8048" cy="8241792"/>
                    </a:xfrm>
                    <a:prstGeom prst="rect">
                      <a:avLst/>
                    </a:prstGeom>
                  </pic:spPr>
                </pic:pic>
              </a:graphicData>
            </a:graphic>
          </wp:inline>
        </w:drawing>
      </w:r>
    </w:p>
    <w:p w14:paraId="39AC2A3D"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CDD31D7" w14:textId="6B609E16"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31C6B0E"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Cs/>
          <w:i/>
          <w:sz w:val="24"/>
          <w:szCs w:val="24"/>
        </w:rPr>
      </w:pPr>
    </w:p>
    <w:p w14:paraId="7B5E3442" w14:textId="77777777" w:rsidR="002476F2" w:rsidRPr="00A653CA" w:rsidRDefault="002476F2" w:rsidP="00D27F40">
      <w:pPr>
        <w:widowControl w:val="0"/>
        <w:autoSpaceDE w:val="0"/>
        <w:autoSpaceDN w:val="0"/>
        <w:adjustRightInd w:val="0"/>
        <w:spacing w:after="0" w:line="240" w:lineRule="auto"/>
        <w:ind w:firstLine="284"/>
        <w:jc w:val="center"/>
        <w:rPr>
          <w:rFonts w:ascii="Garamond" w:hAnsi="Garamond" w:cs="Times New Roman"/>
          <w:bCs/>
          <w:i/>
          <w:noProof/>
          <w:sz w:val="24"/>
          <w:szCs w:val="24"/>
          <w:lang w:val="en-US"/>
        </w:rPr>
      </w:pPr>
    </w:p>
    <w:p w14:paraId="1443C2F1" w14:textId="5632F141" w:rsidR="00D27F40" w:rsidRPr="00A653CA" w:rsidRDefault="002476F2" w:rsidP="00D27F40">
      <w:pPr>
        <w:widowControl w:val="0"/>
        <w:autoSpaceDE w:val="0"/>
        <w:autoSpaceDN w:val="0"/>
        <w:adjustRightInd w:val="0"/>
        <w:spacing w:after="0" w:line="240" w:lineRule="auto"/>
        <w:ind w:firstLine="284"/>
        <w:jc w:val="center"/>
        <w:rPr>
          <w:rFonts w:ascii="Garamond" w:hAnsi="Garamond" w:cs="Times New Roman"/>
          <w:bCs/>
          <w:i/>
          <w:noProof/>
          <w:sz w:val="24"/>
          <w:szCs w:val="24"/>
          <w:lang w:val="en-US"/>
        </w:rPr>
      </w:pPr>
      <w:r w:rsidRPr="00A653CA">
        <w:rPr>
          <w:rFonts w:ascii="Garamond" w:hAnsi="Garamond" w:cs="Times New Roman"/>
          <w:bCs/>
          <w:i/>
          <w:noProof/>
          <w:sz w:val="24"/>
          <w:szCs w:val="24"/>
          <w:lang w:val="en-US"/>
        </w:rPr>
        <w:lastRenderedPageBreak/>
        <w:t>(zëvendësuar me udhëzim nr. 1, datë 19.1.2024)</w:t>
      </w:r>
    </w:p>
    <w:p w14:paraId="3CA8E9B9" w14:textId="3D8AC811" w:rsidR="00237F4B" w:rsidRPr="00A653CA" w:rsidRDefault="00237F4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noProof/>
          <w:sz w:val="24"/>
          <w:szCs w:val="24"/>
        </w:rPr>
        <w:drawing>
          <wp:inline distT="0" distB="0" distL="0" distR="0" wp14:anchorId="102A028E" wp14:editId="2D93D243">
            <wp:extent cx="5659755" cy="55083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simi.jpg"/>
                    <pic:cNvPicPr/>
                  </pic:nvPicPr>
                  <pic:blipFill rotWithShape="1">
                    <a:blip r:embed="rId16" cstate="print">
                      <a:extLst>
                        <a:ext uri="{28A0092B-C50C-407E-A947-70E740481C1C}">
                          <a14:useLocalDpi xmlns:a14="http://schemas.microsoft.com/office/drawing/2010/main" val="0"/>
                        </a:ext>
                      </a:extLst>
                    </a:blip>
                    <a:srcRect t="6583" b="24581"/>
                    <a:stretch/>
                  </pic:blipFill>
                  <pic:spPr bwMode="auto">
                    <a:xfrm>
                      <a:off x="0" y="0"/>
                      <a:ext cx="5668953" cy="5517297"/>
                    </a:xfrm>
                    <a:prstGeom prst="rect">
                      <a:avLst/>
                    </a:prstGeom>
                    <a:ln>
                      <a:noFill/>
                    </a:ln>
                    <a:extLst>
                      <a:ext uri="{53640926-AAD7-44D8-BBD7-CCE9431645EC}">
                        <a14:shadowObscured xmlns:a14="http://schemas.microsoft.com/office/drawing/2010/main"/>
                      </a:ext>
                    </a:extLst>
                  </pic:spPr>
                </pic:pic>
              </a:graphicData>
            </a:graphic>
          </wp:inline>
        </w:drawing>
      </w:r>
    </w:p>
    <w:p w14:paraId="60B4D73D" w14:textId="22A44D01" w:rsidR="00D94CEA" w:rsidRPr="00A653CA"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noProof/>
          <w:sz w:val="24"/>
          <w:szCs w:val="24"/>
          <w:lang w:val="en-US"/>
        </w:rPr>
        <w:lastRenderedPageBreak/>
        <w:drawing>
          <wp:inline distT="0" distB="0" distL="0" distR="0" wp14:anchorId="52A8E40D" wp14:editId="24476004">
            <wp:extent cx="5760085" cy="6963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e r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6963410"/>
                    </a:xfrm>
                    <a:prstGeom prst="rect">
                      <a:avLst/>
                    </a:prstGeom>
                  </pic:spPr>
                </pic:pic>
              </a:graphicData>
            </a:graphic>
          </wp:inline>
        </w:drawing>
      </w:r>
      <w:r w:rsidRPr="00A653CA">
        <w:rPr>
          <w:rFonts w:ascii="Garamond" w:hAnsi="Garamond" w:cs="Times New Roman"/>
          <w:b/>
          <w:bCs/>
          <w:noProof/>
          <w:sz w:val="24"/>
          <w:szCs w:val="24"/>
          <w:lang w:val="en-US"/>
        </w:rPr>
        <w:lastRenderedPageBreak/>
        <w:drawing>
          <wp:inline distT="0" distB="0" distL="0" distR="0" wp14:anchorId="3CFCF4E8" wp14:editId="613B3D69">
            <wp:extent cx="5760085" cy="70694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e r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7069455"/>
                    </a:xfrm>
                    <a:prstGeom prst="rect">
                      <a:avLst/>
                    </a:prstGeom>
                  </pic:spPr>
                </pic:pic>
              </a:graphicData>
            </a:graphic>
          </wp:inline>
        </w:drawing>
      </w:r>
    </w:p>
    <w:p w14:paraId="142AECB1" w14:textId="4DC70729"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76A86F6" w14:textId="7CC867C0"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F412F88" w14:textId="72C934C4"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BFA4488" w14:textId="3B23DCAA"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9D535A1" w14:textId="33775375"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3C96D8C" w14:textId="617C569E"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A13E587" w14:textId="68596F17"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A07B9B8" w14:textId="256CA50E"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5404E26D" w14:textId="5A6F4F5B"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B443524" w14:textId="02B7932E"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5795EACE" w14:textId="2D5DC94A"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1FFEE4F" w14:textId="5265F8AE"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bookmarkStart w:id="0" w:name="_GoBack"/>
      <w:bookmarkEnd w:id="0"/>
    </w:p>
    <w:p w14:paraId="451DA324" w14:textId="00D77926" w:rsidR="006F5831" w:rsidRPr="00A653CA" w:rsidRDefault="006F5831" w:rsidP="006F5831">
      <w:pPr>
        <w:spacing w:after="0" w:line="240" w:lineRule="auto"/>
        <w:ind w:firstLine="284"/>
        <w:jc w:val="center"/>
        <w:rPr>
          <w:rFonts w:ascii="Garamond" w:eastAsia="Times New Roman" w:hAnsi="Garamond" w:cs="Times New Roman"/>
          <w:sz w:val="24"/>
          <w:szCs w:val="24"/>
        </w:rPr>
      </w:pPr>
      <w:r w:rsidRPr="00A653CA">
        <w:rPr>
          <w:rFonts w:ascii="Garamond" w:eastAsia="Times New Roman" w:hAnsi="Garamond" w:cs="Times New Roman"/>
          <w:sz w:val="24"/>
          <w:szCs w:val="24"/>
        </w:rPr>
        <w:t>SHTOJCA NR. 6</w:t>
      </w:r>
    </w:p>
    <w:p w14:paraId="654F4B98" w14:textId="6D0B150C" w:rsidR="006F5831" w:rsidRPr="00A653CA" w:rsidRDefault="006F5831" w:rsidP="006F5831">
      <w:pPr>
        <w:spacing w:after="0" w:line="240" w:lineRule="auto"/>
        <w:ind w:firstLine="284"/>
        <w:jc w:val="center"/>
        <w:rPr>
          <w:rFonts w:ascii="Garamond" w:eastAsia="Times New Roman" w:hAnsi="Garamond" w:cs="Times New Roman"/>
          <w:i/>
          <w:sz w:val="24"/>
          <w:szCs w:val="24"/>
        </w:rPr>
      </w:pPr>
      <w:r w:rsidRPr="00A653CA">
        <w:rPr>
          <w:rFonts w:ascii="Garamond" w:eastAsia="Times New Roman" w:hAnsi="Garamond" w:cs="Times New Roman"/>
          <w:i/>
          <w:sz w:val="24"/>
          <w:szCs w:val="24"/>
        </w:rPr>
        <w:t>(Shtuar me udhëzim nr. 1, datë 19.1.2024)</w:t>
      </w:r>
    </w:p>
    <w:tbl>
      <w:tblPr>
        <w:tblW w:w="5000" w:type="pct"/>
        <w:tblLook w:val="04A0" w:firstRow="1" w:lastRow="0" w:firstColumn="1" w:lastColumn="0" w:noHBand="0" w:noVBand="1"/>
      </w:tblPr>
      <w:tblGrid>
        <w:gridCol w:w="452"/>
        <w:gridCol w:w="2296"/>
        <w:gridCol w:w="643"/>
        <w:gridCol w:w="613"/>
        <w:gridCol w:w="916"/>
        <w:gridCol w:w="1049"/>
        <w:gridCol w:w="875"/>
        <w:gridCol w:w="795"/>
        <w:gridCol w:w="1648"/>
      </w:tblGrid>
      <w:tr w:rsidR="00A653CA" w:rsidRPr="00A653CA" w14:paraId="6B6969F8" w14:textId="77777777" w:rsidTr="009C4AB7">
        <w:trPr>
          <w:trHeight w:val="50"/>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D088880"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 xml:space="preserve">TABELA E </w:t>
            </w:r>
            <w:r w:rsidRPr="00A653CA">
              <w:rPr>
                <w:rFonts w:ascii="Garamond" w:eastAsia="Times New Roman" w:hAnsi="Garamond" w:cs="Times New Roman"/>
                <w:b/>
                <w:bCs/>
                <w:sz w:val="16"/>
                <w:szCs w:val="20"/>
              </w:rPr>
              <w:t>NJËVLERSHMËRISË</w:t>
            </w:r>
            <w:r w:rsidRPr="00A653CA">
              <w:rPr>
                <w:rFonts w:ascii="Garamond" w:eastAsia="Times New Roman" w:hAnsi="Garamond" w:cs="Times New Roman"/>
                <w:b/>
                <w:bCs/>
                <w:i/>
                <w:iCs/>
                <w:sz w:val="16"/>
                <w:szCs w:val="20"/>
              </w:rPr>
              <w:t xml:space="preserve"> </w:t>
            </w:r>
            <w:r w:rsidRPr="00A653CA">
              <w:rPr>
                <w:rFonts w:ascii="Garamond" w:eastAsia="Times New Roman" w:hAnsi="Garamond" w:cs="Times New Roman"/>
                <w:b/>
                <w:bCs/>
                <w:sz w:val="16"/>
                <w:szCs w:val="20"/>
              </w:rPr>
              <w:t>S</w:t>
            </w:r>
            <w:r w:rsidRPr="00A653CA">
              <w:rPr>
                <w:rFonts w:ascii="Garamond" w:eastAsia="Times New Roman" w:hAnsi="Garamond" w:cs="Times New Roman"/>
                <w:b/>
                <w:bCs/>
                <w:sz w:val="16"/>
                <w:szCs w:val="20"/>
                <w:lang w:eastAsia="sq-AL"/>
              </w:rPr>
              <w:t xml:space="preserve">Ë NOTAVE </w:t>
            </w:r>
          </w:p>
        </w:tc>
      </w:tr>
      <w:tr w:rsidR="00A653CA" w:rsidRPr="00A653CA" w14:paraId="6261A3EF" w14:textId="77777777" w:rsidTr="009C4AB7">
        <w:trPr>
          <w:trHeight w:val="50"/>
        </w:trPr>
        <w:tc>
          <w:tcPr>
            <w:tcW w:w="1480"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6133645"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SHTETI</w:t>
            </w:r>
          </w:p>
        </w:tc>
        <w:tc>
          <w:tcPr>
            <w:tcW w:w="3520" w:type="pct"/>
            <w:gridSpan w:val="7"/>
            <w:tcBorders>
              <w:top w:val="single" w:sz="4" w:space="0" w:color="auto"/>
              <w:left w:val="nil"/>
              <w:bottom w:val="single" w:sz="4" w:space="0" w:color="auto"/>
              <w:right w:val="single" w:sz="4" w:space="0" w:color="auto"/>
            </w:tcBorders>
            <w:shd w:val="clear" w:color="auto" w:fill="auto"/>
            <w:noWrap/>
            <w:vAlign w:val="bottom"/>
            <w:hideMark/>
          </w:tcPr>
          <w:p w14:paraId="6A15D38C"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NOTAT</w:t>
            </w:r>
          </w:p>
        </w:tc>
      </w:tr>
      <w:tr w:rsidR="00A653CA" w:rsidRPr="00A653CA" w14:paraId="67A604B3"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56DAEE40"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Nr.</w:t>
            </w:r>
          </w:p>
        </w:tc>
        <w:tc>
          <w:tcPr>
            <w:tcW w:w="1236" w:type="pct"/>
            <w:tcBorders>
              <w:top w:val="nil"/>
              <w:left w:val="nil"/>
              <w:bottom w:val="single" w:sz="4" w:space="0" w:color="auto"/>
              <w:right w:val="single" w:sz="4" w:space="0" w:color="auto"/>
            </w:tcBorders>
            <w:shd w:val="clear" w:color="000000" w:fill="F2F2F2"/>
            <w:noWrap/>
            <w:vAlign w:val="bottom"/>
            <w:hideMark/>
          </w:tcPr>
          <w:p w14:paraId="27F2F2B4"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Shqipëri (ekuivalenti)</w:t>
            </w:r>
          </w:p>
        </w:tc>
        <w:tc>
          <w:tcPr>
            <w:tcW w:w="346" w:type="pct"/>
            <w:tcBorders>
              <w:top w:val="nil"/>
              <w:left w:val="nil"/>
              <w:bottom w:val="single" w:sz="4" w:space="0" w:color="auto"/>
              <w:right w:val="single" w:sz="4" w:space="0" w:color="auto"/>
            </w:tcBorders>
            <w:shd w:val="clear" w:color="000000" w:fill="F2F2F2"/>
            <w:noWrap/>
            <w:vAlign w:val="bottom"/>
            <w:hideMark/>
          </w:tcPr>
          <w:p w14:paraId="2E55BAFC"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4</w:t>
            </w:r>
          </w:p>
        </w:tc>
        <w:tc>
          <w:tcPr>
            <w:tcW w:w="330" w:type="pct"/>
            <w:tcBorders>
              <w:top w:val="nil"/>
              <w:left w:val="nil"/>
              <w:bottom w:val="single" w:sz="4" w:space="0" w:color="auto"/>
              <w:right w:val="single" w:sz="4" w:space="0" w:color="auto"/>
            </w:tcBorders>
            <w:shd w:val="clear" w:color="000000" w:fill="F2F2F2"/>
            <w:noWrap/>
            <w:vAlign w:val="bottom"/>
            <w:hideMark/>
          </w:tcPr>
          <w:p w14:paraId="29F315FD"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5</w:t>
            </w:r>
          </w:p>
        </w:tc>
        <w:tc>
          <w:tcPr>
            <w:tcW w:w="493" w:type="pct"/>
            <w:tcBorders>
              <w:top w:val="nil"/>
              <w:left w:val="nil"/>
              <w:bottom w:val="single" w:sz="4" w:space="0" w:color="auto"/>
              <w:right w:val="single" w:sz="4" w:space="0" w:color="auto"/>
            </w:tcBorders>
            <w:shd w:val="clear" w:color="000000" w:fill="F2F2F2"/>
            <w:noWrap/>
            <w:vAlign w:val="bottom"/>
            <w:hideMark/>
          </w:tcPr>
          <w:p w14:paraId="6D9F467A"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6</w:t>
            </w:r>
          </w:p>
        </w:tc>
        <w:tc>
          <w:tcPr>
            <w:tcW w:w="565" w:type="pct"/>
            <w:tcBorders>
              <w:top w:val="nil"/>
              <w:left w:val="nil"/>
              <w:bottom w:val="single" w:sz="4" w:space="0" w:color="auto"/>
              <w:right w:val="single" w:sz="4" w:space="0" w:color="auto"/>
            </w:tcBorders>
            <w:shd w:val="clear" w:color="000000" w:fill="F2F2F2"/>
            <w:noWrap/>
            <w:vAlign w:val="bottom"/>
            <w:hideMark/>
          </w:tcPr>
          <w:p w14:paraId="125F9FAC"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7</w:t>
            </w:r>
          </w:p>
        </w:tc>
        <w:tc>
          <w:tcPr>
            <w:tcW w:w="471" w:type="pct"/>
            <w:tcBorders>
              <w:top w:val="nil"/>
              <w:left w:val="nil"/>
              <w:bottom w:val="single" w:sz="4" w:space="0" w:color="auto"/>
              <w:right w:val="single" w:sz="4" w:space="0" w:color="auto"/>
            </w:tcBorders>
            <w:shd w:val="clear" w:color="000000" w:fill="F2F2F2"/>
            <w:noWrap/>
            <w:vAlign w:val="bottom"/>
            <w:hideMark/>
          </w:tcPr>
          <w:p w14:paraId="797D4BF1"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8</w:t>
            </w:r>
          </w:p>
        </w:tc>
        <w:tc>
          <w:tcPr>
            <w:tcW w:w="428" w:type="pct"/>
            <w:tcBorders>
              <w:top w:val="nil"/>
              <w:left w:val="nil"/>
              <w:bottom w:val="single" w:sz="4" w:space="0" w:color="auto"/>
              <w:right w:val="single" w:sz="4" w:space="0" w:color="auto"/>
            </w:tcBorders>
            <w:shd w:val="clear" w:color="000000" w:fill="F2F2F2"/>
            <w:noWrap/>
            <w:vAlign w:val="bottom"/>
            <w:hideMark/>
          </w:tcPr>
          <w:p w14:paraId="56D7612C"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9</w:t>
            </w:r>
          </w:p>
        </w:tc>
        <w:tc>
          <w:tcPr>
            <w:tcW w:w="888" w:type="pct"/>
            <w:tcBorders>
              <w:top w:val="nil"/>
              <w:left w:val="nil"/>
              <w:bottom w:val="single" w:sz="4" w:space="0" w:color="auto"/>
              <w:right w:val="single" w:sz="4" w:space="0" w:color="auto"/>
            </w:tcBorders>
            <w:shd w:val="clear" w:color="000000" w:fill="F2F2F2"/>
            <w:noWrap/>
            <w:vAlign w:val="bottom"/>
            <w:hideMark/>
          </w:tcPr>
          <w:p w14:paraId="1FB7C24F"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10</w:t>
            </w:r>
          </w:p>
        </w:tc>
      </w:tr>
      <w:tr w:rsidR="00A653CA" w:rsidRPr="00A653CA" w14:paraId="2DD6E714"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670F231D"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w:t>
            </w:r>
          </w:p>
        </w:tc>
        <w:tc>
          <w:tcPr>
            <w:tcW w:w="1236" w:type="pct"/>
            <w:tcBorders>
              <w:top w:val="nil"/>
              <w:left w:val="nil"/>
              <w:bottom w:val="single" w:sz="4" w:space="0" w:color="auto"/>
              <w:right w:val="single" w:sz="4" w:space="0" w:color="auto"/>
            </w:tcBorders>
            <w:shd w:val="clear" w:color="auto" w:fill="auto"/>
            <w:noWrap/>
            <w:vAlign w:val="bottom"/>
            <w:hideMark/>
          </w:tcPr>
          <w:p w14:paraId="4AC2F271"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AUSTRALI</w:t>
            </w:r>
          </w:p>
        </w:tc>
        <w:tc>
          <w:tcPr>
            <w:tcW w:w="346" w:type="pct"/>
            <w:tcBorders>
              <w:top w:val="nil"/>
              <w:left w:val="nil"/>
              <w:bottom w:val="single" w:sz="4" w:space="0" w:color="auto"/>
              <w:right w:val="single" w:sz="4" w:space="0" w:color="auto"/>
            </w:tcBorders>
            <w:shd w:val="clear" w:color="auto" w:fill="auto"/>
            <w:vAlign w:val="center"/>
            <w:hideMark/>
          </w:tcPr>
          <w:p w14:paraId="33DBA9E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330" w:type="pct"/>
            <w:tcBorders>
              <w:top w:val="nil"/>
              <w:left w:val="nil"/>
              <w:bottom w:val="single" w:sz="4" w:space="0" w:color="auto"/>
              <w:right w:val="single" w:sz="4" w:space="0" w:color="auto"/>
            </w:tcBorders>
            <w:shd w:val="clear" w:color="auto" w:fill="auto"/>
            <w:vAlign w:val="center"/>
            <w:hideMark/>
          </w:tcPr>
          <w:p w14:paraId="0D11B60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50-52</w:t>
            </w:r>
          </w:p>
        </w:tc>
        <w:tc>
          <w:tcPr>
            <w:tcW w:w="493" w:type="pct"/>
            <w:tcBorders>
              <w:top w:val="nil"/>
              <w:left w:val="nil"/>
              <w:bottom w:val="single" w:sz="4" w:space="0" w:color="auto"/>
              <w:right w:val="single" w:sz="4" w:space="0" w:color="auto"/>
            </w:tcBorders>
            <w:shd w:val="clear" w:color="auto" w:fill="auto"/>
            <w:vAlign w:val="center"/>
            <w:hideMark/>
          </w:tcPr>
          <w:p w14:paraId="7B80B30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53-56</w:t>
            </w:r>
          </w:p>
        </w:tc>
        <w:tc>
          <w:tcPr>
            <w:tcW w:w="565" w:type="pct"/>
            <w:tcBorders>
              <w:top w:val="nil"/>
              <w:left w:val="nil"/>
              <w:bottom w:val="single" w:sz="4" w:space="0" w:color="auto"/>
              <w:right w:val="single" w:sz="4" w:space="0" w:color="auto"/>
            </w:tcBorders>
            <w:shd w:val="clear" w:color="auto" w:fill="auto"/>
            <w:vAlign w:val="center"/>
            <w:hideMark/>
          </w:tcPr>
          <w:p w14:paraId="136041B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57-59</w:t>
            </w:r>
          </w:p>
        </w:tc>
        <w:tc>
          <w:tcPr>
            <w:tcW w:w="471" w:type="pct"/>
            <w:tcBorders>
              <w:top w:val="nil"/>
              <w:left w:val="nil"/>
              <w:bottom w:val="single" w:sz="4" w:space="0" w:color="auto"/>
              <w:right w:val="single" w:sz="4" w:space="0" w:color="auto"/>
            </w:tcBorders>
            <w:shd w:val="clear" w:color="auto" w:fill="auto"/>
            <w:hideMark/>
          </w:tcPr>
          <w:p w14:paraId="6EC6228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60-69</w:t>
            </w:r>
          </w:p>
        </w:tc>
        <w:tc>
          <w:tcPr>
            <w:tcW w:w="428" w:type="pct"/>
            <w:tcBorders>
              <w:top w:val="nil"/>
              <w:left w:val="nil"/>
              <w:bottom w:val="single" w:sz="4" w:space="0" w:color="auto"/>
              <w:right w:val="single" w:sz="4" w:space="0" w:color="auto"/>
            </w:tcBorders>
            <w:shd w:val="clear" w:color="auto" w:fill="auto"/>
            <w:hideMark/>
          </w:tcPr>
          <w:p w14:paraId="4228A54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70-79</w:t>
            </w:r>
          </w:p>
        </w:tc>
        <w:tc>
          <w:tcPr>
            <w:tcW w:w="888" w:type="pct"/>
            <w:tcBorders>
              <w:top w:val="nil"/>
              <w:left w:val="nil"/>
              <w:bottom w:val="single" w:sz="4" w:space="0" w:color="auto"/>
              <w:right w:val="single" w:sz="4" w:space="0" w:color="auto"/>
            </w:tcBorders>
            <w:shd w:val="clear" w:color="auto" w:fill="auto"/>
            <w:hideMark/>
          </w:tcPr>
          <w:p w14:paraId="2C5AAE2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85-100</w:t>
            </w:r>
          </w:p>
        </w:tc>
      </w:tr>
      <w:tr w:rsidR="00A653CA" w:rsidRPr="00A653CA" w14:paraId="37D42799"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286BC1D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2</w:t>
            </w:r>
          </w:p>
        </w:tc>
        <w:tc>
          <w:tcPr>
            <w:tcW w:w="1236" w:type="pct"/>
            <w:tcBorders>
              <w:top w:val="nil"/>
              <w:left w:val="nil"/>
              <w:bottom w:val="single" w:sz="4" w:space="0" w:color="auto"/>
              <w:right w:val="single" w:sz="4" w:space="0" w:color="auto"/>
            </w:tcBorders>
            <w:shd w:val="clear" w:color="auto" w:fill="auto"/>
            <w:noWrap/>
            <w:vAlign w:val="bottom"/>
            <w:hideMark/>
          </w:tcPr>
          <w:p w14:paraId="48F8D55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FRANCË</w:t>
            </w:r>
          </w:p>
        </w:tc>
        <w:tc>
          <w:tcPr>
            <w:tcW w:w="346" w:type="pct"/>
            <w:tcBorders>
              <w:top w:val="nil"/>
              <w:left w:val="nil"/>
              <w:bottom w:val="single" w:sz="4" w:space="0" w:color="auto"/>
              <w:right w:val="single" w:sz="4" w:space="0" w:color="auto"/>
            </w:tcBorders>
            <w:shd w:val="clear" w:color="auto" w:fill="auto"/>
            <w:hideMark/>
          </w:tcPr>
          <w:p w14:paraId="0D1E0C5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&lt;10</w:t>
            </w:r>
          </w:p>
        </w:tc>
        <w:tc>
          <w:tcPr>
            <w:tcW w:w="330" w:type="pct"/>
            <w:tcBorders>
              <w:top w:val="nil"/>
              <w:left w:val="nil"/>
              <w:bottom w:val="single" w:sz="4" w:space="0" w:color="auto"/>
              <w:right w:val="single" w:sz="4" w:space="0" w:color="auto"/>
            </w:tcBorders>
            <w:shd w:val="clear" w:color="auto" w:fill="auto"/>
            <w:vAlign w:val="center"/>
            <w:hideMark/>
          </w:tcPr>
          <w:p w14:paraId="54CCC20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c>
          <w:tcPr>
            <w:tcW w:w="493" w:type="pct"/>
            <w:tcBorders>
              <w:top w:val="nil"/>
              <w:left w:val="nil"/>
              <w:bottom w:val="single" w:sz="4" w:space="0" w:color="auto"/>
              <w:right w:val="single" w:sz="4" w:space="0" w:color="auto"/>
            </w:tcBorders>
            <w:shd w:val="clear" w:color="auto" w:fill="auto"/>
            <w:vAlign w:val="center"/>
            <w:hideMark/>
          </w:tcPr>
          <w:p w14:paraId="4E3D08A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11</w:t>
            </w:r>
          </w:p>
        </w:tc>
        <w:tc>
          <w:tcPr>
            <w:tcW w:w="565" w:type="pct"/>
            <w:tcBorders>
              <w:top w:val="nil"/>
              <w:left w:val="nil"/>
              <w:bottom w:val="single" w:sz="4" w:space="0" w:color="auto"/>
              <w:right w:val="single" w:sz="4" w:space="0" w:color="auto"/>
            </w:tcBorders>
            <w:shd w:val="clear" w:color="auto" w:fill="auto"/>
            <w:vAlign w:val="center"/>
            <w:hideMark/>
          </w:tcPr>
          <w:p w14:paraId="16827EC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12-13</w:t>
            </w:r>
          </w:p>
        </w:tc>
        <w:tc>
          <w:tcPr>
            <w:tcW w:w="471" w:type="pct"/>
            <w:tcBorders>
              <w:top w:val="nil"/>
              <w:left w:val="nil"/>
              <w:bottom w:val="single" w:sz="4" w:space="0" w:color="auto"/>
              <w:right w:val="single" w:sz="4" w:space="0" w:color="auto"/>
            </w:tcBorders>
            <w:shd w:val="clear" w:color="auto" w:fill="auto"/>
            <w:hideMark/>
          </w:tcPr>
          <w:p w14:paraId="27479A4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14</w:t>
            </w:r>
          </w:p>
        </w:tc>
        <w:tc>
          <w:tcPr>
            <w:tcW w:w="428" w:type="pct"/>
            <w:tcBorders>
              <w:top w:val="nil"/>
              <w:left w:val="nil"/>
              <w:bottom w:val="single" w:sz="4" w:space="0" w:color="auto"/>
              <w:right w:val="single" w:sz="4" w:space="0" w:color="auto"/>
            </w:tcBorders>
            <w:shd w:val="clear" w:color="auto" w:fill="auto"/>
            <w:hideMark/>
          </w:tcPr>
          <w:p w14:paraId="00F554E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15-16</w:t>
            </w:r>
          </w:p>
        </w:tc>
        <w:tc>
          <w:tcPr>
            <w:tcW w:w="888" w:type="pct"/>
            <w:tcBorders>
              <w:top w:val="nil"/>
              <w:left w:val="nil"/>
              <w:bottom w:val="single" w:sz="4" w:space="0" w:color="auto"/>
              <w:right w:val="single" w:sz="4" w:space="0" w:color="auto"/>
            </w:tcBorders>
            <w:shd w:val="clear" w:color="auto" w:fill="auto"/>
            <w:hideMark/>
          </w:tcPr>
          <w:p w14:paraId="5EC7F37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17-20</w:t>
            </w:r>
          </w:p>
        </w:tc>
      </w:tr>
      <w:tr w:rsidR="00A653CA" w:rsidRPr="00A653CA" w14:paraId="1714A439"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60FFF830"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3</w:t>
            </w:r>
          </w:p>
        </w:tc>
        <w:tc>
          <w:tcPr>
            <w:tcW w:w="1236" w:type="pct"/>
            <w:tcBorders>
              <w:top w:val="nil"/>
              <w:left w:val="nil"/>
              <w:bottom w:val="single" w:sz="4" w:space="0" w:color="auto"/>
              <w:right w:val="single" w:sz="4" w:space="0" w:color="auto"/>
            </w:tcBorders>
            <w:shd w:val="clear" w:color="auto" w:fill="auto"/>
            <w:noWrap/>
            <w:vAlign w:val="bottom"/>
            <w:hideMark/>
          </w:tcPr>
          <w:p w14:paraId="56E140F2"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GJERMANI</w:t>
            </w:r>
          </w:p>
        </w:tc>
        <w:tc>
          <w:tcPr>
            <w:tcW w:w="346" w:type="pct"/>
            <w:tcBorders>
              <w:top w:val="nil"/>
              <w:left w:val="nil"/>
              <w:bottom w:val="single" w:sz="4" w:space="0" w:color="auto"/>
              <w:right w:val="single" w:sz="4" w:space="0" w:color="auto"/>
            </w:tcBorders>
            <w:shd w:val="clear" w:color="auto" w:fill="auto"/>
            <w:noWrap/>
            <w:vAlign w:val="center"/>
            <w:hideMark/>
          </w:tcPr>
          <w:p w14:paraId="1A85794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4.1-5.0 </w:t>
            </w:r>
          </w:p>
        </w:tc>
        <w:tc>
          <w:tcPr>
            <w:tcW w:w="330" w:type="pct"/>
            <w:tcBorders>
              <w:top w:val="nil"/>
              <w:left w:val="nil"/>
              <w:bottom w:val="single" w:sz="4" w:space="0" w:color="auto"/>
              <w:right w:val="nil"/>
            </w:tcBorders>
            <w:shd w:val="clear" w:color="auto" w:fill="auto"/>
            <w:noWrap/>
            <w:vAlign w:val="center"/>
            <w:hideMark/>
          </w:tcPr>
          <w:p w14:paraId="0D89775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w:t>
            </w:r>
          </w:p>
        </w:tc>
        <w:tc>
          <w:tcPr>
            <w:tcW w:w="493" w:type="pct"/>
            <w:tcBorders>
              <w:top w:val="nil"/>
              <w:left w:val="nil"/>
              <w:bottom w:val="single" w:sz="4" w:space="0" w:color="auto"/>
              <w:right w:val="single" w:sz="4" w:space="0" w:color="auto"/>
            </w:tcBorders>
            <w:shd w:val="clear" w:color="auto" w:fill="auto"/>
            <w:noWrap/>
            <w:vAlign w:val="center"/>
            <w:hideMark/>
          </w:tcPr>
          <w:p w14:paraId="6DB3744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3.8-3.9</w:t>
            </w:r>
          </w:p>
        </w:tc>
        <w:tc>
          <w:tcPr>
            <w:tcW w:w="565" w:type="pct"/>
            <w:tcBorders>
              <w:top w:val="nil"/>
              <w:left w:val="nil"/>
              <w:bottom w:val="single" w:sz="4" w:space="0" w:color="auto"/>
              <w:right w:val="nil"/>
            </w:tcBorders>
            <w:shd w:val="clear" w:color="auto" w:fill="auto"/>
            <w:noWrap/>
            <w:vAlign w:val="center"/>
            <w:hideMark/>
          </w:tcPr>
          <w:p w14:paraId="1880D2C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3.6-3.7</w:t>
            </w:r>
          </w:p>
        </w:tc>
        <w:tc>
          <w:tcPr>
            <w:tcW w:w="471" w:type="pct"/>
            <w:tcBorders>
              <w:top w:val="nil"/>
              <w:left w:val="single" w:sz="4" w:space="0" w:color="auto"/>
              <w:bottom w:val="single" w:sz="4" w:space="0" w:color="auto"/>
              <w:right w:val="single" w:sz="4" w:space="0" w:color="auto"/>
            </w:tcBorders>
            <w:shd w:val="clear" w:color="auto" w:fill="auto"/>
            <w:noWrap/>
            <w:vAlign w:val="center"/>
            <w:hideMark/>
          </w:tcPr>
          <w:p w14:paraId="212340C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2.6-3.5 </w:t>
            </w:r>
          </w:p>
        </w:tc>
        <w:tc>
          <w:tcPr>
            <w:tcW w:w="428" w:type="pct"/>
            <w:tcBorders>
              <w:top w:val="nil"/>
              <w:left w:val="nil"/>
              <w:bottom w:val="single" w:sz="4" w:space="0" w:color="auto"/>
              <w:right w:val="single" w:sz="4" w:space="0" w:color="auto"/>
            </w:tcBorders>
            <w:shd w:val="clear" w:color="auto" w:fill="auto"/>
            <w:noWrap/>
            <w:vAlign w:val="center"/>
            <w:hideMark/>
          </w:tcPr>
          <w:p w14:paraId="6078473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1.6-2.5 </w:t>
            </w:r>
          </w:p>
        </w:tc>
        <w:tc>
          <w:tcPr>
            <w:tcW w:w="888" w:type="pct"/>
            <w:tcBorders>
              <w:top w:val="nil"/>
              <w:left w:val="nil"/>
              <w:bottom w:val="single" w:sz="4" w:space="0" w:color="auto"/>
              <w:right w:val="single" w:sz="4" w:space="0" w:color="auto"/>
            </w:tcBorders>
            <w:shd w:val="clear" w:color="auto" w:fill="auto"/>
            <w:noWrap/>
            <w:vAlign w:val="center"/>
            <w:hideMark/>
          </w:tcPr>
          <w:p w14:paraId="0150E2A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1-1.5 </w:t>
            </w:r>
          </w:p>
        </w:tc>
      </w:tr>
      <w:tr w:rsidR="00A653CA" w:rsidRPr="00A653CA" w14:paraId="1080481C"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0DECD9FB"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4</w:t>
            </w:r>
          </w:p>
        </w:tc>
        <w:tc>
          <w:tcPr>
            <w:tcW w:w="1236" w:type="pct"/>
            <w:tcBorders>
              <w:top w:val="nil"/>
              <w:left w:val="nil"/>
              <w:bottom w:val="single" w:sz="4" w:space="0" w:color="auto"/>
              <w:right w:val="single" w:sz="4" w:space="0" w:color="auto"/>
            </w:tcBorders>
            <w:shd w:val="clear" w:color="auto" w:fill="auto"/>
            <w:noWrap/>
            <w:vAlign w:val="bottom"/>
            <w:hideMark/>
          </w:tcPr>
          <w:p w14:paraId="527324C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HOLANDË</w:t>
            </w:r>
          </w:p>
        </w:tc>
        <w:tc>
          <w:tcPr>
            <w:tcW w:w="346" w:type="pct"/>
            <w:tcBorders>
              <w:top w:val="nil"/>
              <w:left w:val="nil"/>
              <w:bottom w:val="single" w:sz="4" w:space="0" w:color="auto"/>
              <w:right w:val="single" w:sz="4" w:space="0" w:color="auto"/>
            </w:tcBorders>
            <w:shd w:val="clear" w:color="auto" w:fill="auto"/>
            <w:noWrap/>
            <w:vAlign w:val="bottom"/>
            <w:hideMark/>
          </w:tcPr>
          <w:p w14:paraId="2657878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0-5</w:t>
            </w:r>
          </w:p>
        </w:tc>
        <w:tc>
          <w:tcPr>
            <w:tcW w:w="330" w:type="pct"/>
            <w:tcBorders>
              <w:top w:val="nil"/>
              <w:left w:val="nil"/>
              <w:bottom w:val="single" w:sz="4" w:space="0" w:color="auto"/>
              <w:right w:val="single" w:sz="4" w:space="0" w:color="auto"/>
            </w:tcBorders>
            <w:shd w:val="clear" w:color="auto" w:fill="auto"/>
            <w:noWrap/>
            <w:vAlign w:val="bottom"/>
            <w:hideMark/>
          </w:tcPr>
          <w:p w14:paraId="06F821D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1058"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7837D58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6-7.49</w:t>
            </w:r>
          </w:p>
        </w:tc>
        <w:tc>
          <w:tcPr>
            <w:tcW w:w="471" w:type="pct"/>
            <w:tcBorders>
              <w:top w:val="nil"/>
              <w:left w:val="nil"/>
              <w:bottom w:val="single" w:sz="4" w:space="0" w:color="auto"/>
              <w:right w:val="single" w:sz="4" w:space="0" w:color="auto"/>
            </w:tcBorders>
            <w:shd w:val="clear" w:color="auto" w:fill="auto"/>
            <w:noWrap/>
            <w:vAlign w:val="bottom"/>
            <w:hideMark/>
          </w:tcPr>
          <w:p w14:paraId="110694E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7.50 - 7.99</w:t>
            </w:r>
          </w:p>
        </w:tc>
        <w:tc>
          <w:tcPr>
            <w:tcW w:w="428" w:type="pct"/>
            <w:tcBorders>
              <w:top w:val="nil"/>
              <w:left w:val="nil"/>
              <w:bottom w:val="single" w:sz="4" w:space="0" w:color="auto"/>
              <w:right w:val="single" w:sz="4" w:space="0" w:color="auto"/>
            </w:tcBorders>
            <w:shd w:val="clear" w:color="auto" w:fill="auto"/>
            <w:noWrap/>
            <w:vAlign w:val="bottom"/>
            <w:hideMark/>
          </w:tcPr>
          <w:p w14:paraId="448A152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8 - 8.49</w:t>
            </w:r>
          </w:p>
        </w:tc>
        <w:tc>
          <w:tcPr>
            <w:tcW w:w="888" w:type="pct"/>
            <w:tcBorders>
              <w:top w:val="nil"/>
              <w:left w:val="nil"/>
              <w:bottom w:val="single" w:sz="4" w:space="0" w:color="auto"/>
              <w:right w:val="single" w:sz="4" w:space="0" w:color="auto"/>
            </w:tcBorders>
            <w:shd w:val="clear" w:color="auto" w:fill="auto"/>
            <w:noWrap/>
            <w:vAlign w:val="bottom"/>
            <w:hideMark/>
          </w:tcPr>
          <w:p w14:paraId="0059CFA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8.50 - 10</w:t>
            </w:r>
          </w:p>
        </w:tc>
      </w:tr>
      <w:tr w:rsidR="00A653CA" w:rsidRPr="00A653CA" w14:paraId="2DB25E8B"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245B191D"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5</w:t>
            </w:r>
          </w:p>
        </w:tc>
        <w:tc>
          <w:tcPr>
            <w:tcW w:w="1236" w:type="pct"/>
            <w:tcBorders>
              <w:top w:val="nil"/>
              <w:left w:val="nil"/>
              <w:bottom w:val="single" w:sz="4" w:space="0" w:color="auto"/>
              <w:right w:val="single" w:sz="4" w:space="0" w:color="auto"/>
            </w:tcBorders>
            <w:shd w:val="clear" w:color="auto" w:fill="auto"/>
            <w:noWrap/>
            <w:vAlign w:val="bottom"/>
            <w:hideMark/>
          </w:tcPr>
          <w:p w14:paraId="55DF458E"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IRLANDË</w:t>
            </w:r>
          </w:p>
        </w:tc>
        <w:tc>
          <w:tcPr>
            <w:tcW w:w="346" w:type="pct"/>
            <w:tcBorders>
              <w:top w:val="nil"/>
              <w:left w:val="nil"/>
              <w:bottom w:val="single" w:sz="4" w:space="0" w:color="auto"/>
              <w:right w:val="single" w:sz="4" w:space="0" w:color="auto"/>
            </w:tcBorders>
            <w:shd w:val="clear" w:color="auto" w:fill="auto"/>
            <w:hideMark/>
          </w:tcPr>
          <w:p w14:paraId="717C4AB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0-39</w:t>
            </w:r>
          </w:p>
        </w:tc>
        <w:tc>
          <w:tcPr>
            <w:tcW w:w="330" w:type="pct"/>
            <w:tcBorders>
              <w:top w:val="nil"/>
              <w:left w:val="nil"/>
              <w:bottom w:val="single" w:sz="4" w:space="0" w:color="auto"/>
              <w:right w:val="single" w:sz="4" w:space="0" w:color="auto"/>
            </w:tcBorders>
            <w:shd w:val="clear" w:color="auto" w:fill="auto"/>
            <w:hideMark/>
          </w:tcPr>
          <w:p w14:paraId="484AA75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40-44</w:t>
            </w:r>
          </w:p>
        </w:tc>
        <w:tc>
          <w:tcPr>
            <w:tcW w:w="493" w:type="pct"/>
            <w:tcBorders>
              <w:top w:val="nil"/>
              <w:left w:val="nil"/>
              <w:bottom w:val="single" w:sz="4" w:space="0" w:color="auto"/>
              <w:right w:val="single" w:sz="4" w:space="0" w:color="auto"/>
            </w:tcBorders>
            <w:shd w:val="clear" w:color="auto" w:fill="auto"/>
            <w:hideMark/>
          </w:tcPr>
          <w:p w14:paraId="7303A22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45-49</w:t>
            </w:r>
          </w:p>
        </w:tc>
        <w:tc>
          <w:tcPr>
            <w:tcW w:w="565" w:type="pct"/>
            <w:tcBorders>
              <w:top w:val="nil"/>
              <w:left w:val="nil"/>
              <w:bottom w:val="single" w:sz="4" w:space="0" w:color="auto"/>
              <w:right w:val="single" w:sz="4" w:space="0" w:color="auto"/>
            </w:tcBorders>
            <w:shd w:val="clear" w:color="auto" w:fill="auto"/>
            <w:hideMark/>
          </w:tcPr>
          <w:p w14:paraId="6D71A12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50-59</w:t>
            </w:r>
          </w:p>
        </w:tc>
        <w:tc>
          <w:tcPr>
            <w:tcW w:w="471" w:type="pct"/>
            <w:tcBorders>
              <w:top w:val="nil"/>
              <w:left w:val="nil"/>
              <w:bottom w:val="single" w:sz="4" w:space="0" w:color="auto"/>
              <w:right w:val="single" w:sz="4" w:space="0" w:color="auto"/>
            </w:tcBorders>
            <w:shd w:val="clear" w:color="auto" w:fill="auto"/>
            <w:hideMark/>
          </w:tcPr>
          <w:p w14:paraId="3B40BC2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60-64</w:t>
            </w:r>
          </w:p>
        </w:tc>
        <w:tc>
          <w:tcPr>
            <w:tcW w:w="428" w:type="pct"/>
            <w:tcBorders>
              <w:top w:val="nil"/>
              <w:left w:val="nil"/>
              <w:bottom w:val="single" w:sz="4" w:space="0" w:color="auto"/>
              <w:right w:val="single" w:sz="4" w:space="0" w:color="auto"/>
            </w:tcBorders>
            <w:shd w:val="clear" w:color="auto" w:fill="auto"/>
            <w:hideMark/>
          </w:tcPr>
          <w:p w14:paraId="3D7FBDD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65-69</w:t>
            </w:r>
          </w:p>
        </w:tc>
        <w:tc>
          <w:tcPr>
            <w:tcW w:w="888" w:type="pct"/>
            <w:tcBorders>
              <w:top w:val="nil"/>
              <w:left w:val="nil"/>
              <w:bottom w:val="single" w:sz="4" w:space="0" w:color="auto"/>
              <w:right w:val="single" w:sz="4" w:space="0" w:color="auto"/>
            </w:tcBorders>
            <w:shd w:val="clear" w:color="auto" w:fill="auto"/>
            <w:hideMark/>
          </w:tcPr>
          <w:p w14:paraId="68A2195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70-100</w:t>
            </w:r>
          </w:p>
        </w:tc>
      </w:tr>
      <w:tr w:rsidR="00A653CA" w:rsidRPr="00A653CA" w14:paraId="552018C2"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2EE1C8B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6</w:t>
            </w:r>
          </w:p>
        </w:tc>
        <w:tc>
          <w:tcPr>
            <w:tcW w:w="1236" w:type="pct"/>
            <w:tcBorders>
              <w:top w:val="nil"/>
              <w:left w:val="nil"/>
              <w:bottom w:val="single" w:sz="4" w:space="0" w:color="auto"/>
              <w:right w:val="single" w:sz="4" w:space="0" w:color="auto"/>
            </w:tcBorders>
            <w:shd w:val="clear" w:color="auto" w:fill="auto"/>
            <w:noWrap/>
            <w:vAlign w:val="bottom"/>
            <w:hideMark/>
          </w:tcPr>
          <w:p w14:paraId="26DE2CF6"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ITALI</w:t>
            </w:r>
          </w:p>
        </w:tc>
        <w:tc>
          <w:tcPr>
            <w:tcW w:w="346" w:type="pct"/>
            <w:tcBorders>
              <w:top w:val="nil"/>
              <w:left w:val="nil"/>
              <w:bottom w:val="single" w:sz="4" w:space="0" w:color="auto"/>
              <w:right w:val="single" w:sz="4" w:space="0" w:color="auto"/>
            </w:tcBorders>
            <w:shd w:val="clear" w:color="auto" w:fill="auto"/>
            <w:hideMark/>
          </w:tcPr>
          <w:p w14:paraId="346FA55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0-17</w:t>
            </w:r>
          </w:p>
        </w:tc>
        <w:tc>
          <w:tcPr>
            <w:tcW w:w="330" w:type="pct"/>
            <w:tcBorders>
              <w:top w:val="nil"/>
              <w:left w:val="nil"/>
              <w:bottom w:val="single" w:sz="4" w:space="0" w:color="auto"/>
              <w:right w:val="single" w:sz="4" w:space="0" w:color="auto"/>
            </w:tcBorders>
            <w:shd w:val="clear" w:color="auto" w:fill="auto"/>
            <w:hideMark/>
          </w:tcPr>
          <w:p w14:paraId="3A2701D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18-19 </w:t>
            </w:r>
          </w:p>
        </w:tc>
        <w:tc>
          <w:tcPr>
            <w:tcW w:w="493" w:type="pct"/>
            <w:tcBorders>
              <w:top w:val="nil"/>
              <w:left w:val="nil"/>
              <w:bottom w:val="single" w:sz="4" w:space="0" w:color="auto"/>
              <w:right w:val="single" w:sz="4" w:space="0" w:color="auto"/>
            </w:tcBorders>
            <w:shd w:val="clear" w:color="auto" w:fill="auto"/>
            <w:hideMark/>
          </w:tcPr>
          <w:p w14:paraId="057EDCB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20-21 </w:t>
            </w:r>
          </w:p>
        </w:tc>
        <w:tc>
          <w:tcPr>
            <w:tcW w:w="565" w:type="pct"/>
            <w:tcBorders>
              <w:top w:val="nil"/>
              <w:left w:val="nil"/>
              <w:bottom w:val="single" w:sz="4" w:space="0" w:color="auto"/>
              <w:right w:val="single" w:sz="4" w:space="0" w:color="auto"/>
            </w:tcBorders>
            <w:shd w:val="clear" w:color="auto" w:fill="auto"/>
            <w:hideMark/>
          </w:tcPr>
          <w:p w14:paraId="6EE62E1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22-23 </w:t>
            </w:r>
          </w:p>
        </w:tc>
        <w:tc>
          <w:tcPr>
            <w:tcW w:w="471" w:type="pct"/>
            <w:tcBorders>
              <w:top w:val="nil"/>
              <w:left w:val="nil"/>
              <w:bottom w:val="single" w:sz="4" w:space="0" w:color="auto"/>
              <w:right w:val="single" w:sz="4" w:space="0" w:color="auto"/>
            </w:tcBorders>
            <w:shd w:val="clear" w:color="auto" w:fill="auto"/>
            <w:hideMark/>
          </w:tcPr>
          <w:p w14:paraId="0F844CB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24-26</w:t>
            </w:r>
          </w:p>
        </w:tc>
        <w:tc>
          <w:tcPr>
            <w:tcW w:w="428" w:type="pct"/>
            <w:tcBorders>
              <w:top w:val="nil"/>
              <w:left w:val="nil"/>
              <w:bottom w:val="single" w:sz="4" w:space="0" w:color="auto"/>
              <w:right w:val="single" w:sz="4" w:space="0" w:color="auto"/>
            </w:tcBorders>
            <w:shd w:val="clear" w:color="auto" w:fill="auto"/>
            <w:hideMark/>
          </w:tcPr>
          <w:p w14:paraId="617F6F8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27-28 </w:t>
            </w:r>
          </w:p>
        </w:tc>
        <w:tc>
          <w:tcPr>
            <w:tcW w:w="888" w:type="pct"/>
            <w:tcBorders>
              <w:top w:val="nil"/>
              <w:left w:val="nil"/>
              <w:bottom w:val="single" w:sz="4" w:space="0" w:color="auto"/>
              <w:right w:val="single" w:sz="4" w:space="0" w:color="auto"/>
            </w:tcBorders>
            <w:shd w:val="clear" w:color="auto" w:fill="auto"/>
            <w:hideMark/>
          </w:tcPr>
          <w:p w14:paraId="70E67B9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29-30</w:t>
            </w:r>
          </w:p>
        </w:tc>
      </w:tr>
      <w:tr w:rsidR="00A653CA" w:rsidRPr="00A653CA" w14:paraId="608CBB80"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4B62C0A3"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7</w:t>
            </w:r>
          </w:p>
        </w:tc>
        <w:tc>
          <w:tcPr>
            <w:tcW w:w="1236" w:type="pct"/>
            <w:tcBorders>
              <w:top w:val="nil"/>
              <w:left w:val="nil"/>
              <w:bottom w:val="single" w:sz="4" w:space="0" w:color="auto"/>
              <w:right w:val="single" w:sz="4" w:space="0" w:color="auto"/>
            </w:tcBorders>
            <w:shd w:val="clear" w:color="auto" w:fill="auto"/>
            <w:noWrap/>
            <w:vAlign w:val="bottom"/>
            <w:hideMark/>
          </w:tcPr>
          <w:p w14:paraId="26851837"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KANADA</w:t>
            </w:r>
          </w:p>
        </w:tc>
        <w:tc>
          <w:tcPr>
            <w:tcW w:w="346" w:type="pct"/>
            <w:tcBorders>
              <w:top w:val="nil"/>
              <w:left w:val="nil"/>
              <w:bottom w:val="single" w:sz="4" w:space="0" w:color="auto"/>
              <w:right w:val="single" w:sz="4" w:space="0" w:color="auto"/>
            </w:tcBorders>
            <w:shd w:val="clear" w:color="auto" w:fill="auto"/>
            <w:noWrap/>
            <w:vAlign w:val="bottom"/>
            <w:hideMark/>
          </w:tcPr>
          <w:p w14:paraId="5AFEB82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330" w:type="pct"/>
            <w:tcBorders>
              <w:top w:val="nil"/>
              <w:left w:val="nil"/>
              <w:bottom w:val="single" w:sz="4" w:space="0" w:color="auto"/>
              <w:right w:val="single" w:sz="4" w:space="0" w:color="auto"/>
            </w:tcBorders>
            <w:shd w:val="clear" w:color="auto" w:fill="auto"/>
            <w:noWrap/>
            <w:vAlign w:val="bottom"/>
            <w:hideMark/>
          </w:tcPr>
          <w:p w14:paraId="78EB25D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50-52</w:t>
            </w:r>
          </w:p>
        </w:tc>
        <w:tc>
          <w:tcPr>
            <w:tcW w:w="493" w:type="pct"/>
            <w:tcBorders>
              <w:top w:val="nil"/>
              <w:left w:val="nil"/>
              <w:bottom w:val="single" w:sz="4" w:space="0" w:color="auto"/>
              <w:right w:val="single" w:sz="4" w:space="0" w:color="auto"/>
            </w:tcBorders>
            <w:shd w:val="clear" w:color="auto" w:fill="auto"/>
            <w:noWrap/>
            <w:vAlign w:val="bottom"/>
            <w:hideMark/>
          </w:tcPr>
          <w:p w14:paraId="70170D4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53-55</w:t>
            </w:r>
          </w:p>
        </w:tc>
        <w:tc>
          <w:tcPr>
            <w:tcW w:w="565" w:type="pct"/>
            <w:tcBorders>
              <w:top w:val="nil"/>
              <w:left w:val="nil"/>
              <w:bottom w:val="single" w:sz="4" w:space="0" w:color="auto"/>
              <w:right w:val="single" w:sz="4" w:space="0" w:color="auto"/>
            </w:tcBorders>
            <w:shd w:val="clear" w:color="auto" w:fill="auto"/>
            <w:noWrap/>
            <w:vAlign w:val="bottom"/>
            <w:hideMark/>
          </w:tcPr>
          <w:p w14:paraId="3F665AB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56-59</w:t>
            </w:r>
          </w:p>
        </w:tc>
        <w:tc>
          <w:tcPr>
            <w:tcW w:w="471" w:type="pct"/>
            <w:tcBorders>
              <w:top w:val="nil"/>
              <w:left w:val="nil"/>
              <w:bottom w:val="single" w:sz="4" w:space="0" w:color="auto"/>
              <w:right w:val="single" w:sz="4" w:space="0" w:color="auto"/>
            </w:tcBorders>
            <w:shd w:val="clear" w:color="auto" w:fill="auto"/>
            <w:noWrap/>
            <w:vAlign w:val="bottom"/>
            <w:hideMark/>
          </w:tcPr>
          <w:p w14:paraId="54B27E7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60-69</w:t>
            </w:r>
          </w:p>
        </w:tc>
        <w:tc>
          <w:tcPr>
            <w:tcW w:w="428" w:type="pct"/>
            <w:tcBorders>
              <w:top w:val="nil"/>
              <w:left w:val="nil"/>
              <w:bottom w:val="single" w:sz="4" w:space="0" w:color="auto"/>
              <w:right w:val="single" w:sz="4" w:space="0" w:color="auto"/>
            </w:tcBorders>
            <w:shd w:val="clear" w:color="auto" w:fill="auto"/>
            <w:noWrap/>
            <w:vAlign w:val="bottom"/>
            <w:hideMark/>
          </w:tcPr>
          <w:p w14:paraId="5EAB45B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70-79</w:t>
            </w:r>
          </w:p>
        </w:tc>
        <w:tc>
          <w:tcPr>
            <w:tcW w:w="888" w:type="pct"/>
            <w:tcBorders>
              <w:top w:val="nil"/>
              <w:left w:val="nil"/>
              <w:bottom w:val="single" w:sz="4" w:space="0" w:color="auto"/>
              <w:right w:val="single" w:sz="4" w:space="0" w:color="auto"/>
            </w:tcBorders>
            <w:shd w:val="clear" w:color="auto" w:fill="auto"/>
            <w:noWrap/>
            <w:vAlign w:val="bottom"/>
            <w:hideMark/>
          </w:tcPr>
          <w:p w14:paraId="6B9F7D0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80-100</w:t>
            </w:r>
          </w:p>
        </w:tc>
      </w:tr>
      <w:tr w:rsidR="00A653CA" w:rsidRPr="00A653CA" w14:paraId="0EF4ED01"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120219CF"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8</w:t>
            </w:r>
          </w:p>
        </w:tc>
        <w:tc>
          <w:tcPr>
            <w:tcW w:w="1236" w:type="pct"/>
            <w:tcBorders>
              <w:top w:val="nil"/>
              <w:left w:val="nil"/>
              <w:bottom w:val="single" w:sz="4" w:space="0" w:color="auto"/>
              <w:right w:val="single" w:sz="4" w:space="0" w:color="auto"/>
            </w:tcBorders>
            <w:shd w:val="clear" w:color="auto" w:fill="auto"/>
            <w:noWrap/>
            <w:vAlign w:val="bottom"/>
            <w:hideMark/>
          </w:tcPr>
          <w:p w14:paraId="75A4DAC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MBRETËRIA E BASHKUAR</w:t>
            </w:r>
          </w:p>
        </w:tc>
        <w:tc>
          <w:tcPr>
            <w:tcW w:w="346" w:type="pct"/>
            <w:tcBorders>
              <w:top w:val="nil"/>
              <w:left w:val="nil"/>
              <w:bottom w:val="single" w:sz="4" w:space="0" w:color="auto"/>
              <w:right w:val="single" w:sz="4" w:space="0" w:color="auto"/>
            </w:tcBorders>
            <w:shd w:val="clear" w:color="auto" w:fill="auto"/>
            <w:vAlign w:val="center"/>
            <w:hideMark/>
          </w:tcPr>
          <w:p w14:paraId="506A40E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0-39</w:t>
            </w:r>
          </w:p>
        </w:tc>
        <w:tc>
          <w:tcPr>
            <w:tcW w:w="330" w:type="pct"/>
            <w:tcBorders>
              <w:top w:val="nil"/>
              <w:left w:val="nil"/>
              <w:bottom w:val="single" w:sz="4" w:space="0" w:color="auto"/>
              <w:right w:val="single" w:sz="4" w:space="0" w:color="auto"/>
            </w:tcBorders>
            <w:shd w:val="clear" w:color="auto" w:fill="auto"/>
            <w:vAlign w:val="center"/>
            <w:hideMark/>
          </w:tcPr>
          <w:p w14:paraId="174825A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40-42</w:t>
            </w:r>
          </w:p>
        </w:tc>
        <w:tc>
          <w:tcPr>
            <w:tcW w:w="493" w:type="pct"/>
            <w:tcBorders>
              <w:top w:val="nil"/>
              <w:left w:val="nil"/>
              <w:bottom w:val="single" w:sz="4" w:space="0" w:color="auto"/>
              <w:right w:val="single" w:sz="4" w:space="0" w:color="auto"/>
            </w:tcBorders>
            <w:shd w:val="clear" w:color="auto" w:fill="auto"/>
            <w:vAlign w:val="center"/>
            <w:hideMark/>
          </w:tcPr>
          <w:p w14:paraId="45D91B5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43-45</w:t>
            </w:r>
          </w:p>
        </w:tc>
        <w:tc>
          <w:tcPr>
            <w:tcW w:w="565" w:type="pct"/>
            <w:tcBorders>
              <w:top w:val="nil"/>
              <w:left w:val="nil"/>
              <w:bottom w:val="single" w:sz="4" w:space="0" w:color="auto"/>
              <w:right w:val="single" w:sz="4" w:space="0" w:color="auto"/>
            </w:tcBorders>
            <w:shd w:val="clear" w:color="auto" w:fill="auto"/>
            <w:vAlign w:val="center"/>
            <w:hideMark/>
          </w:tcPr>
          <w:p w14:paraId="34FA776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46-49</w:t>
            </w:r>
          </w:p>
        </w:tc>
        <w:tc>
          <w:tcPr>
            <w:tcW w:w="471" w:type="pct"/>
            <w:tcBorders>
              <w:top w:val="nil"/>
              <w:left w:val="nil"/>
              <w:bottom w:val="single" w:sz="4" w:space="0" w:color="auto"/>
              <w:right w:val="single" w:sz="4" w:space="0" w:color="auto"/>
            </w:tcBorders>
            <w:shd w:val="clear" w:color="auto" w:fill="auto"/>
            <w:vAlign w:val="center"/>
            <w:hideMark/>
          </w:tcPr>
          <w:p w14:paraId="07C3770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50-59</w:t>
            </w:r>
          </w:p>
        </w:tc>
        <w:tc>
          <w:tcPr>
            <w:tcW w:w="428" w:type="pct"/>
            <w:tcBorders>
              <w:top w:val="nil"/>
              <w:left w:val="nil"/>
              <w:bottom w:val="single" w:sz="4" w:space="0" w:color="auto"/>
              <w:right w:val="single" w:sz="4" w:space="0" w:color="auto"/>
            </w:tcBorders>
            <w:shd w:val="clear" w:color="auto" w:fill="auto"/>
            <w:vAlign w:val="center"/>
            <w:hideMark/>
          </w:tcPr>
          <w:p w14:paraId="70B8E08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60-69</w:t>
            </w:r>
          </w:p>
        </w:tc>
        <w:tc>
          <w:tcPr>
            <w:tcW w:w="888" w:type="pct"/>
            <w:tcBorders>
              <w:top w:val="nil"/>
              <w:left w:val="nil"/>
              <w:bottom w:val="single" w:sz="4" w:space="0" w:color="auto"/>
              <w:right w:val="single" w:sz="4" w:space="0" w:color="auto"/>
            </w:tcBorders>
            <w:shd w:val="clear" w:color="auto" w:fill="auto"/>
            <w:vAlign w:val="center"/>
            <w:hideMark/>
          </w:tcPr>
          <w:p w14:paraId="7F8AE80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70-100</w:t>
            </w:r>
          </w:p>
        </w:tc>
      </w:tr>
      <w:tr w:rsidR="00A653CA" w:rsidRPr="00A653CA" w14:paraId="4111AA66"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6534EE57"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9</w:t>
            </w:r>
          </w:p>
        </w:tc>
        <w:tc>
          <w:tcPr>
            <w:tcW w:w="1236" w:type="pct"/>
            <w:tcBorders>
              <w:top w:val="nil"/>
              <w:left w:val="nil"/>
              <w:bottom w:val="single" w:sz="4" w:space="0" w:color="auto"/>
              <w:right w:val="single" w:sz="4" w:space="0" w:color="auto"/>
            </w:tcBorders>
            <w:shd w:val="clear" w:color="auto" w:fill="auto"/>
            <w:noWrap/>
            <w:vAlign w:val="bottom"/>
            <w:hideMark/>
          </w:tcPr>
          <w:p w14:paraId="3AA87B8A"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PORTUGALI</w:t>
            </w:r>
          </w:p>
        </w:tc>
        <w:tc>
          <w:tcPr>
            <w:tcW w:w="346" w:type="pct"/>
            <w:tcBorders>
              <w:top w:val="nil"/>
              <w:left w:val="nil"/>
              <w:bottom w:val="single" w:sz="4" w:space="0" w:color="auto"/>
              <w:right w:val="single" w:sz="4" w:space="0" w:color="auto"/>
            </w:tcBorders>
            <w:shd w:val="clear" w:color="auto" w:fill="auto"/>
            <w:noWrap/>
            <w:hideMark/>
          </w:tcPr>
          <w:p w14:paraId="6C98213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0-9</w:t>
            </w:r>
          </w:p>
        </w:tc>
        <w:tc>
          <w:tcPr>
            <w:tcW w:w="822" w:type="pct"/>
            <w:gridSpan w:val="2"/>
            <w:tcBorders>
              <w:top w:val="single" w:sz="4" w:space="0" w:color="auto"/>
              <w:left w:val="nil"/>
              <w:bottom w:val="single" w:sz="4" w:space="0" w:color="auto"/>
              <w:right w:val="single" w:sz="4" w:space="0" w:color="auto"/>
            </w:tcBorders>
            <w:shd w:val="clear" w:color="auto" w:fill="auto"/>
            <w:hideMark/>
          </w:tcPr>
          <w:p w14:paraId="234025A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10-13</w:t>
            </w:r>
          </w:p>
        </w:tc>
        <w:tc>
          <w:tcPr>
            <w:tcW w:w="1036" w:type="pct"/>
            <w:gridSpan w:val="2"/>
            <w:tcBorders>
              <w:top w:val="single" w:sz="4" w:space="0" w:color="auto"/>
              <w:left w:val="nil"/>
              <w:bottom w:val="single" w:sz="4" w:space="0" w:color="auto"/>
              <w:right w:val="single" w:sz="4" w:space="0" w:color="auto"/>
            </w:tcBorders>
            <w:shd w:val="clear" w:color="auto" w:fill="auto"/>
            <w:hideMark/>
          </w:tcPr>
          <w:p w14:paraId="6EF0971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14-15 </w:t>
            </w:r>
          </w:p>
        </w:tc>
        <w:tc>
          <w:tcPr>
            <w:tcW w:w="428" w:type="pct"/>
            <w:tcBorders>
              <w:top w:val="nil"/>
              <w:left w:val="nil"/>
              <w:bottom w:val="single" w:sz="4" w:space="0" w:color="auto"/>
              <w:right w:val="single" w:sz="4" w:space="0" w:color="auto"/>
            </w:tcBorders>
            <w:shd w:val="clear" w:color="auto" w:fill="auto"/>
            <w:hideMark/>
          </w:tcPr>
          <w:p w14:paraId="1EE0FBA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16-17 </w:t>
            </w:r>
          </w:p>
        </w:tc>
        <w:tc>
          <w:tcPr>
            <w:tcW w:w="888" w:type="pct"/>
            <w:tcBorders>
              <w:top w:val="nil"/>
              <w:left w:val="nil"/>
              <w:bottom w:val="single" w:sz="4" w:space="0" w:color="auto"/>
              <w:right w:val="single" w:sz="4" w:space="0" w:color="auto"/>
            </w:tcBorders>
            <w:shd w:val="clear" w:color="auto" w:fill="auto"/>
            <w:hideMark/>
          </w:tcPr>
          <w:p w14:paraId="3823662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18-20</w:t>
            </w:r>
          </w:p>
        </w:tc>
      </w:tr>
      <w:tr w:rsidR="00A653CA" w:rsidRPr="00A653CA" w14:paraId="51CAF868"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5DC2DD8D"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10</w:t>
            </w:r>
          </w:p>
        </w:tc>
        <w:tc>
          <w:tcPr>
            <w:tcW w:w="1236" w:type="pct"/>
            <w:tcBorders>
              <w:top w:val="nil"/>
              <w:left w:val="nil"/>
              <w:bottom w:val="single" w:sz="4" w:space="0" w:color="auto"/>
              <w:right w:val="single" w:sz="4" w:space="0" w:color="auto"/>
            </w:tcBorders>
            <w:shd w:val="clear" w:color="auto" w:fill="auto"/>
            <w:noWrap/>
            <w:vAlign w:val="bottom"/>
            <w:hideMark/>
          </w:tcPr>
          <w:p w14:paraId="17BA438A"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SHBA</w:t>
            </w:r>
          </w:p>
        </w:tc>
        <w:tc>
          <w:tcPr>
            <w:tcW w:w="346" w:type="pct"/>
            <w:tcBorders>
              <w:top w:val="nil"/>
              <w:left w:val="nil"/>
              <w:bottom w:val="single" w:sz="4" w:space="0" w:color="auto"/>
              <w:right w:val="single" w:sz="4" w:space="0" w:color="auto"/>
            </w:tcBorders>
            <w:shd w:val="clear" w:color="auto" w:fill="auto"/>
            <w:vAlign w:val="center"/>
            <w:hideMark/>
          </w:tcPr>
          <w:p w14:paraId="5FBDCC6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0-59</w:t>
            </w:r>
          </w:p>
        </w:tc>
        <w:tc>
          <w:tcPr>
            <w:tcW w:w="822" w:type="pct"/>
            <w:gridSpan w:val="2"/>
            <w:tcBorders>
              <w:top w:val="single" w:sz="4" w:space="0" w:color="auto"/>
              <w:left w:val="nil"/>
              <w:bottom w:val="single" w:sz="4" w:space="0" w:color="auto"/>
              <w:right w:val="single" w:sz="4" w:space="0" w:color="auto"/>
            </w:tcBorders>
            <w:shd w:val="clear" w:color="auto" w:fill="auto"/>
            <w:noWrap/>
            <w:vAlign w:val="bottom"/>
            <w:hideMark/>
          </w:tcPr>
          <w:p w14:paraId="0F56E83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60-69</w:t>
            </w:r>
          </w:p>
        </w:tc>
        <w:tc>
          <w:tcPr>
            <w:tcW w:w="565" w:type="pct"/>
            <w:tcBorders>
              <w:top w:val="nil"/>
              <w:left w:val="nil"/>
              <w:bottom w:val="single" w:sz="4" w:space="0" w:color="auto"/>
              <w:right w:val="single" w:sz="4" w:space="0" w:color="auto"/>
            </w:tcBorders>
            <w:shd w:val="clear" w:color="auto" w:fill="auto"/>
            <w:noWrap/>
            <w:vAlign w:val="bottom"/>
            <w:hideMark/>
          </w:tcPr>
          <w:p w14:paraId="1416DE7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70-76</w:t>
            </w:r>
          </w:p>
        </w:tc>
        <w:tc>
          <w:tcPr>
            <w:tcW w:w="471" w:type="pct"/>
            <w:tcBorders>
              <w:top w:val="nil"/>
              <w:left w:val="nil"/>
              <w:bottom w:val="single" w:sz="4" w:space="0" w:color="auto"/>
              <w:right w:val="single" w:sz="4" w:space="0" w:color="auto"/>
            </w:tcBorders>
            <w:shd w:val="clear" w:color="auto" w:fill="auto"/>
            <w:noWrap/>
            <w:vAlign w:val="bottom"/>
            <w:hideMark/>
          </w:tcPr>
          <w:p w14:paraId="4C626C2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77-82</w:t>
            </w:r>
          </w:p>
        </w:tc>
        <w:tc>
          <w:tcPr>
            <w:tcW w:w="428" w:type="pct"/>
            <w:tcBorders>
              <w:top w:val="nil"/>
              <w:left w:val="nil"/>
              <w:bottom w:val="single" w:sz="4" w:space="0" w:color="auto"/>
              <w:right w:val="single" w:sz="4" w:space="0" w:color="auto"/>
            </w:tcBorders>
            <w:shd w:val="clear" w:color="auto" w:fill="auto"/>
            <w:noWrap/>
            <w:vAlign w:val="bottom"/>
            <w:hideMark/>
          </w:tcPr>
          <w:p w14:paraId="76DCE37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83-89</w:t>
            </w:r>
          </w:p>
        </w:tc>
        <w:tc>
          <w:tcPr>
            <w:tcW w:w="888" w:type="pct"/>
            <w:tcBorders>
              <w:top w:val="nil"/>
              <w:left w:val="nil"/>
              <w:bottom w:val="single" w:sz="4" w:space="0" w:color="auto"/>
              <w:right w:val="single" w:sz="4" w:space="0" w:color="auto"/>
            </w:tcBorders>
            <w:shd w:val="clear" w:color="auto" w:fill="auto"/>
            <w:noWrap/>
            <w:vAlign w:val="bottom"/>
            <w:hideMark/>
          </w:tcPr>
          <w:p w14:paraId="130F6CB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90-100</w:t>
            </w:r>
          </w:p>
        </w:tc>
      </w:tr>
      <w:tr w:rsidR="00A653CA" w:rsidRPr="00A653CA" w14:paraId="30A11410"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72A889A4"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11</w:t>
            </w:r>
          </w:p>
        </w:tc>
        <w:tc>
          <w:tcPr>
            <w:tcW w:w="1236" w:type="pct"/>
            <w:tcBorders>
              <w:top w:val="nil"/>
              <w:left w:val="nil"/>
              <w:bottom w:val="single" w:sz="4" w:space="0" w:color="auto"/>
              <w:right w:val="single" w:sz="4" w:space="0" w:color="auto"/>
            </w:tcBorders>
            <w:shd w:val="clear" w:color="auto" w:fill="auto"/>
            <w:noWrap/>
            <w:vAlign w:val="bottom"/>
            <w:hideMark/>
          </w:tcPr>
          <w:p w14:paraId="46B54CF1"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SPANJË</w:t>
            </w:r>
          </w:p>
        </w:tc>
        <w:tc>
          <w:tcPr>
            <w:tcW w:w="346" w:type="pct"/>
            <w:tcBorders>
              <w:top w:val="nil"/>
              <w:left w:val="nil"/>
              <w:bottom w:val="single" w:sz="4" w:space="0" w:color="auto"/>
              <w:right w:val="single" w:sz="4" w:space="0" w:color="auto"/>
            </w:tcBorders>
            <w:shd w:val="clear" w:color="auto" w:fill="auto"/>
            <w:vAlign w:val="center"/>
            <w:hideMark/>
          </w:tcPr>
          <w:p w14:paraId="345596D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822" w:type="pct"/>
            <w:gridSpan w:val="2"/>
            <w:tcBorders>
              <w:top w:val="single" w:sz="4" w:space="0" w:color="auto"/>
              <w:left w:val="nil"/>
              <w:bottom w:val="single" w:sz="4" w:space="0" w:color="auto"/>
              <w:right w:val="single" w:sz="4" w:space="0" w:color="auto"/>
            </w:tcBorders>
            <w:shd w:val="clear" w:color="auto" w:fill="auto"/>
            <w:vAlign w:val="center"/>
            <w:hideMark/>
          </w:tcPr>
          <w:p w14:paraId="52886F0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5–6.9</w:t>
            </w:r>
          </w:p>
        </w:tc>
        <w:tc>
          <w:tcPr>
            <w:tcW w:w="565" w:type="pct"/>
            <w:tcBorders>
              <w:top w:val="nil"/>
              <w:left w:val="nil"/>
              <w:bottom w:val="single" w:sz="4" w:space="0" w:color="auto"/>
              <w:right w:val="single" w:sz="4" w:space="0" w:color="auto"/>
            </w:tcBorders>
            <w:shd w:val="clear" w:color="auto" w:fill="auto"/>
            <w:vAlign w:val="center"/>
            <w:hideMark/>
          </w:tcPr>
          <w:p w14:paraId="5719215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7–7.5</w:t>
            </w:r>
          </w:p>
        </w:tc>
        <w:tc>
          <w:tcPr>
            <w:tcW w:w="471" w:type="pct"/>
            <w:tcBorders>
              <w:top w:val="nil"/>
              <w:left w:val="nil"/>
              <w:bottom w:val="single" w:sz="4" w:space="0" w:color="auto"/>
              <w:right w:val="single" w:sz="4" w:space="0" w:color="auto"/>
            </w:tcBorders>
            <w:shd w:val="clear" w:color="auto" w:fill="auto"/>
            <w:vAlign w:val="center"/>
            <w:hideMark/>
          </w:tcPr>
          <w:p w14:paraId="7A21A5E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7.6-8.2</w:t>
            </w:r>
          </w:p>
        </w:tc>
        <w:tc>
          <w:tcPr>
            <w:tcW w:w="428" w:type="pct"/>
            <w:tcBorders>
              <w:top w:val="nil"/>
              <w:left w:val="nil"/>
              <w:bottom w:val="single" w:sz="4" w:space="0" w:color="auto"/>
              <w:right w:val="single" w:sz="4" w:space="0" w:color="auto"/>
            </w:tcBorders>
            <w:shd w:val="clear" w:color="auto" w:fill="auto"/>
            <w:vAlign w:val="center"/>
            <w:hideMark/>
          </w:tcPr>
          <w:p w14:paraId="77E5924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8.3-8.9</w:t>
            </w:r>
          </w:p>
        </w:tc>
        <w:tc>
          <w:tcPr>
            <w:tcW w:w="888" w:type="pct"/>
            <w:tcBorders>
              <w:top w:val="nil"/>
              <w:left w:val="nil"/>
              <w:bottom w:val="single" w:sz="4" w:space="0" w:color="auto"/>
              <w:right w:val="single" w:sz="4" w:space="0" w:color="auto"/>
            </w:tcBorders>
            <w:shd w:val="clear" w:color="auto" w:fill="auto"/>
            <w:vAlign w:val="center"/>
            <w:hideMark/>
          </w:tcPr>
          <w:p w14:paraId="3D2ADE5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9-10</w:t>
            </w:r>
          </w:p>
        </w:tc>
      </w:tr>
      <w:tr w:rsidR="00A653CA" w:rsidRPr="00A653CA" w14:paraId="13B415F6"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2E8B7CD6"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12</w:t>
            </w:r>
          </w:p>
        </w:tc>
        <w:tc>
          <w:tcPr>
            <w:tcW w:w="1236" w:type="pct"/>
            <w:tcBorders>
              <w:top w:val="nil"/>
              <w:left w:val="nil"/>
              <w:bottom w:val="single" w:sz="4" w:space="0" w:color="auto"/>
              <w:right w:val="single" w:sz="4" w:space="0" w:color="auto"/>
            </w:tcBorders>
            <w:shd w:val="clear" w:color="auto" w:fill="auto"/>
            <w:noWrap/>
            <w:vAlign w:val="bottom"/>
            <w:hideMark/>
          </w:tcPr>
          <w:p w14:paraId="3840DB1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TURQI</w:t>
            </w:r>
          </w:p>
        </w:tc>
        <w:tc>
          <w:tcPr>
            <w:tcW w:w="346" w:type="pct"/>
            <w:tcBorders>
              <w:top w:val="nil"/>
              <w:left w:val="nil"/>
              <w:bottom w:val="single" w:sz="4" w:space="0" w:color="auto"/>
              <w:right w:val="single" w:sz="4" w:space="0" w:color="auto"/>
            </w:tcBorders>
            <w:shd w:val="clear" w:color="auto" w:fill="auto"/>
            <w:hideMark/>
          </w:tcPr>
          <w:p w14:paraId="2B2291F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330" w:type="pct"/>
            <w:tcBorders>
              <w:top w:val="nil"/>
              <w:left w:val="nil"/>
              <w:bottom w:val="single" w:sz="4" w:space="0" w:color="auto"/>
              <w:right w:val="single" w:sz="4" w:space="0" w:color="auto"/>
            </w:tcBorders>
            <w:shd w:val="clear" w:color="auto" w:fill="auto"/>
            <w:hideMark/>
          </w:tcPr>
          <w:p w14:paraId="6845C36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50-64</w:t>
            </w:r>
          </w:p>
        </w:tc>
        <w:tc>
          <w:tcPr>
            <w:tcW w:w="493" w:type="pct"/>
            <w:tcBorders>
              <w:top w:val="nil"/>
              <w:left w:val="nil"/>
              <w:bottom w:val="single" w:sz="4" w:space="0" w:color="auto"/>
              <w:right w:val="single" w:sz="4" w:space="0" w:color="auto"/>
            </w:tcBorders>
            <w:shd w:val="clear" w:color="auto" w:fill="auto"/>
            <w:hideMark/>
          </w:tcPr>
          <w:p w14:paraId="57666C7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65-69</w:t>
            </w:r>
          </w:p>
        </w:tc>
        <w:tc>
          <w:tcPr>
            <w:tcW w:w="565" w:type="pct"/>
            <w:tcBorders>
              <w:top w:val="nil"/>
              <w:left w:val="nil"/>
              <w:bottom w:val="single" w:sz="4" w:space="0" w:color="auto"/>
              <w:right w:val="single" w:sz="4" w:space="0" w:color="auto"/>
            </w:tcBorders>
            <w:shd w:val="clear" w:color="auto" w:fill="auto"/>
            <w:hideMark/>
          </w:tcPr>
          <w:p w14:paraId="0F5BB22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70-74</w:t>
            </w:r>
          </w:p>
        </w:tc>
        <w:tc>
          <w:tcPr>
            <w:tcW w:w="471" w:type="pct"/>
            <w:tcBorders>
              <w:top w:val="nil"/>
              <w:left w:val="nil"/>
              <w:bottom w:val="single" w:sz="4" w:space="0" w:color="auto"/>
              <w:right w:val="single" w:sz="4" w:space="0" w:color="auto"/>
            </w:tcBorders>
            <w:shd w:val="clear" w:color="auto" w:fill="auto"/>
            <w:hideMark/>
          </w:tcPr>
          <w:p w14:paraId="4BCD458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75-79</w:t>
            </w:r>
          </w:p>
        </w:tc>
        <w:tc>
          <w:tcPr>
            <w:tcW w:w="428" w:type="pct"/>
            <w:tcBorders>
              <w:top w:val="nil"/>
              <w:left w:val="nil"/>
              <w:bottom w:val="single" w:sz="4" w:space="0" w:color="auto"/>
              <w:right w:val="single" w:sz="4" w:space="0" w:color="auto"/>
            </w:tcBorders>
            <w:shd w:val="clear" w:color="auto" w:fill="auto"/>
            <w:hideMark/>
          </w:tcPr>
          <w:p w14:paraId="1CF00B1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80-89</w:t>
            </w:r>
          </w:p>
        </w:tc>
        <w:tc>
          <w:tcPr>
            <w:tcW w:w="888" w:type="pct"/>
            <w:tcBorders>
              <w:top w:val="nil"/>
              <w:left w:val="nil"/>
              <w:bottom w:val="single" w:sz="4" w:space="0" w:color="auto"/>
              <w:right w:val="single" w:sz="4" w:space="0" w:color="auto"/>
            </w:tcBorders>
            <w:shd w:val="clear" w:color="auto" w:fill="auto"/>
            <w:hideMark/>
          </w:tcPr>
          <w:p w14:paraId="3FE6C8D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90-100</w:t>
            </w:r>
          </w:p>
        </w:tc>
      </w:tr>
      <w:tr w:rsidR="00A653CA" w:rsidRPr="00A653CA" w14:paraId="1D8B797F"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7EBB2BC5"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13</w:t>
            </w:r>
          </w:p>
        </w:tc>
        <w:tc>
          <w:tcPr>
            <w:tcW w:w="1236" w:type="pct"/>
            <w:tcBorders>
              <w:top w:val="nil"/>
              <w:left w:val="nil"/>
              <w:bottom w:val="single" w:sz="4" w:space="0" w:color="auto"/>
              <w:right w:val="single" w:sz="4" w:space="0" w:color="auto"/>
            </w:tcBorders>
            <w:shd w:val="clear" w:color="auto" w:fill="auto"/>
            <w:noWrap/>
            <w:vAlign w:val="bottom"/>
            <w:hideMark/>
          </w:tcPr>
          <w:p w14:paraId="6D8B279D"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ZVICËR</w:t>
            </w:r>
          </w:p>
        </w:tc>
        <w:tc>
          <w:tcPr>
            <w:tcW w:w="346" w:type="pct"/>
            <w:tcBorders>
              <w:top w:val="nil"/>
              <w:left w:val="nil"/>
              <w:bottom w:val="single" w:sz="4" w:space="0" w:color="auto"/>
              <w:right w:val="single" w:sz="4" w:space="0" w:color="auto"/>
            </w:tcBorders>
            <w:shd w:val="clear" w:color="auto" w:fill="auto"/>
            <w:hideMark/>
          </w:tcPr>
          <w:p w14:paraId="0E7BA66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w:t>
            </w:r>
          </w:p>
        </w:tc>
        <w:tc>
          <w:tcPr>
            <w:tcW w:w="330" w:type="pct"/>
            <w:tcBorders>
              <w:top w:val="nil"/>
              <w:left w:val="nil"/>
              <w:bottom w:val="single" w:sz="4" w:space="0" w:color="auto"/>
              <w:right w:val="single" w:sz="4" w:space="0" w:color="auto"/>
            </w:tcBorders>
            <w:shd w:val="clear" w:color="auto" w:fill="auto"/>
            <w:hideMark/>
          </w:tcPr>
          <w:p w14:paraId="38AB745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hideMark/>
          </w:tcPr>
          <w:p w14:paraId="249B0CE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4-4.24</w:t>
            </w:r>
          </w:p>
        </w:tc>
        <w:tc>
          <w:tcPr>
            <w:tcW w:w="565" w:type="pct"/>
            <w:tcBorders>
              <w:top w:val="nil"/>
              <w:left w:val="nil"/>
              <w:bottom w:val="single" w:sz="4" w:space="0" w:color="auto"/>
              <w:right w:val="single" w:sz="4" w:space="0" w:color="auto"/>
            </w:tcBorders>
            <w:shd w:val="clear" w:color="auto" w:fill="auto"/>
            <w:hideMark/>
          </w:tcPr>
          <w:p w14:paraId="6B4B48A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4.25-4.49</w:t>
            </w:r>
          </w:p>
        </w:tc>
        <w:tc>
          <w:tcPr>
            <w:tcW w:w="471" w:type="pct"/>
            <w:tcBorders>
              <w:top w:val="nil"/>
              <w:left w:val="nil"/>
              <w:bottom w:val="single" w:sz="4" w:space="0" w:color="auto"/>
              <w:right w:val="single" w:sz="4" w:space="0" w:color="auto"/>
            </w:tcBorders>
            <w:shd w:val="clear" w:color="auto" w:fill="auto"/>
            <w:noWrap/>
            <w:vAlign w:val="bottom"/>
            <w:hideMark/>
          </w:tcPr>
          <w:p w14:paraId="422EC16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4.5-4.75</w:t>
            </w:r>
          </w:p>
        </w:tc>
        <w:tc>
          <w:tcPr>
            <w:tcW w:w="428" w:type="pct"/>
            <w:tcBorders>
              <w:top w:val="nil"/>
              <w:left w:val="nil"/>
              <w:bottom w:val="single" w:sz="4" w:space="0" w:color="auto"/>
              <w:right w:val="single" w:sz="4" w:space="0" w:color="auto"/>
            </w:tcBorders>
            <w:shd w:val="clear" w:color="auto" w:fill="auto"/>
            <w:noWrap/>
            <w:vAlign w:val="bottom"/>
            <w:hideMark/>
          </w:tcPr>
          <w:p w14:paraId="16BE4FC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4.76-5.25</w:t>
            </w:r>
          </w:p>
        </w:tc>
        <w:tc>
          <w:tcPr>
            <w:tcW w:w="888" w:type="pct"/>
            <w:tcBorders>
              <w:top w:val="nil"/>
              <w:left w:val="nil"/>
              <w:bottom w:val="single" w:sz="4" w:space="0" w:color="auto"/>
              <w:right w:val="single" w:sz="4" w:space="0" w:color="auto"/>
            </w:tcBorders>
            <w:shd w:val="clear" w:color="auto" w:fill="auto"/>
            <w:noWrap/>
            <w:vAlign w:val="bottom"/>
            <w:hideMark/>
          </w:tcPr>
          <w:p w14:paraId="1E076A7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5.26-6</w:t>
            </w:r>
          </w:p>
        </w:tc>
      </w:tr>
      <w:tr w:rsidR="00A653CA" w:rsidRPr="00A653CA" w14:paraId="60CF9410"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0AC0CE10"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14</w:t>
            </w:r>
          </w:p>
        </w:tc>
        <w:tc>
          <w:tcPr>
            <w:tcW w:w="1236" w:type="pct"/>
            <w:tcBorders>
              <w:top w:val="nil"/>
              <w:left w:val="nil"/>
              <w:bottom w:val="single" w:sz="4" w:space="0" w:color="auto"/>
              <w:right w:val="single" w:sz="4" w:space="0" w:color="auto"/>
            </w:tcBorders>
            <w:shd w:val="clear" w:color="auto" w:fill="auto"/>
            <w:noWrap/>
            <w:vAlign w:val="bottom"/>
            <w:hideMark/>
          </w:tcPr>
          <w:p w14:paraId="21ADF5E2"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GREQI</w:t>
            </w:r>
          </w:p>
        </w:tc>
        <w:tc>
          <w:tcPr>
            <w:tcW w:w="346" w:type="pct"/>
            <w:tcBorders>
              <w:top w:val="nil"/>
              <w:left w:val="nil"/>
              <w:bottom w:val="single" w:sz="4" w:space="0" w:color="auto"/>
              <w:right w:val="single" w:sz="4" w:space="0" w:color="auto"/>
            </w:tcBorders>
            <w:shd w:val="clear" w:color="auto" w:fill="auto"/>
            <w:vAlign w:val="center"/>
            <w:hideMark/>
          </w:tcPr>
          <w:p w14:paraId="29BEB02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822" w:type="pct"/>
            <w:gridSpan w:val="2"/>
            <w:tcBorders>
              <w:top w:val="single" w:sz="4" w:space="0" w:color="auto"/>
              <w:left w:val="nil"/>
              <w:bottom w:val="single" w:sz="4" w:space="0" w:color="auto"/>
              <w:right w:val="single" w:sz="4" w:space="0" w:color="auto"/>
            </w:tcBorders>
            <w:shd w:val="clear" w:color="auto" w:fill="auto"/>
            <w:vAlign w:val="center"/>
            <w:hideMark/>
          </w:tcPr>
          <w:p w14:paraId="1379765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5-6.49</w:t>
            </w:r>
          </w:p>
        </w:tc>
        <w:tc>
          <w:tcPr>
            <w:tcW w:w="1036" w:type="pct"/>
            <w:gridSpan w:val="2"/>
            <w:tcBorders>
              <w:top w:val="single" w:sz="4" w:space="0" w:color="auto"/>
              <w:left w:val="nil"/>
              <w:bottom w:val="single" w:sz="4" w:space="0" w:color="auto"/>
              <w:right w:val="single" w:sz="4" w:space="0" w:color="auto"/>
            </w:tcBorders>
            <w:shd w:val="clear" w:color="auto" w:fill="auto"/>
            <w:vAlign w:val="center"/>
            <w:hideMark/>
          </w:tcPr>
          <w:p w14:paraId="35BE49E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6.50-7.99</w:t>
            </w:r>
          </w:p>
        </w:tc>
        <w:tc>
          <w:tcPr>
            <w:tcW w:w="428" w:type="pct"/>
            <w:tcBorders>
              <w:top w:val="nil"/>
              <w:left w:val="nil"/>
              <w:bottom w:val="single" w:sz="4" w:space="0" w:color="auto"/>
              <w:right w:val="single" w:sz="4" w:space="0" w:color="auto"/>
            </w:tcBorders>
            <w:shd w:val="clear" w:color="auto" w:fill="auto"/>
            <w:vAlign w:val="center"/>
            <w:hideMark/>
          </w:tcPr>
          <w:p w14:paraId="6025789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8.00-8.49</w:t>
            </w:r>
          </w:p>
        </w:tc>
        <w:tc>
          <w:tcPr>
            <w:tcW w:w="888" w:type="pct"/>
            <w:tcBorders>
              <w:top w:val="nil"/>
              <w:left w:val="nil"/>
              <w:bottom w:val="single" w:sz="4" w:space="0" w:color="auto"/>
              <w:right w:val="single" w:sz="4" w:space="0" w:color="auto"/>
            </w:tcBorders>
            <w:shd w:val="clear" w:color="auto" w:fill="auto"/>
            <w:vAlign w:val="center"/>
            <w:hideMark/>
          </w:tcPr>
          <w:p w14:paraId="188FD44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8.50-10</w:t>
            </w:r>
          </w:p>
        </w:tc>
      </w:tr>
      <w:tr w:rsidR="00A653CA" w:rsidRPr="00A653CA" w14:paraId="32007098"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167015B6"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15</w:t>
            </w:r>
          </w:p>
        </w:tc>
        <w:tc>
          <w:tcPr>
            <w:tcW w:w="1236" w:type="pct"/>
            <w:tcBorders>
              <w:top w:val="nil"/>
              <w:left w:val="nil"/>
              <w:bottom w:val="single" w:sz="4" w:space="0" w:color="auto"/>
              <w:right w:val="single" w:sz="4" w:space="0" w:color="auto"/>
            </w:tcBorders>
            <w:shd w:val="clear" w:color="auto" w:fill="auto"/>
            <w:noWrap/>
            <w:vAlign w:val="center"/>
            <w:hideMark/>
          </w:tcPr>
          <w:p w14:paraId="64FDB02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MAQEDONIA E VERIUT</w:t>
            </w:r>
          </w:p>
        </w:tc>
        <w:tc>
          <w:tcPr>
            <w:tcW w:w="346" w:type="pct"/>
            <w:tcBorders>
              <w:top w:val="nil"/>
              <w:left w:val="nil"/>
              <w:bottom w:val="single" w:sz="4" w:space="0" w:color="auto"/>
              <w:right w:val="single" w:sz="4" w:space="0" w:color="auto"/>
            </w:tcBorders>
            <w:shd w:val="clear" w:color="auto" w:fill="auto"/>
            <w:vAlign w:val="center"/>
            <w:hideMark/>
          </w:tcPr>
          <w:p w14:paraId="735C65A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c>
          <w:tcPr>
            <w:tcW w:w="330" w:type="pct"/>
            <w:tcBorders>
              <w:top w:val="nil"/>
              <w:left w:val="nil"/>
              <w:bottom w:val="single" w:sz="4" w:space="0" w:color="auto"/>
              <w:right w:val="single" w:sz="4" w:space="0" w:color="auto"/>
            </w:tcBorders>
            <w:shd w:val="clear" w:color="auto" w:fill="auto"/>
            <w:noWrap/>
            <w:vAlign w:val="center"/>
            <w:hideMark/>
          </w:tcPr>
          <w:p w14:paraId="3AB446B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vAlign w:val="center"/>
            <w:hideMark/>
          </w:tcPr>
          <w:p w14:paraId="310A3B0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w:t>
            </w:r>
          </w:p>
        </w:tc>
        <w:tc>
          <w:tcPr>
            <w:tcW w:w="565" w:type="pct"/>
            <w:tcBorders>
              <w:top w:val="nil"/>
              <w:left w:val="nil"/>
              <w:bottom w:val="single" w:sz="4" w:space="0" w:color="auto"/>
              <w:right w:val="single" w:sz="4" w:space="0" w:color="auto"/>
            </w:tcBorders>
            <w:shd w:val="clear" w:color="auto" w:fill="auto"/>
            <w:vAlign w:val="center"/>
            <w:hideMark/>
          </w:tcPr>
          <w:p w14:paraId="7087D6E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w:t>
            </w:r>
          </w:p>
        </w:tc>
        <w:tc>
          <w:tcPr>
            <w:tcW w:w="471" w:type="pct"/>
            <w:tcBorders>
              <w:top w:val="nil"/>
              <w:left w:val="nil"/>
              <w:bottom w:val="single" w:sz="4" w:space="0" w:color="auto"/>
              <w:right w:val="single" w:sz="4" w:space="0" w:color="auto"/>
            </w:tcBorders>
            <w:shd w:val="clear" w:color="auto" w:fill="auto"/>
            <w:vAlign w:val="center"/>
            <w:hideMark/>
          </w:tcPr>
          <w:p w14:paraId="264D62A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w:t>
            </w:r>
          </w:p>
        </w:tc>
        <w:tc>
          <w:tcPr>
            <w:tcW w:w="428" w:type="pct"/>
            <w:tcBorders>
              <w:top w:val="nil"/>
              <w:left w:val="nil"/>
              <w:bottom w:val="single" w:sz="4" w:space="0" w:color="auto"/>
              <w:right w:val="single" w:sz="4" w:space="0" w:color="auto"/>
            </w:tcBorders>
            <w:shd w:val="clear" w:color="auto" w:fill="auto"/>
            <w:vAlign w:val="center"/>
            <w:hideMark/>
          </w:tcPr>
          <w:p w14:paraId="01CF1DD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w:t>
            </w:r>
          </w:p>
        </w:tc>
        <w:tc>
          <w:tcPr>
            <w:tcW w:w="888" w:type="pct"/>
            <w:tcBorders>
              <w:top w:val="nil"/>
              <w:left w:val="nil"/>
              <w:bottom w:val="single" w:sz="4" w:space="0" w:color="auto"/>
              <w:right w:val="single" w:sz="4" w:space="0" w:color="auto"/>
            </w:tcBorders>
            <w:shd w:val="clear" w:color="auto" w:fill="auto"/>
            <w:vAlign w:val="center"/>
            <w:hideMark/>
          </w:tcPr>
          <w:p w14:paraId="01B904F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r>
      <w:tr w:rsidR="00A653CA" w:rsidRPr="00A653CA" w14:paraId="780D67D3"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55EC412B"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16</w:t>
            </w:r>
          </w:p>
        </w:tc>
        <w:tc>
          <w:tcPr>
            <w:tcW w:w="1236" w:type="pct"/>
            <w:tcBorders>
              <w:top w:val="nil"/>
              <w:left w:val="nil"/>
              <w:bottom w:val="single" w:sz="4" w:space="0" w:color="auto"/>
              <w:right w:val="single" w:sz="4" w:space="0" w:color="auto"/>
            </w:tcBorders>
            <w:shd w:val="clear" w:color="auto" w:fill="auto"/>
            <w:noWrap/>
            <w:vAlign w:val="center"/>
            <w:hideMark/>
          </w:tcPr>
          <w:p w14:paraId="638CEB88"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KOSOVË</w:t>
            </w:r>
          </w:p>
        </w:tc>
        <w:tc>
          <w:tcPr>
            <w:tcW w:w="346" w:type="pct"/>
            <w:tcBorders>
              <w:top w:val="nil"/>
              <w:left w:val="nil"/>
              <w:bottom w:val="single" w:sz="4" w:space="0" w:color="auto"/>
              <w:right w:val="single" w:sz="4" w:space="0" w:color="auto"/>
            </w:tcBorders>
            <w:shd w:val="clear" w:color="auto" w:fill="auto"/>
            <w:vAlign w:val="center"/>
            <w:hideMark/>
          </w:tcPr>
          <w:p w14:paraId="3034A33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c>
          <w:tcPr>
            <w:tcW w:w="330" w:type="pct"/>
            <w:tcBorders>
              <w:top w:val="nil"/>
              <w:left w:val="nil"/>
              <w:bottom w:val="single" w:sz="4" w:space="0" w:color="auto"/>
              <w:right w:val="single" w:sz="4" w:space="0" w:color="auto"/>
            </w:tcBorders>
            <w:shd w:val="clear" w:color="auto" w:fill="auto"/>
            <w:noWrap/>
            <w:vAlign w:val="center"/>
            <w:hideMark/>
          </w:tcPr>
          <w:p w14:paraId="6E67250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vAlign w:val="center"/>
            <w:hideMark/>
          </w:tcPr>
          <w:p w14:paraId="0604CE3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w:t>
            </w:r>
          </w:p>
        </w:tc>
        <w:tc>
          <w:tcPr>
            <w:tcW w:w="565" w:type="pct"/>
            <w:tcBorders>
              <w:top w:val="nil"/>
              <w:left w:val="nil"/>
              <w:bottom w:val="single" w:sz="4" w:space="0" w:color="auto"/>
              <w:right w:val="single" w:sz="4" w:space="0" w:color="auto"/>
            </w:tcBorders>
            <w:shd w:val="clear" w:color="auto" w:fill="auto"/>
            <w:vAlign w:val="center"/>
            <w:hideMark/>
          </w:tcPr>
          <w:p w14:paraId="01680F3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w:t>
            </w:r>
          </w:p>
        </w:tc>
        <w:tc>
          <w:tcPr>
            <w:tcW w:w="471" w:type="pct"/>
            <w:tcBorders>
              <w:top w:val="nil"/>
              <w:left w:val="nil"/>
              <w:bottom w:val="single" w:sz="4" w:space="0" w:color="auto"/>
              <w:right w:val="single" w:sz="4" w:space="0" w:color="auto"/>
            </w:tcBorders>
            <w:shd w:val="clear" w:color="auto" w:fill="auto"/>
            <w:vAlign w:val="center"/>
            <w:hideMark/>
          </w:tcPr>
          <w:p w14:paraId="101D694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w:t>
            </w:r>
          </w:p>
        </w:tc>
        <w:tc>
          <w:tcPr>
            <w:tcW w:w="428" w:type="pct"/>
            <w:tcBorders>
              <w:top w:val="nil"/>
              <w:left w:val="nil"/>
              <w:bottom w:val="single" w:sz="4" w:space="0" w:color="auto"/>
              <w:right w:val="single" w:sz="4" w:space="0" w:color="auto"/>
            </w:tcBorders>
            <w:shd w:val="clear" w:color="auto" w:fill="auto"/>
            <w:vAlign w:val="center"/>
            <w:hideMark/>
          </w:tcPr>
          <w:p w14:paraId="535CCBF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w:t>
            </w:r>
          </w:p>
        </w:tc>
        <w:tc>
          <w:tcPr>
            <w:tcW w:w="888" w:type="pct"/>
            <w:tcBorders>
              <w:top w:val="nil"/>
              <w:left w:val="nil"/>
              <w:bottom w:val="single" w:sz="4" w:space="0" w:color="auto"/>
              <w:right w:val="single" w:sz="4" w:space="0" w:color="auto"/>
            </w:tcBorders>
            <w:shd w:val="clear" w:color="auto" w:fill="auto"/>
            <w:vAlign w:val="center"/>
            <w:hideMark/>
          </w:tcPr>
          <w:p w14:paraId="2A0AB6A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r>
      <w:tr w:rsidR="00A653CA" w:rsidRPr="00A653CA" w14:paraId="1626CA9B"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3554F6F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17</w:t>
            </w:r>
          </w:p>
        </w:tc>
        <w:tc>
          <w:tcPr>
            <w:tcW w:w="1236" w:type="pct"/>
            <w:tcBorders>
              <w:top w:val="nil"/>
              <w:left w:val="nil"/>
              <w:bottom w:val="single" w:sz="4" w:space="0" w:color="auto"/>
              <w:right w:val="single" w:sz="4" w:space="0" w:color="auto"/>
            </w:tcBorders>
            <w:shd w:val="clear" w:color="auto" w:fill="auto"/>
            <w:noWrap/>
            <w:vAlign w:val="bottom"/>
            <w:hideMark/>
          </w:tcPr>
          <w:p w14:paraId="179388E6"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SERBI</w:t>
            </w:r>
          </w:p>
        </w:tc>
        <w:tc>
          <w:tcPr>
            <w:tcW w:w="346" w:type="pct"/>
            <w:tcBorders>
              <w:top w:val="nil"/>
              <w:left w:val="nil"/>
              <w:bottom w:val="single" w:sz="4" w:space="0" w:color="auto"/>
              <w:right w:val="single" w:sz="4" w:space="0" w:color="auto"/>
            </w:tcBorders>
            <w:shd w:val="clear" w:color="auto" w:fill="auto"/>
            <w:vAlign w:val="center"/>
            <w:hideMark/>
          </w:tcPr>
          <w:p w14:paraId="11F79C4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c>
          <w:tcPr>
            <w:tcW w:w="330" w:type="pct"/>
            <w:tcBorders>
              <w:top w:val="nil"/>
              <w:left w:val="nil"/>
              <w:bottom w:val="single" w:sz="4" w:space="0" w:color="auto"/>
              <w:right w:val="single" w:sz="4" w:space="0" w:color="auto"/>
            </w:tcBorders>
            <w:shd w:val="clear" w:color="auto" w:fill="auto"/>
            <w:noWrap/>
            <w:vAlign w:val="center"/>
            <w:hideMark/>
          </w:tcPr>
          <w:p w14:paraId="6331FBA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vAlign w:val="center"/>
            <w:hideMark/>
          </w:tcPr>
          <w:p w14:paraId="0F90C6B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w:t>
            </w:r>
          </w:p>
        </w:tc>
        <w:tc>
          <w:tcPr>
            <w:tcW w:w="565" w:type="pct"/>
            <w:tcBorders>
              <w:top w:val="nil"/>
              <w:left w:val="nil"/>
              <w:bottom w:val="single" w:sz="4" w:space="0" w:color="auto"/>
              <w:right w:val="single" w:sz="4" w:space="0" w:color="auto"/>
            </w:tcBorders>
            <w:shd w:val="clear" w:color="auto" w:fill="auto"/>
            <w:vAlign w:val="center"/>
            <w:hideMark/>
          </w:tcPr>
          <w:p w14:paraId="4023E3B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w:t>
            </w:r>
          </w:p>
        </w:tc>
        <w:tc>
          <w:tcPr>
            <w:tcW w:w="471" w:type="pct"/>
            <w:tcBorders>
              <w:top w:val="nil"/>
              <w:left w:val="nil"/>
              <w:bottom w:val="single" w:sz="4" w:space="0" w:color="auto"/>
              <w:right w:val="single" w:sz="4" w:space="0" w:color="auto"/>
            </w:tcBorders>
            <w:shd w:val="clear" w:color="auto" w:fill="auto"/>
            <w:vAlign w:val="center"/>
            <w:hideMark/>
          </w:tcPr>
          <w:p w14:paraId="3BE30A9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w:t>
            </w:r>
          </w:p>
        </w:tc>
        <w:tc>
          <w:tcPr>
            <w:tcW w:w="428" w:type="pct"/>
            <w:tcBorders>
              <w:top w:val="nil"/>
              <w:left w:val="nil"/>
              <w:bottom w:val="single" w:sz="4" w:space="0" w:color="auto"/>
              <w:right w:val="single" w:sz="4" w:space="0" w:color="auto"/>
            </w:tcBorders>
            <w:shd w:val="clear" w:color="auto" w:fill="auto"/>
            <w:vAlign w:val="center"/>
            <w:hideMark/>
          </w:tcPr>
          <w:p w14:paraId="101B18E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w:t>
            </w:r>
          </w:p>
        </w:tc>
        <w:tc>
          <w:tcPr>
            <w:tcW w:w="888" w:type="pct"/>
            <w:tcBorders>
              <w:top w:val="nil"/>
              <w:left w:val="nil"/>
              <w:bottom w:val="single" w:sz="4" w:space="0" w:color="auto"/>
              <w:right w:val="single" w:sz="4" w:space="0" w:color="auto"/>
            </w:tcBorders>
            <w:shd w:val="clear" w:color="auto" w:fill="auto"/>
            <w:vAlign w:val="center"/>
            <w:hideMark/>
          </w:tcPr>
          <w:p w14:paraId="7A97370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r>
      <w:tr w:rsidR="00A653CA" w:rsidRPr="00A653CA" w14:paraId="5197DCA4"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693765A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18</w:t>
            </w:r>
          </w:p>
        </w:tc>
        <w:tc>
          <w:tcPr>
            <w:tcW w:w="1236" w:type="pct"/>
            <w:tcBorders>
              <w:top w:val="nil"/>
              <w:left w:val="nil"/>
              <w:bottom w:val="single" w:sz="4" w:space="0" w:color="auto"/>
              <w:right w:val="single" w:sz="4" w:space="0" w:color="auto"/>
            </w:tcBorders>
            <w:shd w:val="clear" w:color="auto" w:fill="auto"/>
            <w:noWrap/>
            <w:vAlign w:val="bottom"/>
            <w:hideMark/>
          </w:tcPr>
          <w:p w14:paraId="0D43FDEE"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MALI I ZI</w:t>
            </w:r>
          </w:p>
        </w:tc>
        <w:tc>
          <w:tcPr>
            <w:tcW w:w="346" w:type="pct"/>
            <w:tcBorders>
              <w:top w:val="nil"/>
              <w:left w:val="nil"/>
              <w:bottom w:val="single" w:sz="4" w:space="0" w:color="auto"/>
              <w:right w:val="single" w:sz="4" w:space="0" w:color="auto"/>
            </w:tcBorders>
            <w:shd w:val="clear" w:color="auto" w:fill="auto"/>
            <w:vAlign w:val="center"/>
            <w:hideMark/>
          </w:tcPr>
          <w:p w14:paraId="04715EC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c>
          <w:tcPr>
            <w:tcW w:w="330" w:type="pct"/>
            <w:tcBorders>
              <w:top w:val="nil"/>
              <w:left w:val="nil"/>
              <w:bottom w:val="single" w:sz="4" w:space="0" w:color="auto"/>
              <w:right w:val="single" w:sz="4" w:space="0" w:color="auto"/>
            </w:tcBorders>
            <w:shd w:val="clear" w:color="auto" w:fill="auto"/>
            <w:noWrap/>
            <w:vAlign w:val="center"/>
            <w:hideMark/>
          </w:tcPr>
          <w:p w14:paraId="0C4D4DB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vAlign w:val="center"/>
            <w:hideMark/>
          </w:tcPr>
          <w:p w14:paraId="0CABF88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w:t>
            </w:r>
          </w:p>
        </w:tc>
        <w:tc>
          <w:tcPr>
            <w:tcW w:w="565" w:type="pct"/>
            <w:tcBorders>
              <w:top w:val="nil"/>
              <w:left w:val="nil"/>
              <w:bottom w:val="single" w:sz="4" w:space="0" w:color="auto"/>
              <w:right w:val="single" w:sz="4" w:space="0" w:color="auto"/>
            </w:tcBorders>
            <w:shd w:val="clear" w:color="auto" w:fill="auto"/>
            <w:vAlign w:val="center"/>
            <w:hideMark/>
          </w:tcPr>
          <w:p w14:paraId="3C6ABEC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w:t>
            </w:r>
          </w:p>
        </w:tc>
        <w:tc>
          <w:tcPr>
            <w:tcW w:w="471" w:type="pct"/>
            <w:tcBorders>
              <w:top w:val="nil"/>
              <w:left w:val="nil"/>
              <w:bottom w:val="single" w:sz="4" w:space="0" w:color="auto"/>
              <w:right w:val="single" w:sz="4" w:space="0" w:color="auto"/>
            </w:tcBorders>
            <w:shd w:val="clear" w:color="auto" w:fill="auto"/>
            <w:vAlign w:val="center"/>
            <w:hideMark/>
          </w:tcPr>
          <w:p w14:paraId="66254FF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w:t>
            </w:r>
          </w:p>
        </w:tc>
        <w:tc>
          <w:tcPr>
            <w:tcW w:w="428" w:type="pct"/>
            <w:tcBorders>
              <w:top w:val="nil"/>
              <w:left w:val="nil"/>
              <w:bottom w:val="single" w:sz="4" w:space="0" w:color="auto"/>
              <w:right w:val="single" w:sz="4" w:space="0" w:color="auto"/>
            </w:tcBorders>
            <w:shd w:val="clear" w:color="auto" w:fill="auto"/>
            <w:vAlign w:val="center"/>
            <w:hideMark/>
          </w:tcPr>
          <w:p w14:paraId="4079FD7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w:t>
            </w:r>
          </w:p>
        </w:tc>
        <w:tc>
          <w:tcPr>
            <w:tcW w:w="888" w:type="pct"/>
            <w:tcBorders>
              <w:top w:val="nil"/>
              <w:left w:val="nil"/>
              <w:bottom w:val="single" w:sz="4" w:space="0" w:color="auto"/>
              <w:right w:val="single" w:sz="4" w:space="0" w:color="auto"/>
            </w:tcBorders>
            <w:shd w:val="clear" w:color="auto" w:fill="auto"/>
            <w:vAlign w:val="center"/>
            <w:hideMark/>
          </w:tcPr>
          <w:p w14:paraId="22FCA6C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r>
      <w:tr w:rsidR="00A653CA" w:rsidRPr="00A653CA" w14:paraId="65DA5AA4"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49F85512"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19</w:t>
            </w:r>
          </w:p>
        </w:tc>
        <w:tc>
          <w:tcPr>
            <w:tcW w:w="1236" w:type="pct"/>
            <w:tcBorders>
              <w:top w:val="nil"/>
              <w:left w:val="nil"/>
              <w:bottom w:val="single" w:sz="4" w:space="0" w:color="auto"/>
              <w:right w:val="single" w:sz="4" w:space="0" w:color="auto"/>
            </w:tcBorders>
            <w:shd w:val="clear" w:color="auto" w:fill="auto"/>
            <w:noWrap/>
            <w:vAlign w:val="bottom"/>
            <w:hideMark/>
          </w:tcPr>
          <w:p w14:paraId="56E4770B"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KINA</w:t>
            </w:r>
          </w:p>
        </w:tc>
        <w:tc>
          <w:tcPr>
            <w:tcW w:w="346" w:type="pct"/>
            <w:tcBorders>
              <w:top w:val="nil"/>
              <w:left w:val="nil"/>
              <w:bottom w:val="single" w:sz="4" w:space="0" w:color="auto"/>
              <w:right w:val="single" w:sz="4" w:space="0" w:color="auto"/>
            </w:tcBorders>
            <w:shd w:val="clear" w:color="auto" w:fill="auto"/>
            <w:hideMark/>
          </w:tcPr>
          <w:p w14:paraId="15B7C33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0-59</w:t>
            </w:r>
          </w:p>
        </w:tc>
        <w:tc>
          <w:tcPr>
            <w:tcW w:w="822" w:type="pct"/>
            <w:gridSpan w:val="2"/>
            <w:tcBorders>
              <w:top w:val="single" w:sz="4" w:space="0" w:color="auto"/>
              <w:left w:val="nil"/>
              <w:bottom w:val="single" w:sz="4" w:space="0" w:color="auto"/>
              <w:right w:val="single" w:sz="4" w:space="0" w:color="auto"/>
            </w:tcBorders>
            <w:shd w:val="clear" w:color="auto" w:fill="auto"/>
            <w:hideMark/>
          </w:tcPr>
          <w:p w14:paraId="45C966E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60-69</w:t>
            </w:r>
          </w:p>
        </w:tc>
        <w:tc>
          <w:tcPr>
            <w:tcW w:w="1036" w:type="pct"/>
            <w:gridSpan w:val="2"/>
            <w:tcBorders>
              <w:top w:val="single" w:sz="4" w:space="0" w:color="auto"/>
              <w:left w:val="nil"/>
              <w:bottom w:val="single" w:sz="4" w:space="0" w:color="auto"/>
              <w:right w:val="single" w:sz="4" w:space="0" w:color="auto"/>
            </w:tcBorders>
            <w:shd w:val="clear" w:color="auto" w:fill="auto"/>
            <w:hideMark/>
          </w:tcPr>
          <w:p w14:paraId="5A7E90A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70-79</w:t>
            </w:r>
          </w:p>
        </w:tc>
        <w:tc>
          <w:tcPr>
            <w:tcW w:w="428" w:type="pct"/>
            <w:tcBorders>
              <w:top w:val="nil"/>
              <w:left w:val="nil"/>
              <w:bottom w:val="single" w:sz="4" w:space="0" w:color="auto"/>
              <w:right w:val="single" w:sz="4" w:space="0" w:color="auto"/>
            </w:tcBorders>
            <w:shd w:val="clear" w:color="auto" w:fill="auto"/>
            <w:hideMark/>
          </w:tcPr>
          <w:p w14:paraId="4480287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80-89</w:t>
            </w:r>
          </w:p>
        </w:tc>
        <w:tc>
          <w:tcPr>
            <w:tcW w:w="888" w:type="pct"/>
            <w:tcBorders>
              <w:top w:val="nil"/>
              <w:left w:val="nil"/>
              <w:bottom w:val="single" w:sz="4" w:space="0" w:color="auto"/>
              <w:right w:val="single" w:sz="4" w:space="0" w:color="auto"/>
            </w:tcBorders>
            <w:shd w:val="clear" w:color="auto" w:fill="auto"/>
            <w:hideMark/>
          </w:tcPr>
          <w:p w14:paraId="039E2AB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90-100</w:t>
            </w:r>
          </w:p>
        </w:tc>
      </w:tr>
      <w:tr w:rsidR="006F5831" w:rsidRPr="00A653CA" w14:paraId="01F6FACA"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04D43872"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20</w:t>
            </w:r>
          </w:p>
        </w:tc>
        <w:tc>
          <w:tcPr>
            <w:tcW w:w="1236" w:type="pct"/>
            <w:tcBorders>
              <w:top w:val="nil"/>
              <w:left w:val="nil"/>
              <w:bottom w:val="single" w:sz="4" w:space="0" w:color="auto"/>
              <w:right w:val="single" w:sz="4" w:space="0" w:color="auto"/>
            </w:tcBorders>
            <w:shd w:val="clear" w:color="auto" w:fill="auto"/>
            <w:noWrap/>
            <w:vAlign w:val="bottom"/>
            <w:hideMark/>
          </w:tcPr>
          <w:p w14:paraId="5C86325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RUSIA</w:t>
            </w:r>
          </w:p>
        </w:tc>
        <w:tc>
          <w:tcPr>
            <w:tcW w:w="346" w:type="pct"/>
            <w:tcBorders>
              <w:top w:val="nil"/>
              <w:left w:val="nil"/>
              <w:bottom w:val="single" w:sz="4" w:space="0" w:color="auto"/>
              <w:right w:val="single" w:sz="4" w:space="0" w:color="auto"/>
            </w:tcBorders>
            <w:shd w:val="clear" w:color="auto" w:fill="auto"/>
            <w:noWrap/>
            <w:vAlign w:val="bottom"/>
            <w:hideMark/>
          </w:tcPr>
          <w:p w14:paraId="23465E5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2</w:t>
            </w:r>
          </w:p>
        </w:tc>
        <w:tc>
          <w:tcPr>
            <w:tcW w:w="330" w:type="pct"/>
            <w:tcBorders>
              <w:top w:val="nil"/>
              <w:left w:val="nil"/>
              <w:bottom w:val="single" w:sz="4" w:space="0" w:color="auto"/>
              <w:right w:val="single" w:sz="4" w:space="0" w:color="auto"/>
            </w:tcBorders>
            <w:shd w:val="clear" w:color="auto" w:fill="auto"/>
            <w:noWrap/>
            <w:vAlign w:val="center"/>
            <w:hideMark/>
          </w:tcPr>
          <w:p w14:paraId="5D9F146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noWrap/>
            <w:vAlign w:val="bottom"/>
            <w:hideMark/>
          </w:tcPr>
          <w:p w14:paraId="3ADEFF4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3</w:t>
            </w:r>
          </w:p>
        </w:tc>
        <w:tc>
          <w:tcPr>
            <w:tcW w:w="565" w:type="pct"/>
            <w:tcBorders>
              <w:top w:val="nil"/>
              <w:left w:val="nil"/>
              <w:bottom w:val="single" w:sz="4" w:space="0" w:color="auto"/>
              <w:right w:val="single" w:sz="4" w:space="0" w:color="auto"/>
            </w:tcBorders>
            <w:shd w:val="clear" w:color="auto" w:fill="auto"/>
            <w:noWrap/>
            <w:vAlign w:val="center"/>
            <w:hideMark/>
          </w:tcPr>
          <w:p w14:paraId="17F4E9D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71" w:type="pct"/>
            <w:tcBorders>
              <w:top w:val="nil"/>
              <w:left w:val="nil"/>
              <w:bottom w:val="single" w:sz="4" w:space="0" w:color="auto"/>
              <w:right w:val="single" w:sz="4" w:space="0" w:color="auto"/>
            </w:tcBorders>
            <w:shd w:val="clear" w:color="auto" w:fill="auto"/>
            <w:noWrap/>
            <w:vAlign w:val="bottom"/>
            <w:hideMark/>
          </w:tcPr>
          <w:p w14:paraId="29BABD4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w:t>
            </w:r>
          </w:p>
        </w:tc>
        <w:tc>
          <w:tcPr>
            <w:tcW w:w="428" w:type="pct"/>
            <w:tcBorders>
              <w:top w:val="nil"/>
              <w:left w:val="nil"/>
              <w:bottom w:val="single" w:sz="4" w:space="0" w:color="auto"/>
              <w:right w:val="single" w:sz="4" w:space="0" w:color="auto"/>
            </w:tcBorders>
            <w:shd w:val="clear" w:color="auto" w:fill="auto"/>
            <w:noWrap/>
            <w:vAlign w:val="center"/>
            <w:hideMark/>
          </w:tcPr>
          <w:p w14:paraId="7BFC627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888" w:type="pct"/>
            <w:tcBorders>
              <w:top w:val="nil"/>
              <w:left w:val="nil"/>
              <w:bottom w:val="single" w:sz="4" w:space="0" w:color="auto"/>
              <w:right w:val="single" w:sz="4" w:space="0" w:color="auto"/>
            </w:tcBorders>
            <w:shd w:val="clear" w:color="auto" w:fill="auto"/>
            <w:noWrap/>
            <w:vAlign w:val="bottom"/>
            <w:hideMark/>
          </w:tcPr>
          <w:p w14:paraId="1C5B9F3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r>
    </w:tbl>
    <w:p w14:paraId="7AFFBEA4" w14:textId="77777777" w:rsidR="006F5831" w:rsidRPr="00A653CA" w:rsidRDefault="006F5831" w:rsidP="006F5831">
      <w:pPr>
        <w:spacing w:after="0" w:line="240" w:lineRule="auto"/>
        <w:ind w:firstLine="284"/>
        <w:rPr>
          <w:rFonts w:ascii="Garamond" w:eastAsia="Times New Roman" w:hAnsi="Garamond" w:cs="Times New Roman"/>
          <w:b/>
          <w:sz w:val="24"/>
          <w:szCs w:val="24"/>
        </w:rPr>
      </w:pPr>
    </w:p>
    <w:p w14:paraId="4041A0AD" w14:textId="77777777" w:rsidR="006F5831" w:rsidRPr="00A653CA" w:rsidRDefault="006F5831" w:rsidP="006F5831">
      <w:pPr>
        <w:spacing w:after="0" w:line="240" w:lineRule="auto"/>
        <w:ind w:firstLine="284"/>
        <w:rPr>
          <w:rFonts w:ascii="Garamond" w:eastAsia="Times New Roman" w:hAnsi="Garamond" w:cs="Times New Roman"/>
          <w:b/>
          <w:sz w:val="24"/>
          <w:szCs w:val="24"/>
        </w:rPr>
      </w:pPr>
    </w:p>
    <w:p w14:paraId="30BDEA6F" w14:textId="77777777" w:rsidR="006F5831" w:rsidRPr="00A653CA" w:rsidRDefault="006F5831" w:rsidP="006F5831">
      <w:pPr>
        <w:spacing w:after="0" w:line="240" w:lineRule="auto"/>
        <w:ind w:firstLine="284"/>
        <w:rPr>
          <w:rFonts w:ascii="Garamond" w:eastAsia="Times New Roman" w:hAnsi="Garamond" w:cs="Times New Roman"/>
          <w:b/>
          <w:sz w:val="24"/>
          <w:szCs w:val="24"/>
        </w:rPr>
      </w:pPr>
    </w:p>
    <w:p w14:paraId="2D021CF5" w14:textId="77777777"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sectPr w:rsidR="006F5831" w:rsidRPr="00A653CA" w:rsidSect="008978A1">
      <w:footerReference w:type="even" r:id="rId19"/>
      <w:pgSz w:w="11907" w:h="16840" w:code="9"/>
      <w:pgMar w:top="1170" w:right="1418" w:bottom="1440" w:left="1418"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A2420" w14:textId="77777777" w:rsidR="00586AD4" w:rsidRDefault="00586AD4">
      <w:pPr>
        <w:spacing w:after="0" w:line="240" w:lineRule="auto"/>
      </w:pPr>
      <w:r>
        <w:separator/>
      </w:r>
    </w:p>
  </w:endnote>
  <w:endnote w:type="continuationSeparator" w:id="0">
    <w:p w14:paraId="30B2B5B3" w14:textId="77777777" w:rsidR="00586AD4" w:rsidRDefault="00586AD4">
      <w:pPr>
        <w:spacing w:after="0" w:line="240" w:lineRule="auto"/>
      </w:pPr>
      <w:r>
        <w:continuationSeparator/>
      </w:r>
    </w:p>
  </w:endnote>
  <w:endnote w:type="continuationNotice" w:id="1">
    <w:p w14:paraId="0F75F8D6" w14:textId="77777777" w:rsidR="00586AD4" w:rsidRDefault="00586A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80982" w14:textId="77777777" w:rsidR="001C7DD5" w:rsidRDefault="001C7DD5"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B80983" w14:textId="77777777" w:rsidR="001C7DD5" w:rsidRDefault="001C7DD5" w:rsidP="001016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71581" w14:textId="77777777" w:rsidR="00586AD4" w:rsidRDefault="00586AD4">
      <w:pPr>
        <w:spacing w:after="0" w:line="240" w:lineRule="auto"/>
      </w:pPr>
      <w:r>
        <w:separator/>
      </w:r>
    </w:p>
  </w:footnote>
  <w:footnote w:type="continuationSeparator" w:id="0">
    <w:p w14:paraId="4B5FF4A3" w14:textId="77777777" w:rsidR="00586AD4" w:rsidRDefault="00586AD4">
      <w:pPr>
        <w:spacing w:after="0" w:line="240" w:lineRule="auto"/>
      </w:pPr>
      <w:r>
        <w:continuationSeparator/>
      </w:r>
    </w:p>
  </w:footnote>
  <w:footnote w:type="continuationNotice" w:id="1">
    <w:p w14:paraId="1375B48D" w14:textId="77777777" w:rsidR="00586AD4" w:rsidRDefault="00586A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D244A"/>
    <w:multiLevelType w:val="hybridMultilevel"/>
    <w:tmpl w:val="45AADD50"/>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0CE43D9D"/>
    <w:multiLevelType w:val="hybridMultilevel"/>
    <w:tmpl w:val="E0D02A88"/>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 w15:restartNumberingAfterBreak="0">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91B43FD"/>
    <w:multiLevelType w:val="hybridMultilevel"/>
    <w:tmpl w:val="287A4C3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A3C176D"/>
    <w:multiLevelType w:val="hybridMultilevel"/>
    <w:tmpl w:val="A9387D18"/>
    <w:lvl w:ilvl="0" w:tplc="00E80F34">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 w15:restartNumberingAfterBreak="0">
    <w:nsid w:val="272D3389"/>
    <w:multiLevelType w:val="hybridMultilevel"/>
    <w:tmpl w:val="90F8FEA6"/>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9" w15:restartNumberingAfterBreak="0">
    <w:nsid w:val="3B660581"/>
    <w:multiLevelType w:val="hybridMultilevel"/>
    <w:tmpl w:val="AF62DC2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423F2EDB"/>
    <w:multiLevelType w:val="hybridMultilevel"/>
    <w:tmpl w:val="78CC9BC8"/>
    <w:lvl w:ilvl="0" w:tplc="041C0019">
      <w:start w:val="1"/>
      <w:numFmt w:val="lowerLetter"/>
      <w:lvlText w:val="%1."/>
      <w:lvlJc w:val="left"/>
      <w:pPr>
        <w:ind w:left="136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D824A7"/>
    <w:multiLevelType w:val="hybridMultilevel"/>
    <w:tmpl w:val="5B3CA95C"/>
    <w:lvl w:ilvl="0" w:tplc="E7E245D4">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2" w15:restartNumberingAfterBreak="0">
    <w:nsid w:val="49841893"/>
    <w:multiLevelType w:val="hybridMultilevel"/>
    <w:tmpl w:val="D0F83984"/>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4C5810C7"/>
    <w:multiLevelType w:val="multilevel"/>
    <w:tmpl w:val="5C361B7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509F3B11"/>
    <w:multiLevelType w:val="hybridMultilevel"/>
    <w:tmpl w:val="055A8C8C"/>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50CE52BA">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15:restartNumberingAfterBreak="0">
    <w:nsid w:val="5474386D"/>
    <w:multiLevelType w:val="hybridMultilevel"/>
    <w:tmpl w:val="C6261720"/>
    <w:lvl w:ilvl="0" w:tplc="041C0019">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7" w15:restartNumberingAfterBreak="0">
    <w:nsid w:val="54E109CD"/>
    <w:multiLevelType w:val="multilevel"/>
    <w:tmpl w:val="D3842ABE"/>
    <w:lvl w:ilvl="0">
      <w:start w:val="1"/>
      <w:numFmt w:val="decimal"/>
      <w:lvlText w:val="%1."/>
      <w:lvlJc w:val="left"/>
      <w:pPr>
        <w:ind w:left="450" w:hanging="360"/>
      </w:pPr>
      <w:rPr>
        <w:b w:val="0"/>
        <w:color w:val="000000" w:themeColor="text1"/>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8"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5B9D6C4F"/>
    <w:multiLevelType w:val="hybridMultilevel"/>
    <w:tmpl w:val="875C4638"/>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6011293C"/>
    <w:multiLevelType w:val="hybridMultilevel"/>
    <w:tmpl w:val="4ABEA9A0"/>
    <w:lvl w:ilvl="0" w:tplc="041C0019">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 w15:restartNumberingAfterBreak="0">
    <w:nsid w:val="61B11BF5"/>
    <w:multiLevelType w:val="hybridMultilevel"/>
    <w:tmpl w:val="7820E1DE"/>
    <w:lvl w:ilvl="0" w:tplc="0809001B">
      <w:start w:val="1"/>
      <w:numFmt w:val="lowerRoman"/>
      <w:lvlText w:val="%1."/>
      <w:lvlJc w:val="right"/>
      <w:pPr>
        <w:ind w:left="2008" w:hanging="360"/>
      </w:pPr>
      <w:rPr>
        <w:rFonts w:hint="default"/>
      </w:rPr>
    </w:lvl>
    <w:lvl w:ilvl="1" w:tplc="041C0003">
      <w:start w:val="1"/>
      <w:numFmt w:val="bullet"/>
      <w:lvlText w:val="o"/>
      <w:lvlJc w:val="left"/>
      <w:pPr>
        <w:ind w:left="2728" w:hanging="360"/>
      </w:pPr>
      <w:rPr>
        <w:rFonts w:ascii="Courier New" w:hAnsi="Courier New" w:cs="Courier New" w:hint="default"/>
      </w:rPr>
    </w:lvl>
    <w:lvl w:ilvl="2" w:tplc="041C0005">
      <w:start w:val="1"/>
      <w:numFmt w:val="bullet"/>
      <w:lvlText w:val=""/>
      <w:lvlJc w:val="left"/>
      <w:pPr>
        <w:ind w:left="3448" w:hanging="360"/>
      </w:pPr>
      <w:rPr>
        <w:rFonts w:ascii="Wingdings" w:hAnsi="Wingdings" w:hint="default"/>
      </w:rPr>
    </w:lvl>
    <w:lvl w:ilvl="3" w:tplc="041C0001" w:tentative="1">
      <w:start w:val="1"/>
      <w:numFmt w:val="bullet"/>
      <w:lvlText w:val=""/>
      <w:lvlJc w:val="left"/>
      <w:pPr>
        <w:ind w:left="4168" w:hanging="360"/>
      </w:pPr>
      <w:rPr>
        <w:rFonts w:ascii="Symbol" w:hAnsi="Symbol" w:hint="default"/>
      </w:rPr>
    </w:lvl>
    <w:lvl w:ilvl="4" w:tplc="041C0003" w:tentative="1">
      <w:start w:val="1"/>
      <w:numFmt w:val="bullet"/>
      <w:lvlText w:val="o"/>
      <w:lvlJc w:val="left"/>
      <w:pPr>
        <w:ind w:left="4888" w:hanging="360"/>
      </w:pPr>
      <w:rPr>
        <w:rFonts w:ascii="Courier New" w:hAnsi="Courier New" w:cs="Courier New" w:hint="default"/>
      </w:rPr>
    </w:lvl>
    <w:lvl w:ilvl="5" w:tplc="041C0005" w:tentative="1">
      <w:start w:val="1"/>
      <w:numFmt w:val="bullet"/>
      <w:lvlText w:val=""/>
      <w:lvlJc w:val="left"/>
      <w:pPr>
        <w:ind w:left="5608" w:hanging="360"/>
      </w:pPr>
      <w:rPr>
        <w:rFonts w:ascii="Wingdings" w:hAnsi="Wingdings" w:hint="default"/>
      </w:rPr>
    </w:lvl>
    <w:lvl w:ilvl="6" w:tplc="041C0001" w:tentative="1">
      <w:start w:val="1"/>
      <w:numFmt w:val="bullet"/>
      <w:lvlText w:val=""/>
      <w:lvlJc w:val="left"/>
      <w:pPr>
        <w:ind w:left="6328" w:hanging="360"/>
      </w:pPr>
      <w:rPr>
        <w:rFonts w:ascii="Symbol" w:hAnsi="Symbol" w:hint="default"/>
      </w:rPr>
    </w:lvl>
    <w:lvl w:ilvl="7" w:tplc="041C0003" w:tentative="1">
      <w:start w:val="1"/>
      <w:numFmt w:val="bullet"/>
      <w:lvlText w:val="o"/>
      <w:lvlJc w:val="left"/>
      <w:pPr>
        <w:ind w:left="7048" w:hanging="360"/>
      </w:pPr>
      <w:rPr>
        <w:rFonts w:ascii="Courier New" w:hAnsi="Courier New" w:cs="Courier New" w:hint="default"/>
      </w:rPr>
    </w:lvl>
    <w:lvl w:ilvl="8" w:tplc="041C0005" w:tentative="1">
      <w:start w:val="1"/>
      <w:numFmt w:val="bullet"/>
      <w:lvlText w:val=""/>
      <w:lvlJc w:val="left"/>
      <w:pPr>
        <w:ind w:left="7768" w:hanging="360"/>
      </w:pPr>
      <w:rPr>
        <w:rFonts w:ascii="Wingdings" w:hAnsi="Wingdings" w:hint="default"/>
      </w:rPr>
    </w:lvl>
  </w:abstractNum>
  <w:abstractNum w:abstractNumId="22" w15:restartNumberingAfterBreak="0">
    <w:nsid w:val="6537374E"/>
    <w:multiLevelType w:val="hybridMultilevel"/>
    <w:tmpl w:val="B0AA014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7F571ED"/>
    <w:multiLevelType w:val="hybridMultilevel"/>
    <w:tmpl w:val="A4DE553A"/>
    <w:lvl w:ilvl="0" w:tplc="041C0019">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4" w15:restartNumberingAfterBreak="0">
    <w:nsid w:val="6879405E"/>
    <w:multiLevelType w:val="hybridMultilevel"/>
    <w:tmpl w:val="30ACAFE0"/>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041C0019">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5" w15:restartNumberingAfterBreak="0">
    <w:nsid w:val="6A19216D"/>
    <w:multiLevelType w:val="hybridMultilevel"/>
    <w:tmpl w:val="E940C4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E9942D1"/>
    <w:multiLevelType w:val="hybridMultilevel"/>
    <w:tmpl w:val="F29A9B6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4DA2598"/>
    <w:multiLevelType w:val="hybridMultilevel"/>
    <w:tmpl w:val="199610C6"/>
    <w:lvl w:ilvl="0" w:tplc="041C0019">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536777E"/>
    <w:multiLevelType w:val="multilevel"/>
    <w:tmpl w:val="5296BFA2"/>
    <w:lvl w:ilvl="0">
      <w:start w:val="1"/>
      <w:numFmt w:val="decimal"/>
      <w:lvlText w:val="%1."/>
      <w:lvlJc w:val="left"/>
      <w:pPr>
        <w:ind w:left="720" w:hanging="360"/>
      </w:pPr>
      <w:rPr>
        <w:rFonts w:hint="default"/>
        <w:b w:val="0"/>
        <w:i w:val="0"/>
        <w:sz w:val="24"/>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9" w15:restartNumberingAfterBreak="0">
    <w:nsid w:val="7951693E"/>
    <w:multiLevelType w:val="hybridMultilevel"/>
    <w:tmpl w:val="66F67B76"/>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7"/>
  </w:num>
  <w:num w:numId="2">
    <w:abstractNumId w:val="26"/>
  </w:num>
  <w:num w:numId="3">
    <w:abstractNumId w:val="0"/>
  </w:num>
  <w:num w:numId="4">
    <w:abstractNumId w:val="9"/>
  </w:num>
  <w:num w:numId="5">
    <w:abstractNumId w:val="28"/>
  </w:num>
  <w:num w:numId="6">
    <w:abstractNumId w:val="12"/>
  </w:num>
  <w:num w:numId="7">
    <w:abstractNumId w:val="15"/>
  </w:num>
  <w:num w:numId="8">
    <w:abstractNumId w:val="11"/>
  </w:num>
  <w:num w:numId="9">
    <w:abstractNumId w:val="20"/>
  </w:num>
  <w:num w:numId="10">
    <w:abstractNumId w:val="27"/>
  </w:num>
  <w:num w:numId="11">
    <w:abstractNumId w:val="16"/>
  </w:num>
  <w:num w:numId="12">
    <w:abstractNumId w:val="19"/>
  </w:num>
  <w:num w:numId="13">
    <w:abstractNumId w:val="4"/>
  </w:num>
  <w:num w:numId="14">
    <w:abstractNumId w:val="13"/>
  </w:num>
  <w:num w:numId="15">
    <w:abstractNumId w:val="3"/>
  </w:num>
  <w:num w:numId="16">
    <w:abstractNumId w:val="8"/>
  </w:num>
  <w:num w:numId="17">
    <w:abstractNumId w:val="21"/>
  </w:num>
  <w:num w:numId="18">
    <w:abstractNumId w:val="10"/>
  </w:num>
  <w:num w:numId="19">
    <w:abstractNumId w:val="1"/>
  </w:num>
  <w:num w:numId="20">
    <w:abstractNumId w:val="14"/>
  </w:num>
  <w:num w:numId="21">
    <w:abstractNumId w:val="2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7"/>
  </w:num>
  <w:num w:numId="25">
    <w:abstractNumId w:val="6"/>
  </w:num>
  <w:num w:numId="26">
    <w:abstractNumId w:val="23"/>
  </w:num>
  <w:num w:numId="27">
    <w:abstractNumId w:val="29"/>
  </w:num>
  <w:num w:numId="28">
    <w:abstractNumId w:val="18"/>
  </w:num>
  <w:num w:numId="29">
    <w:abstractNumId w:val="2"/>
  </w:num>
  <w:num w:numId="30">
    <w:abstractNumId w:val="22"/>
  </w:num>
  <w:num w:numId="31">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922"/>
    <w:rsid w:val="00002FF9"/>
    <w:rsid w:val="00003183"/>
    <w:rsid w:val="00004C21"/>
    <w:rsid w:val="00005363"/>
    <w:rsid w:val="000103CE"/>
    <w:rsid w:val="00010BC5"/>
    <w:rsid w:val="00010D21"/>
    <w:rsid w:val="00012DC0"/>
    <w:rsid w:val="00022D4E"/>
    <w:rsid w:val="0002406E"/>
    <w:rsid w:val="00032E67"/>
    <w:rsid w:val="00036280"/>
    <w:rsid w:val="00037557"/>
    <w:rsid w:val="000418C3"/>
    <w:rsid w:val="000427C0"/>
    <w:rsid w:val="00043206"/>
    <w:rsid w:val="000442F8"/>
    <w:rsid w:val="00044B59"/>
    <w:rsid w:val="000549CA"/>
    <w:rsid w:val="0006098C"/>
    <w:rsid w:val="00062312"/>
    <w:rsid w:val="00072E1D"/>
    <w:rsid w:val="000731F1"/>
    <w:rsid w:val="00076977"/>
    <w:rsid w:val="000808AA"/>
    <w:rsid w:val="00082C82"/>
    <w:rsid w:val="000841A0"/>
    <w:rsid w:val="00084F1A"/>
    <w:rsid w:val="000850D9"/>
    <w:rsid w:val="000962DE"/>
    <w:rsid w:val="0009673E"/>
    <w:rsid w:val="000A15E6"/>
    <w:rsid w:val="000B1E36"/>
    <w:rsid w:val="000B224B"/>
    <w:rsid w:val="000B5ED4"/>
    <w:rsid w:val="000C1590"/>
    <w:rsid w:val="000C36E1"/>
    <w:rsid w:val="000D03CD"/>
    <w:rsid w:val="000E366D"/>
    <w:rsid w:val="000E4ADC"/>
    <w:rsid w:val="000E5A7C"/>
    <w:rsid w:val="000F015F"/>
    <w:rsid w:val="000F04C2"/>
    <w:rsid w:val="000F26FB"/>
    <w:rsid w:val="000F3A21"/>
    <w:rsid w:val="000F7FC1"/>
    <w:rsid w:val="0010163F"/>
    <w:rsid w:val="00105431"/>
    <w:rsid w:val="00112D3E"/>
    <w:rsid w:val="001136A8"/>
    <w:rsid w:val="0011643D"/>
    <w:rsid w:val="00116617"/>
    <w:rsid w:val="001211C2"/>
    <w:rsid w:val="00122B50"/>
    <w:rsid w:val="0012704D"/>
    <w:rsid w:val="00133AB2"/>
    <w:rsid w:val="001354FD"/>
    <w:rsid w:val="00135CEB"/>
    <w:rsid w:val="0013790B"/>
    <w:rsid w:val="00141913"/>
    <w:rsid w:val="0014685D"/>
    <w:rsid w:val="00146C38"/>
    <w:rsid w:val="00151B38"/>
    <w:rsid w:val="00152AE4"/>
    <w:rsid w:val="00152C68"/>
    <w:rsid w:val="00154753"/>
    <w:rsid w:val="00155B4D"/>
    <w:rsid w:val="00163C52"/>
    <w:rsid w:val="00165DDB"/>
    <w:rsid w:val="001672E0"/>
    <w:rsid w:val="00167525"/>
    <w:rsid w:val="00167904"/>
    <w:rsid w:val="0017076A"/>
    <w:rsid w:val="00173DDB"/>
    <w:rsid w:val="00174A51"/>
    <w:rsid w:val="0017579B"/>
    <w:rsid w:val="00177DDE"/>
    <w:rsid w:val="0018069B"/>
    <w:rsid w:val="00180DA8"/>
    <w:rsid w:val="001847B8"/>
    <w:rsid w:val="00191F55"/>
    <w:rsid w:val="0019297A"/>
    <w:rsid w:val="00195F72"/>
    <w:rsid w:val="0019648C"/>
    <w:rsid w:val="0019701F"/>
    <w:rsid w:val="001A1784"/>
    <w:rsid w:val="001A1EB6"/>
    <w:rsid w:val="001B0C00"/>
    <w:rsid w:val="001B0F3C"/>
    <w:rsid w:val="001B1C31"/>
    <w:rsid w:val="001B202F"/>
    <w:rsid w:val="001B3518"/>
    <w:rsid w:val="001C0992"/>
    <w:rsid w:val="001C2491"/>
    <w:rsid w:val="001C7DD5"/>
    <w:rsid w:val="001D54EE"/>
    <w:rsid w:val="001D6B8B"/>
    <w:rsid w:val="001E054F"/>
    <w:rsid w:val="001E179D"/>
    <w:rsid w:val="001E62EC"/>
    <w:rsid w:val="001E66A6"/>
    <w:rsid w:val="001F54E1"/>
    <w:rsid w:val="00201F8F"/>
    <w:rsid w:val="002124E3"/>
    <w:rsid w:val="0021263B"/>
    <w:rsid w:val="0021496C"/>
    <w:rsid w:val="0022311D"/>
    <w:rsid w:val="00223755"/>
    <w:rsid w:val="002266B8"/>
    <w:rsid w:val="002303A6"/>
    <w:rsid w:val="00230DD4"/>
    <w:rsid w:val="002347F8"/>
    <w:rsid w:val="00234EF2"/>
    <w:rsid w:val="00237F4B"/>
    <w:rsid w:val="00243968"/>
    <w:rsid w:val="00244477"/>
    <w:rsid w:val="00244629"/>
    <w:rsid w:val="002446FC"/>
    <w:rsid w:val="00245175"/>
    <w:rsid w:val="002476F2"/>
    <w:rsid w:val="002526AC"/>
    <w:rsid w:val="00261C17"/>
    <w:rsid w:val="00261D5C"/>
    <w:rsid w:val="00262B0C"/>
    <w:rsid w:val="00263328"/>
    <w:rsid w:val="00270AA1"/>
    <w:rsid w:val="00270B65"/>
    <w:rsid w:val="00274C42"/>
    <w:rsid w:val="00274E13"/>
    <w:rsid w:val="00276B77"/>
    <w:rsid w:val="00277A38"/>
    <w:rsid w:val="00280827"/>
    <w:rsid w:val="00282177"/>
    <w:rsid w:val="00291B96"/>
    <w:rsid w:val="002940BF"/>
    <w:rsid w:val="0029645A"/>
    <w:rsid w:val="0029769E"/>
    <w:rsid w:val="002A09D6"/>
    <w:rsid w:val="002A245A"/>
    <w:rsid w:val="002A2808"/>
    <w:rsid w:val="002A47B8"/>
    <w:rsid w:val="002C4D31"/>
    <w:rsid w:val="002D1A67"/>
    <w:rsid w:val="002D3BEA"/>
    <w:rsid w:val="002D53D7"/>
    <w:rsid w:val="002D6037"/>
    <w:rsid w:val="002D7A9C"/>
    <w:rsid w:val="002E20B5"/>
    <w:rsid w:val="002E25F6"/>
    <w:rsid w:val="002E3FBA"/>
    <w:rsid w:val="002E57C2"/>
    <w:rsid w:val="002E5DB0"/>
    <w:rsid w:val="002E75BE"/>
    <w:rsid w:val="002F2F1C"/>
    <w:rsid w:val="002F3B07"/>
    <w:rsid w:val="002F4E29"/>
    <w:rsid w:val="0030112E"/>
    <w:rsid w:val="00302747"/>
    <w:rsid w:val="003066C8"/>
    <w:rsid w:val="00307AC0"/>
    <w:rsid w:val="00311613"/>
    <w:rsid w:val="003218B1"/>
    <w:rsid w:val="00321B18"/>
    <w:rsid w:val="0032462F"/>
    <w:rsid w:val="003268F0"/>
    <w:rsid w:val="00330526"/>
    <w:rsid w:val="00334BF0"/>
    <w:rsid w:val="00336233"/>
    <w:rsid w:val="00346D73"/>
    <w:rsid w:val="00356966"/>
    <w:rsid w:val="00374028"/>
    <w:rsid w:val="003757EF"/>
    <w:rsid w:val="00377320"/>
    <w:rsid w:val="00380D1A"/>
    <w:rsid w:val="00383053"/>
    <w:rsid w:val="00383977"/>
    <w:rsid w:val="00385759"/>
    <w:rsid w:val="003861E1"/>
    <w:rsid w:val="0038705F"/>
    <w:rsid w:val="003904AD"/>
    <w:rsid w:val="0039442A"/>
    <w:rsid w:val="003A12D4"/>
    <w:rsid w:val="003A2470"/>
    <w:rsid w:val="003A31DB"/>
    <w:rsid w:val="003A34B4"/>
    <w:rsid w:val="003A5414"/>
    <w:rsid w:val="003A577E"/>
    <w:rsid w:val="003A5867"/>
    <w:rsid w:val="003B1A0D"/>
    <w:rsid w:val="003B21FB"/>
    <w:rsid w:val="003B664E"/>
    <w:rsid w:val="003C0A96"/>
    <w:rsid w:val="003C2A68"/>
    <w:rsid w:val="003D2C65"/>
    <w:rsid w:val="003D31BF"/>
    <w:rsid w:val="003D3953"/>
    <w:rsid w:val="003D433F"/>
    <w:rsid w:val="003D54B1"/>
    <w:rsid w:val="003F0A82"/>
    <w:rsid w:val="003F26C0"/>
    <w:rsid w:val="004057AD"/>
    <w:rsid w:val="0040742F"/>
    <w:rsid w:val="00410260"/>
    <w:rsid w:val="004102CC"/>
    <w:rsid w:val="00410BC6"/>
    <w:rsid w:val="00420B5C"/>
    <w:rsid w:val="00421B22"/>
    <w:rsid w:val="00424C75"/>
    <w:rsid w:val="00430B20"/>
    <w:rsid w:val="00432D77"/>
    <w:rsid w:val="00443050"/>
    <w:rsid w:val="00443BD3"/>
    <w:rsid w:val="00444413"/>
    <w:rsid w:val="004549FC"/>
    <w:rsid w:val="00455FF7"/>
    <w:rsid w:val="00457680"/>
    <w:rsid w:val="00461033"/>
    <w:rsid w:val="00462F32"/>
    <w:rsid w:val="004633F8"/>
    <w:rsid w:val="00464D2E"/>
    <w:rsid w:val="004661C3"/>
    <w:rsid w:val="004665EF"/>
    <w:rsid w:val="0047075B"/>
    <w:rsid w:val="00474E2D"/>
    <w:rsid w:val="004827F4"/>
    <w:rsid w:val="00482BBA"/>
    <w:rsid w:val="004872B1"/>
    <w:rsid w:val="00490823"/>
    <w:rsid w:val="004910E6"/>
    <w:rsid w:val="00493B20"/>
    <w:rsid w:val="004A4B0F"/>
    <w:rsid w:val="004B5591"/>
    <w:rsid w:val="004B7A1F"/>
    <w:rsid w:val="004C1729"/>
    <w:rsid w:val="004C737D"/>
    <w:rsid w:val="004D4AE4"/>
    <w:rsid w:val="004D4FDB"/>
    <w:rsid w:val="004D6DF1"/>
    <w:rsid w:val="004E32C5"/>
    <w:rsid w:val="004E3DA9"/>
    <w:rsid w:val="004F2F04"/>
    <w:rsid w:val="004F3C27"/>
    <w:rsid w:val="00503572"/>
    <w:rsid w:val="005053CF"/>
    <w:rsid w:val="005110AC"/>
    <w:rsid w:val="0051276B"/>
    <w:rsid w:val="00520CF9"/>
    <w:rsid w:val="00520F53"/>
    <w:rsid w:val="0052191A"/>
    <w:rsid w:val="00521A08"/>
    <w:rsid w:val="00521ECD"/>
    <w:rsid w:val="00523576"/>
    <w:rsid w:val="00526B38"/>
    <w:rsid w:val="00527F9E"/>
    <w:rsid w:val="0053037A"/>
    <w:rsid w:val="00541E09"/>
    <w:rsid w:val="00550C96"/>
    <w:rsid w:val="00550D18"/>
    <w:rsid w:val="00550D7A"/>
    <w:rsid w:val="005521F2"/>
    <w:rsid w:val="00557479"/>
    <w:rsid w:val="0055794B"/>
    <w:rsid w:val="005620F3"/>
    <w:rsid w:val="00564A6F"/>
    <w:rsid w:val="005663D6"/>
    <w:rsid w:val="00572C1D"/>
    <w:rsid w:val="005749AE"/>
    <w:rsid w:val="00577DED"/>
    <w:rsid w:val="005829A2"/>
    <w:rsid w:val="00586AD4"/>
    <w:rsid w:val="005874CA"/>
    <w:rsid w:val="00587907"/>
    <w:rsid w:val="005948C4"/>
    <w:rsid w:val="0059778F"/>
    <w:rsid w:val="005A335D"/>
    <w:rsid w:val="005A3F7F"/>
    <w:rsid w:val="005A5C70"/>
    <w:rsid w:val="005A738D"/>
    <w:rsid w:val="005B1410"/>
    <w:rsid w:val="005B1841"/>
    <w:rsid w:val="005C2E16"/>
    <w:rsid w:val="005C3340"/>
    <w:rsid w:val="005C7656"/>
    <w:rsid w:val="005D3B09"/>
    <w:rsid w:val="005D5210"/>
    <w:rsid w:val="005E3B92"/>
    <w:rsid w:val="005E624D"/>
    <w:rsid w:val="005F0D36"/>
    <w:rsid w:val="005F405C"/>
    <w:rsid w:val="005F4437"/>
    <w:rsid w:val="005F58F4"/>
    <w:rsid w:val="00601125"/>
    <w:rsid w:val="00605347"/>
    <w:rsid w:val="00612342"/>
    <w:rsid w:val="00612397"/>
    <w:rsid w:val="0061429A"/>
    <w:rsid w:val="006152AF"/>
    <w:rsid w:val="00616FE1"/>
    <w:rsid w:val="0061711E"/>
    <w:rsid w:val="00620894"/>
    <w:rsid w:val="00624098"/>
    <w:rsid w:val="00626ABD"/>
    <w:rsid w:val="006323F3"/>
    <w:rsid w:val="006328A6"/>
    <w:rsid w:val="00633302"/>
    <w:rsid w:val="00635907"/>
    <w:rsid w:val="00635EDD"/>
    <w:rsid w:val="00640AAB"/>
    <w:rsid w:val="00647A68"/>
    <w:rsid w:val="00647E6C"/>
    <w:rsid w:val="00650BEC"/>
    <w:rsid w:val="00652E3F"/>
    <w:rsid w:val="006537A3"/>
    <w:rsid w:val="006634D8"/>
    <w:rsid w:val="006661E7"/>
    <w:rsid w:val="006701A0"/>
    <w:rsid w:val="006729DF"/>
    <w:rsid w:val="00673BEE"/>
    <w:rsid w:val="006810D1"/>
    <w:rsid w:val="006912CD"/>
    <w:rsid w:val="006923AD"/>
    <w:rsid w:val="00696C06"/>
    <w:rsid w:val="006978D1"/>
    <w:rsid w:val="006A339E"/>
    <w:rsid w:val="006A3BF2"/>
    <w:rsid w:val="006A500A"/>
    <w:rsid w:val="006B14F2"/>
    <w:rsid w:val="006B33D7"/>
    <w:rsid w:val="006B34F6"/>
    <w:rsid w:val="006C002E"/>
    <w:rsid w:val="006C0176"/>
    <w:rsid w:val="006C12B8"/>
    <w:rsid w:val="006C63DB"/>
    <w:rsid w:val="006D26DE"/>
    <w:rsid w:val="006E3243"/>
    <w:rsid w:val="006E3321"/>
    <w:rsid w:val="006E3ED9"/>
    <w:rsid w:val="006F3341"/>
    <w:rsid w:val="006F35AE"/>
    <w:rsid w:val="006F3C76"/>
    <w:rsid w:val="006F4506"/>
    <w:rsid w:val="006F5831"/>
    <w:rsid w:val="00702742"/>
    <w:rsid w:val="00706EBD"/>
    <w:rsid w:val="0071094B"/>
    <w:rsid w:val="00712A80"/>
    <w:rsid w:val="00713E1D"/>
    <w:rsid w:val="00715247"/>
    <w:rsid w:val="00716986"/>
    <w:rsid w:val="007176D2"/>
    <w:rsid w:val="0071784B"/>
    <w:rsid w:val="00721AAA"/>
    <w:rsid w:val="00723A88"/>
    <w:rsid w:val="00725742"/>
    <w:rsid w:val="00725877"/>
    <w:rsid w:val="00726B4E"/>
    <w:rsid w:val="00726E04"/>
    <w:rsid w:val="007273E2"/>
    <w:rsid w:val="007323DF"/>
    <w:rsid w:val="007427DE"/>
    <w:rsid w:val="007430EF"/>
    <w:rsid w:val="007432EB"/>
    <w:rsid w:val="00746A01"/>
    <w:rsid w:val="00750401"/>
    <w:rsid w:val="0075184F"/>
    <w:rsid w:val="0075412F"/>
    <w:rsid w:val="0075754E"/>
    <w:rsid w:val="0075773B"/>
    <w:rsid w:val="007617DB"/>
    <w:rsid w:val="007652A6"/>
    <w:rsid w:val="00765D2D"/>
    <w:rsid w:val="00765EB7"/>
    <w:rsid w:val="00767B47"/>
    <w:rsid w:val="00771C22"/>
    <w:rsid w:val="00772B92"/>
    <w:rsid w:val="00773FA7"/>
    <w:rsid w:val="00774F9C"/>
    <w:rsid w:val="00776B75"/>
    <w:rsid w:val="00780345"/>
    <w:rsid w:val="007809F3"/>
    <w:rsid w:val="00784F2A"/>
    <w:rsid w:val="00785501"/>
    <w:rsid w:val="00790A3D"/>
    <w:rsid w:val="007A6CD4"/>
    <w:rsid w:val="007A7F69"/>
    <w:rsid w:val="007B0918"/>
    <w:rsid w:val="007B0AD3"/>
    <w:rsid w:val="007B38F7"/>
    <w:rsid w:val="007B502B"/>
    <w:rsid w:val="007C2DDC"/>
    <w:rsid w:val="007C4F71"/>
    <w:rsid w:val="007C58CD"/>
    <w:rsid w:val="007D0B5F"/>
    <w:rsid w:val="007D1C81"/>
    <w:rsid w:val="007D4C26"/>
    <w:rsid w:val="007E0109"/>
    <w:rsid w:val="007E1A97"/>
    <w:rsid w:val="007E489C"/>
    <w:rsid w:val="007E6DA1"/>
    <w:rsid w:val="007E7C80"/>
    <w:rsid w:val="007F0043"/>
    <w:rsid w:val="00810D29"/>
    <w:rsid w:val="008121FA"/>
    <w:rsid w:val="008127FA"/>
    <w:rsid w:val="00812DF6"/>
    <w:rsid w:val="00817DA7"/>
    <w:rsid w:val="00820B82"/>
    <w:rsid w:val="008213CD"/>
    <w:rsid w:val="008226FF"/>
    <w:rsid w:val="008260DE"/>
    <w:rsid w:val="00826773"/>
    <w:rsid w:val="008271D0"/>
    <w:rsid w:val="008277C0"/>
    <w:rsid w:val="008320E8"/>
    <w:rsid w:val="00841218"/>
    <w:rsid w:val="00845546"/>
    <w:rsid w:val="00846988"/>
    <w:rsid w:val="00846E08"/>
    <w:rsid w:val="00850F62"/>
    <w:rsid w:val="0085785E"/>
    <w:rsid w:val="008624A0"/>
    <w:rsid w:val="00863DA7"/>
    <w:rsid w:val="0086709F"/>
    <w:rsid w:val="0087152E"/>
    <w:rsid w:val="008772A1"/>
    <w:rsid w:val="008864EE"/>
    <w:rsid w:val="008978A1"/>
    <w:rsid w:val="008A3738"/>
    <w:rsid w:val="008A4CF9"/>
    <w:rsid w:val="008A51B6"/>
    <w:rsid w:val="008B0922"/>
    <w:rsid w:val="008B4686"/>
    <w:rsid w:val="008B6936"/>
    <w:rsid w:val="008C037D"/>
    <w:rsid w:val="008C7AD9"/>
    <w:rsid w:val="008D17B6"/>
    <w:rsid w:val="008D18E6"/>
    <w:rsid w:val="008D5B2F"/>
    <w:rsid w:val="008E0D7F"/>
    <w:rsid w:val="008E2D79"/>
    <w:rsid w:val="008E3B36"/>
    <w:rsid w:val="008E3BE7"/>
    <w:rsid w:val="008F473D"/>
    <w:rsid w:val="008F72EF"/>
    <w:rsid w:val="008F78EA"/>
    <w:rsid w:val="008F7D5C"/>
    <w:rsid w:val="00900049"/>
    <w:rsid w:val="00901F6B"/>
    <w:rsid w:val="009023A9"/>
    <w:rsid w:val="00904E1C"/>
    <w:rsid w:val="00906DAC"/>
    <w:rsid w:val="00907D55"/>
    <w:rsid w:val="00912B1C"/>
    <w:rsid w:val="00914F55"/>
    <w:rsid w:val="009168C2"/>
    <w:rsid w:val="00922C69"/>
    <w:rsid w:val="00923E3F"/>
    <w:rsid w:val="0092787F"/>
    <w:rsid w:val="00932CB7"/>
    <w:rsid w:val="00932ED7"/>
    <w:rsid w:val="0093593E"/>
    <w:rsid w:val="00936E3C"/>
    <w:rsid w:val="00946C53"/>
    <w:rsid w:val="00951528"/>
    <w:rsid w:val="00960A66"/>
    <w:rsid w:val="009634E7"/>
    <w:rsid w:val="009648CA"/>
    <w:rsid w:val="0097064E"/>
    <w:rsid w:val="00972530"/>
    <w:rsid w:val="00975B46"/>
    <w:rsid w:val="00980CA5"/>
    <w:rsid w:val="0098374D"/>
    <w:rsid w:val="00984DF6"/>
    <w:rsid w:val="00992698"/>
    <w:rsid w:val="009946BF"/>
    <w:rsid w:val="009A5406"/>
    <w:rsid w:val="009A6393"/>
    <w:rsid w:val="009B09E0"/>
    <w:rsid w:val="009C155B"/>
    <w:rsid w:val="009C2759"/>
    <w:rsid w:val="009C50BF"/>
    <w:rsid w:val="009C5853"/>
    <w:rsid w:val="009C62C1"/>
    <w:rsid w:val="009C6C27"/>
    <w:rsid w:val="009C6D6B"/>
    <w:rsid w:val="009E1D5A"/>
    <w:rsid w:val="009E4D41"/>
    <w:rsid w:val="009F0524"/>
    <w:rsid w:val="009F218D"/>
    <w:rsid w:val="009F62B3"/>
    <w:rsid w:val="00A00679"/>
    <w:rsid w:val="00A02A02"/>
    <w:rsid w:val="00A03636"/>
    <w:rsid w:val="00A03849"/>
    <w:rsid w:val="00A046CA"/>
    <w:rsid w:val="00A0779C"/>
    <w:rsid w:val="00A1223E"/>
    <w:rsid w:val="00A15DC4"/>
    <w:rsid w:val="00A16FE0"/>
    <w:rsid w:val="00A21E10"/>
    <w:rsid w:val="00A23A04"/>
    <w:rsid w:val="00A24A0D"/>
    <w:rsid w:val="00A30EFA"/>
    <w:rsid w:val="00A340AB"/>
    <w:rsid w:val="00A3443A"/>
    <w:rsid w:val="00A43494"/>
    <w:rsid w:val="00A518F8"/>
    <w:rsid w:val="00A51D03"/>
    <w:rsid w:val="00A533BA"/>
    <w:rsid w:val="00A53DC1"/>
    <w:rsid w:val="00A5664E"/>
    <w:rsid w:val="00A64E17"/>
    <w:rsid w:val="00A653CA"/>
    <w:rsid w:val="00A6585E"/>
    <w:rsid w:val="00A670A6"/>
    <w:rsid w:val="00A67362"/>
    <w:rsid w:val="00A72E8C"/>
    <w:rsid w:val="00A76A3B"/>
    <w:rsid w:val="00A778C7"/>
    <w:rsid w:val="00A817FE"/>
    <w:rsid w:val="00A82583"/>
    <w:rsid w:val="00A82832"/>
    <w:rsid w:val="00A8407D"/>
    <w:rsid w:val="00A84FCF"/>
    <w:rsid w:val="00A9317A"/>
    <w:rsid w:val="00A960CA"/>
    <w:rsid w:val="00A96A78"/>
    <w:rsid w:val="00AA04C2"/>
    <w:rsid w:val="00AA3494"/>
    <w:rsid w:val="00AA53A0"/>
    <w:rsid w:val="00AA6208"/>
    <w:rsid w:val="00AA6EEC"/>
    <w:rsid w:val="00AA7B22"/>
    <w:rsid w:val="00AB2D39"/>
    <w:rsid w:val="00AB4DFC"/>
    <w:rsid w:val="00AB55B9"/>
    <w:rsid w:val="00AB5A8A"/>
    <w:rsid w:val="00AC255A"/>
    <w:rsid w:val="00AC7563"/>
    <w:rsid w:val="00AD1913"/>
    <w:rsid w:val="00AD7ABA"/>
    <w:rsid w:val="00AE2FCE"/>
    <w:rsid w:val="00AE30A8"/>
    <w:rsid w:val="00AE55D0"/>
    <w:rsid w:val="00AF0C2A"/>
    <w:rsid w:val="00AF24BB"/>
    <w:rsid w:val="00AF661A"/>
    <w:rsid w:val="00B02BDE"/>
    <w:rsid w:val="00B03739"/>
    <w:rsid w:val="00B04655"/>
    <w:rsid w:val="00B050A3"/>
    <w:rsid w:val="00B06094"/>
    <w:rsid w:val="00B10675"/>
    <w:rsid w:val="00B1099B"/>
    <w:rsid w:val="00B10B04"/>
    <w:rsid w:val="00B10CDF"/>
    <w:rsid w:val="00B111DB"/>
    <w:rsid w:val="00B11B50"/>
    <w:rsid w:val="00B12B75"/>
    <w:rsid w:val="00B151A0"/>
    <w:rsid w:val="00B166B1"/>
    <w:rsid w:val="00B209D8"/>
    <w:rsid w:val="00B21CA8"/>
    <w:rsid w:val="00B23A6F"/>
    <w:rsid w:val="00B26452"/>
    <w:rsid w:val="00B27823"/>
    <w:rsid w:val="00B30D42"/>
    <w:rsid w:val="00B31C02"/>
    <w:rsid w:val="00B34B9B"/>
    <w:rsid w:val="00B36A08"/>
    <w:rsid w:val="00B43A20"/>
    <w:rsid w:val="00B45BFE"/>
    <w:rsid w:val="00B50F6F"/>
    <w:rsid w:val="00B607FC"/>
    <w:rsid w:val="00B60841"/>
    <w:rsid w:val="00B60EA4"/>
    <w:rsid w:val="00B62CB5"/>
    <w:rsid w:val="00B63349"/>
    <w:rsid w:val="00B64FB2"/>
    <w:rsid w:val="00B65A05"/>
    <w:rsid w:val="00B671F8"/>
    <w:rsid w:val="00B67EF2"/>
    <w:rsid w:val="00B70862"/>
    <w:rsid w:val="00B72AEC"/>
    <w:rsid w:val="00B761EA"/>
    <w:rsid w:val="00B76F18"/>
    <w:rsid w:val="00B7745B"/>
    <w:rsid w:val="00B80D6A"/>
    <w:rsid w:val="00B82E8C"/>
    <w:rsid w:val="00B91FBB"/>
    <w:rsid w:val="00B9207F"/>
    <w:rsid w:val="00BA39B0"/>
    <w:rsid w:val="00BA4D25"/>
    <w:rsid w:val="00BA6609"/>
    <w:rsid w:val="00BA671A"/>
    <w:rsid w:val="00BA682B"/>
    <w:rsid w:val="00BA7205"/>
    <w:rsid w:val="00BB2287"/>
    <w:rsid w:val="00BB3162"/>
    <w:rsid w:val="00BB52F9"/>
    <w:rsid w:val="00BC0D50"/>
    <w:rsid w:val="00BC4371"/>
    <w:rsid w:val="00BD145E"/>
    <w:rsid w:val="00BD1B15"/>
    <w:rsid w:val="00BD2DFC"/>
    <w:rsid w:val="00BE2036"/>
    <w:rsid w:val="00BE3082"/>
    <w:rsid w:val="00BE6C85"/>
    <w:rsid w:val="00BF14AE"/>
    <w:rsid w:val="00C000B9"/>
    <w:rsid w:val="00C011D6"/>
    <w:rsid w:val="00C04C9C"/>
    <w:rsid w:val="00C0569E"/>
    <w:rsid w:val="00C15179"/>
    <w:rsid w:val="00C1609B"/>
    <w:rsid w:val="00C1619F"/>
    <w:rsid w:val="00C16C5E"/>
    <w:rsid w:val="00C206C2"/>
    <w:rsid w:val="00C212CF"/>
    <w:rsid w:val="00C24075"/>
    <w:rsid w:val="00C279A3"/>
    <w:rsid w:val="00C30E41"/>
    <w:rsid w:val="00C323CC"/>
    <w:rsid w:val="00C33697"/>
    <w:rsid w:val="00C377B6"/>
    <w:rsid w:val="00C37AB6"/>
    <w:rsid w:val="00C43C29"/>
    <w:rsid w:val="00C44813"/>
    <w:rsid w:val="00C5480C"/>
    <w:rsid w:val="00C54EC8"/>
    <w:rsid w:val="00C5532C"/>
    <w:rsid w:val="00C55598"/>
    <w:rsid w:val="00C55977"/>
    <w:rsid w:val="00C636B3"/>
    <w:rsid w:val="00C67E51"/>
    <w:rsid w:val="00C72F7F"/>
    <w:rsid w:val="00C74151"/>
    <w:rsid w:val="00C74B10"/>
    <w:rsid w:val="00C80F68"/>
    <w:rsid w:val="00C829EE"/>
    <w:rsid w:val="00C8511C"/>
    <w:rsid w:val="00C93886"/>
    <w:rsid w:val="00C93E96"/>
    <w:rsid w:val="00C96AD9"/>
    <w:rsid w:val="00CA0A56"/>
    <w:rsid w:val="00CA71CE"/>
    <w:rsid w:val="00CC3A3B"/>
    <w:rsid w:val="00CC7446"/>
    <w:rsid w:val="00CC7F9A"/>
    <w:rsid w:val="00CD0720"/>
    <w:rsid w:val="00CD3CAF"/>
    <w:rsid w:val="00CE0091"/>
    <w:rsid w:val="00CE3F8B"/>
    <w:rsid w:val="00CE52FA"/>
    <w:rsid w:val="00CF3340"/>
    <w:rsid w:val="00D00163"/>
    <w:rsid w:val="00D04950"/>
    <w:rsid w:val="00D11A24"/>
    <w:rsid w:val="00D1262B"/>
    <w:rsid w:val="00D13BF8"/>
    <w:rsid w:val="00D1713A"/>
    <w:rsid w:val="00D2005F"/>
    <w:rsid w:val="00D20878"/>
    <w:rsid w:val="00D2197C"/>
    <w:rsid w:val="00D22391"/>
    <w:rsid w:val="00D23CBA"/>
    <w:rsid w:val="00D27F40"/>
    <w:rsid w:val="00D30FD5"/>
    <w:rsid w:val="00D35B08"/>
    <w:rsid w:val="00D37FA6"/>
    <w:rsid w:val="00D44E7E"/>
    <w:rsid w:val="00D458A4"/>
    <w:rsid w:val="00D46586"/>
    <w:rsid w:val="00D47343"/>
    <w:rsid w:val="00D519D9"/>
    <w:rsid w:val="00D71A03"/>
    <w:rsid w:val="00D72419"/>
    <w:rsid w:val="00D74BF8"/>
    <w:rsid w:val="00D753C7"/>
    <w:rsid w:val="00D75DF9"/>
    <w:rsid w:val="00D77B3A"/>
    <w:rsid w:val="00D83A55"/>
    <w:rsid w:val="00D8644F"/>
    <w:rsid w:val="00D932F9"/>
    <w:rsid w:val="00D94CEA"/>
    <w:rsid w:val="00D94E0B"/>
    <w:rsid w:val="00DB38CA"/>
    <w:rsid w:val="00DB6722"/>
    <w:rsid w:val="00DB6DD8"/>
    <w:rsid w:val="00DB73A0"/>
    <w:rsid w:val="00DC74F7"/>
    <w:rsid w:val="00DD0781"/>
    <w:rsid w:val="00DD12C7"/>
    <w:rsid w:val="00DD2A37"/>
    <w:rsid w:val="00DD3FDD"/>
    <w:rsid w:val="00DD4630"/>
    <w:rsid w:val="00DD7069"/>
    <w:rsid w:val="00DF0EAC"/>
    <w:rsid w:val="00E0770F"/>
    <w:rsid w:val="00E07ABA"/>
    <w:rsid w:val="00E106C9"/>
    <w:rsid w:val="00E135D8"/>
    <w:rsid w:val="00E13995"/>
    <w:rsid w:val="00E14DC8"/>
    <w:rsid w:val="00E16DF6"/>
    <w:rsid w:val="00E2026E"/>
    <w:rsid w:val="00E2306C"/>
    <w:rsid w:val="00E24EE9"/>
    <w:rsid w:val="00E25A7F"/>
    <w:rsid w:val="00E25EC5"/>
    <w:rsid w:val="00E25FF5"/>
    <w:rsid w:val="00E315D1"/>
    <w:rsid w:val="00E3661C"/>
    <w:rsid w:val="00E41B14"/>
    <w:rsid w:val="00E4423E"/>
    <w:rsid w:val="00E44739"/>
    <w:rsid w:val="00E4703D"/>
    <w:rsid w:val="00E474E7"/>
    <w:rsid w:val="00E54FD1"/>
    <w:rsid w:val="00E56156"/>
    <w:rsid w:val="00E56A9F"/>
    <w:rsid w:val="00E6028E"/>
    <w:rsid w:val="00E612E0"/>
    <w:rsid w:val="00E63118"/>
    <w:rsid w:val="00E63F93"/>
    <w:rsid w:val="00E678C0"/>
    <w:rsid w:val="00E7590A"/>
    <w:rsid w:val="00E77C2B"/>
    <w:rsid w:val="00E90C8E"/>
    <w:rsid w:val="00E91544"/>
    <w:rsid w:val="00E96BFC"/>
    <w:rsid w:val="00E97BF6"/>
    <w:rsid w:val="00EA020C"/>
    <w:rsid w:val="00EA1698"/>
    <w:rsid w:val="00EA1803"/>
    <w:rsid w:val="00EA21B5"/>
    <w:rsid w:val="00EA63A5"/>
    <w:rsid w:val="00EA7348"/>
    <w:rsid w:val="00EB40CC"/>
    <w:rsid w:val="00EC4682"/>
    <w:rsid w:val="00ED21A2"/>
    <w:rsid w:val="00ED36DE"/>
    <w:rsid w:val="00ED47D4"/>
    <w:rsid w:val="00ED4C67"/>
    <w:rsid w:val="00ED4C8D"/>
    <w:rsid w:val="00ED7D28"/>
    <w:rsid w:val="00EE0D33"/>
    <w:rsid w:val="00EE74B9"/>
    <w:rsid w:val="00EF14BA"/>
    <w:rsid w:val="00EF237B"/>
    <w:rsid w:val="00EF248A"/>
    <w:rsid w:val="00EF51F2"/>
    <w:rsid w:val="00EF73BE"/>
    <w:rsid w:val="00F007B2"/>
    <w:rsid w:val="00F00E13"/>
    <w:rsid w:val="00F04202"/>
    <w:rsid w:val="00F046EE"/>
    <w:rsid w:val="00F0497D"/>
    <w:rsid w:val="00F05800"/>
    <w:rsid w:val="00F1478C"/>
    <w:rsid w:val="00F23D34"/>
    <w:rsid w:val="00F24557"/>
    <w:rsid w:val="00F2696F"/>
    <w:rsid w:val="00F31C84"/>
    <w:rsid w:val="00F32201"/>
    <w:rsid w:val="00F35A8A"/>
    <w:rsid w:val="00F3784F"/>
    <w:rsid w:val="00F378E9"/>
    <w:rsid w:val="00F425CA"/>
    <w:rsid w:val="00F44D17"/>
    <w:rsid w:val="00F4502C"/>
    <w:rsid w:val="00F45233"/>
    <w:rsid w:val="00F555EA"/>
    <w:rsid w:val="00F60B90"/>
    <w:rsid w:val="00F70029"/>
    <w:rsid w:val="00F735D7"/>
    <w:rsid w:val="00F83519"/>
    <w:rsid w:val="00F83606"/>
    <w:rsid w:val="00F84E61"/>
    <w:rsid w:val="00F86C6C"/>
    <w:rsid w:val="00F875A6"/>
    <w:rsid w:val="00F92F79"/>
    <w:rsid w:val="00F954A9"/>
    <w:rsid w:val="00F96892"/>
    <w:rsid w:val="00FA3259"/>
    <w:rsid w:val="00FA387A"/>
    <w:rsid w:val="00FA3A90"/>
    <w:rsid w:val="00FA3B38"/>
    <w:rsid w:val="00FA525E"/>
    <w:rsid w:val="00FA5B7F"/>
    <w:rsid w:val="00FC28D4"/>
    <w:rsid w:val="00FC40B5"/>
    <w:rsid w:val="00FC4B55"/>
    <w:rsid w:val="00FC54FE"/>
    <w:rsid w:val="00FD1F6F"/>
    <w:rsid w:val="00FD2FCD"/>
    <w:rsid w:val="00FD3E03"/>
    <w:rsid w:val="00FD3FE2"/>
    <w:rsid w:val="00FD5DBC"/>
    <w:rsid w:val="00FD7752"/>
    <w:rsid w:val="00FD7F83"/>
    <w:rsid w:val="00FF23E4"/>
    <w:rsid w:val="00FF46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07FD"/>
  <w15:docId w15:val="{F510BC69-18FA-49FE-9372-F728CC3C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99"/>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4E3DA9"/>
    <w:rPr>
      <w:sz w:val="16"/>
      <w:szCs w:val="16"/>
    </w:rPr>
  </w:style>
  <w:style w:type="paragraph" w:styleId="CommentText">
    <w:name w:val="annotation text"/>
    <w:basedOn w:val="Normal"/>
    <w:link w:val="CommentTextChar"/>
    <w:uiPriority w:val="99"/>
    <w:semiHidden/>
    <w:unhideWhenUsed/>
    <w:rsid w:val="004E3DA9"/>
    <w:pPr>
      <w:spacing w:line="240" w:lineRule="auto"/>
    </w:pPr>
    <w:rPr>
      <w:sz w:val="20"/>
      <w:szCs w:val="20"/>
    </w:rPr>
  </w:style>
  <w:style w:type="character" w:customStyle="1" w:styleId="CommentTextChar">
    <w:name w:val="Comment Text Char"/>
    <w:basedOn w:val="DefaultParagraphFont"/>
    <w:link w:val="CommentText"/>
    <w:uiPriority w:val="99"/>
    <w:semiHidden/>
    <w:rsid w:val="004E3DA9"/>
    <w:rPr>
      <w:sz w:val="20"/>
      <w:szCs w:val="20"/>
    </w:rPr>
  </w:style>
  <w:style w:type="paragraph" w:styleId="CommentSubject">
    <w:name w:val="annotation subject"/>
    <w:basedOn w:val="CommentText"/>
    <w:next w:val="CommentText"/>
    <w:link w:val="CommentSubjectChar"/>
    <w:uiPriority w:val="99"/>
    <w:semiHidden/>
    <w:unhideWhenUsed/>
    <w:rsid w:val="004E3DA9"/>
    <w:rPr>
      <w:b/>
      <w:bCs/>
    </w:rPr>
  </w:style>
  <w:style w:type="character" w:customStyle="1" w:styleId="CommentSubjectChar">
    <w:name w:val="Comment Subject Char"/>
    <w:basedOn w:val="CommentTextChar"/>
    <w:link w:val="CommentSubject"/>
    <w:uiPriority w:val="99"/>
    <w:semiHidden/>
    <w:rsid w:val="004E3DA9"/>
    <w:rPr>
      <w:b/>
      <w:bCs/>
      <w:sz w:val="20"/>
      <w:szCs w:val="20"/>
    </w:rPr>
  </w:style>
  <w:style w:type="paragraph" w:styleId="Header">
    <w:name w:val="header"/>
    <w:basedOn w:val="Normal"/>
    <w:link w:val="HeaderChar"/>
    <w:uiPriority w:val="99"/>
    <w:unhideWhenUsed/>
    <w:rsid w:val="00E9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4"/>
  </w:style>
  <w:style w:type="paragraph" w:customStyle="1" w:styleId="Default">
    <w:name w:val="Default"/>
    <w:rsid w:val="003D31B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2E3FBA"/>
    <w:rPr>
      <w:b/>
      <w:bCs/>
    </w:rPr>
  </w:style>
  <w:style w:type="paragraph" w:customStyle="1" w:styleId="NeniTitull">
    <w:name w:val="Neni_Titull"/>
    <w:next w:val="Normal"/>
    <w:uiPriority w:val="99"/>
    <w:rsid w:val="000F3A2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129893">
      <w:bodyDiv w:val="1"/>
      <w:marLeft w:val="0"/>
      <w:marRight w:val="0"/>
      <w:marTop w:val="0"/>
      <w:marBottom w:val="0"/>
      <w:divBdr>
        <w:top w:val="none" w:sz="0" w:space="0" w:color="auto"/>
        <w:left w:val="none" w:sz="0" w:space="0" w:color="auto"/>
        <w:bottom w:val="none" w:sz="0" w:space="0" w:color="auto"/>
        <w:right w:val="none" w:sz="0" w:space="0" w:color="auto"/>
      </w:divBdr>
    </w:div>
    <w:div w:id="20342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4792AE1F1C644BE986184DFD93DDC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2022-07-12T11:51:10Z</Data_x0020_e_x0020_Krijimit>
    <Modifikuesi xmlns="0e656187-b300-4fb0-8bf4-3a50f872073c">Eliona.Lloja</Modifikuesi>
    <Data_x0020_e_x0020_Modifikimit xmlns="0e656187-b300-4fb0-8bf4-3a50f872073c">2022-07-12T11:51:10Z</Data_x0020_e_x0020_Modifikimit>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84792AE1F1C644BE986184DFD93DDC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DEEEE-D30F-401D-BC73-3CCC3CC6C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E130B0-9B54-4099-A252-5E4FAA16213F}">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BB724D1-8D79-4B24-AD02-0E7854B10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0CF4E85-C881-4EF0-8D99-C527E52987B4}">
  <ds:schemaRefs>
    <ds:schemaRef ds:uri="http://schemas.microsoft.com/sharepoint/v3/contenttype/forms"/>
  </ds:schemaRefs>
</ds:datastoreItem>
</file>

<file path=customXml/itemProps5.xml><?xml version="1.0" encoding="utf-8"?>
<ds:datastoreItem xmlns:ds="http://schemas.openxmlformats.org/officeDocument/2006/customXml" ds:itemID="{138C4147-FE16-41CF-8CCE-86F2B7ABFFFD}">
  <ds:schemaRefs>
    <ds:schemaRef ds:uri="http://schemas.microsoft.com/sharepoint/v3/contenttype/forms"/>
  </ds:schemaRefs>
</ds:datastoreItem>
</file>

<file path=customXml/itemProps6.xml><?xml version="1.0" encoding="utf-8"?>
<ds:datastoreItem xmlns:ds="http://schemas.openxmlformats.org/officeDocument/2006/customXml" ds:itemID="{F78DEB24-3C94-4469-9104-FB45C4548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17</Pages>
  <Words>5501</Words>
  <Characters>31360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Për kriteret dhe procedurat për njohjen dhe njësimin në Republikën e Shqipërisë, të diplomave, certifikatave, gradave shkencore dhe titujve akademikë, të lëshuara nga institucione të huaja të Arsimit të Lartë dhe institucione të tjera të autorizuara</vt:lpstr>
    </vt:vector>
  </TitlesOfParts>
  <Company/>
  <LinksUpToDate>false</LinksUpToDate>
  <CharactersWithSpaces>36788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për njohjen dhe njësimin në Republikën e Shqipërisë, të diplomave, certifikatave, gradave shkencore dhe titujve akademikë, të lëshuara nga institucione të huaja të Arsimit të Lartë dhe institucione të tjera të autorizuara</dc:title>
  <dc:creator>GIMI</dc:creator>
  <cp:lastModifiedBy>Besiana Aleti</cp:lastModifiedBy>
  <cp:revision>110</cp:revision>
  <cp:lastPrinted>2021-10-25T09:43:00Z</cp:lastPrinted>
  <dcterms:created xsi:type="dcterms:W3CDTF">2021-10-25T09:28:00Z</dcterms:created>
  <dcterms:modified xsi:type="dcterms:W3CDTF">2024-01-24T09:02:00Z</dcterms:modified>
</cp:coreProperties>
</file>