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1C9B9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UDHËZIM</w:t>
      </w:r>
    </w:p>
    <w:p w14:paraId="4151C9BA" w14:textId="498278E6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N</w:t>
      </w:r>
      <w:r w:rsidRPr="00454D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</w:t>
      </w:r>
      <w:r w:rsidRPr="00454D2D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.</w:t>
      </w:r>
      <w:r w:rsidR="00454D2D" w:rsidRPr="00454D2D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 </w:t>
      </w:r>
      <w:r w:rsidRPr="00454D2D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9, </w:t>
      </w:r>
      <w:r w:rsidRPr="00454D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</w:t>
      </w:r>
      <w:r w:rsidRPr="00454D2D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 21.3.2023</w:t>
      </w:r>
    </w:p>
    <w:p w14:paraId="4151C9BB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4151C9BC" w14:textId="129FC1C6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PëR </w:t>
      </w:r>
      <w:r w:rsidRPr="00454D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SHTESA NË UDHËZIMIN NR. 17, DATË 5.7.2022</w:t>
      </w:r>
      <w:r w:rsidR="00454D2D" w:rsidRPr="00454D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454D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“PËR VLERËSIMIN E NXËNËSVE NË SISTEMIN ARSIMOR PARAUNIVERSITAR”</w:t>
      </w:r>
    </w:p>
    <w:p w14:paraId="4151C9BD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51C9BE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C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pikës 4, të nenit 102, të Kushtetutës së Republikës së Shqipërisë, të pikës 4, të nenit 48, të ligjit nr. 69/2012, “Për sistemin arsimor parauniversitar në Republikën e Shqipërisë”, i ndryshuar, </w:t>
      </w:r>
    </w:p>
    <w:p w14:paraId="4151C9BF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51C9C0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4151C9C1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51C9C2" w14:textId="07C57590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I. Në udhëzimin nr. 17, datë 5.7.2022</w:t>
      </w:r>
      <w:r w:rsidR="00454D2D"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vlerësimin e nxënësve në sistemin arsimor  parauniversitar”, pas nenit 9, të shtohen neni 9/1 dhe neni 9/2 me përmbajtje, si më poshtë:</w:t>
      </w:r>
    </w:p>
    <w:p w14:paraId="4151C9C3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51C9C4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9/1</w:t>
      </w:r>
    </w:p>
    <w:p w14:paraId="4151C9C5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“Vlerësimi i nxënësve në shkollat e orientuara të drejtimit artistik”</w:t>
      </w:r>
    </w:p>
    <w:p w14:paraId="4151C9C6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51C9C7" w14:textId="7A55CB01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1. Për të gjith</w:t>
      </w:r>
      <w:r w:rsidR="00C640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</w:t>
      </w:r>
      <w:bookmarkStart w:id="0" w:name="_GoBack"/>
      <w:bookmarkEnd w:id="0"/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lëndët e kulturës së përgjithshme, vlerësimi i nxënësve realizohet në përputhje me përcakt</w:t>
      </w:r>
      <w:r w:rsidR="00454D2D"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imet në udhëzimin nr. 17, datë 5.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7.2022</w:t>
      </w:r>
      <w:r w:rsidR="00454D2D"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Ministrisë së Arsimit dhe Sportit</w:t>
      </w:r>
      <w:r w:rsidR="00454D2D"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vlerësimin e nxënësve në sistemin arsimor parauniversitar”.</w:t>
      </w:r>
    </w:p>
    <w:p w14:paraId="4151C9C8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2. Për të gjitha lëndët e kurrikulës artistike, vlerësimi realizohet në dy periudha, si më poshtë:</w:t>
      </w:r>
    </w:p>
    <w:p w14:paraId="2106BF08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454D2D"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periudha e parë: shtator – janar; </w:t>
      </w:r>
    </w:p>
    <w:p w14:paraId="1ADB487C" w14:textId="77777777" w:rsidR="00634374" w:rsidRPr="00454D2D" w:rsidRDefault="00454D2D" w:rsidP="0063437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b) periudha e dytë: shkurt – qershor</w:t>
      </w:r>
      <w:r w:rsidR="00634374"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151C9CB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3. Dokumentimi në regjistër i rezultateve të vlerësimit të të nxënit për lëndët e kurrikulës artistike sipas periudhave për shkollat e orientuara të drejtimit artistik në degët “Muzikë” dhe “Koreografi”, të jetë si më poshtë:</w:t>
      </w:r>
    </w:p>
    <w:p w14:paraId="4151C9CC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8835" w:type="dxa"/>
        <w:jc w:val="center"/>
        <w:tblLayout w:type="fixed"/>
        <w:tblLook w:val="04A0" w:firstRow="1" w:lastRow="0" w:firstColumn="1" w:lastColumn="0" w:noHBand="0" w:noVBand="1"/>
      </w:tblPr>
      <w:tblGrid>
        <w:gridCol w:w="1118"/>
        <w:gridCol w:w="1394"/>
        <w:gridCol w:w="1006"/>
        <w:gridCol w:w="1350"/>
        <w:gridCol w:w="1134"/>
        <w:gridCol w:w="1386"/>
        <w:gridCol w:w="1447"/>
      </w:tblGrid>
      <w:tr w:rsidR="00634374" w:rsidRPr="00454D2D" w14:paraId="4151C9D1" w14:textId="77777777" w:rsidTr="003C7AEC">
        <w:trPr>
          <w:trHeight w:val="57"/>
          <w:jc w:val="center"/>
        </w:trPr>
        <w:tc>
          <w:tcPr>
            <w:tcW w:w="2512" w:type="dxa"/>
            <w:gridSpan w:val="2"/>
            <w:vAlign w:val="bottom"/>
          </w:tcPr>
          <w:p w14:paraId="4151C9CD" w14:textId="77777777" w:rsidR="00634374" w:rsidRPr="003C7AEC" w:rsidRDefault="00634374" w:rsidP="00634374">
            <w:pPr>
              <w:jc w:val="center"/>
              <w:rPr>
                <w:rFonts w:ascii="Garamond" w:hAnsi="Garamond" w:cs="Times New Roman"/>
                <w:b/>
                <w:szCs w:val="24"/>
                <w:lang w:val="sq-AL"/>
              </w:rPr>
            </w:pPr>
            <w:r w:rsidRPr="003C7AEC">
              <w:rPr>
                <w:rFonts w:ascii="Garamond" w:hAnsi="Garamond" w:cs="Times New Roman"/>
                <w:b/>
                <w:szCs w:val="24"/>
                <w:lang w:val="sq-AL"/>
              </w:rPr>
              <w:t>Periudha e parë</w:t>
            </w:r>
          </w:p>
        </w:tc>
        <w:tc>
          <w:tcPr>
            <w:tcW w:w="2356" w:type="dxa"/>
            <w:gridSpan w:val="2"/>
            <w:vAlign w:val="bottom"/>
          </w:tcPr>
          <w:p w14:paraId="4151C9CE" w14:textId="77777777" w:rsidR="00634374" w:rsidRPr="003C7AEC" w:rsidRDefault="00634374" w:rsidP="00634374">
            <w:pPr>
              <w:jc w:val="center"/>
              <w:rPr>
                <w:rFonts w:ascii="Garamond" w:hAnsi="Garamond" w:cs="Times New Roman"/>
                <w:b/>
                <w:szCs w:val="24"/>
                <w:lang w:val="sq-AL"/>
              </w:rPr>
            </w:pPr>
            <w:r w:rsidRPr="003C7AEC">
              <w:rPr>
                <w:rFonts w:ascii="Garamond" w:hAnsi="Garamond" w:cs="Times New Roman"/>
                <w:b/>
                <w:szCs w:val="24"/>
                <w:lang w:val="sq-AL"/>
              </w:rPr>
              <w:t>Periudha e dytë</w:t>
            </w:r>
          </w:p>
        </w:tc>
        <w:tc>
          <w:tcPr>
            <w:tcW w:w="2520" w:type="dxa"/>
            <w:gridSpan w:val="2"/>
            <w:vAlign w:val="bottom"/>
          </w:tcPr>
          <w:p w14:paraId="4151C9CF" w14:textId="77777777" w:rsidR="00634374" w:rsidRPr="003C7AEC" w:rsidRDefault="00634374" w:rsidP="00634374">
            <w:pPr>
              <w:jc w:val="center"/>
              <w:rPr>
                <w:rFonts w:ascii="Garamond" w:eastAsia="PMingLiU-ExtB" w:hAnsi="Garamond" w:cs="PMingLiU-ExtB"/>
                <w:b/>
                <w:szCs w:val="24"/>
                <w:lang w:val="sq-AL"/>
              </w:rPr>
            </w:pPr>
            <w:r w:rsidRPr="003C7AEC">
              <w:rPr>
                <w:rFonts w:ascii="Garamond" w:hAnsi="Garamond" w:cs="Times New Roman"/>
                <w:b/>
                <w:szCs w:val="24"/>
                <w:lang w:val="sq-AL"/>
              </w:rPr>
              <w:t>Vlerësimi vjetor</w:t>
            </w:r>
          </w:p>
        </w:tc>
        <w:tc>
          <w:tcPr>
            <w:tcW w:w="1447" w:type="dxa"/>
            <w:vAlign w:val="bottom"/>
          </w:tcPr>
          <w:p w14:paraId="4151C9D0" w14:textId="77777777" w:rsidR="00634374" w:rsidRPr="003C7AEC" w:rsidRDefault="00634374" w:rsidP="00634374">
            <w:pPr>
              <w:jc w:val="center"/>
              <w:rPr>
                <w:rFonts w:ascii="Garamond" w:hAnsi="Garamond" w:cs="Times New Roman"/>
                <w:b/>
                <w:szCs w:val="24"/>
                <w:lang w:val="sq-AL"/>
              </w:rPr>
            </w:pPr>
            <w:r w:rsidRPr="003C7AEC">
              <w:rPr>
                <w:rFonts w:ascii="Garamond" w:hAnsi="Garamond" w:cs="Times New Roman"/>
                <w:b/>
                <w:szCs w:val="24"/>
                <w:lang w:val="sq-AL"/>
              </w:rPr>
              <w:t>Nota përfundimtare</w:t>
            </w:r>
          </w:p>
        </w:tc>
      </w:tr>
      <w:tr w:rsidR="00634374" w:rsidRPr="00454D2D" w14:paraId="4151C9D9" w14:textId="77777777" w:rsidTr="003C7AEC">
        <w:trPr>
          <w:trHeight w:val="57"/>
          <w:jc w:val="center"/>
        </w:trPr>
        <w:tc>
          <w:tcPr>
            <w:tcW w:w="1118" w:type="dxa"/>
            <w:vAlign w:val="center"/>
          </w:tcPr>
          <w:p w14:paraId="4151C9D2" w14:textId="77777777" w:rsidR="00634374" w:rsidRPr="00454D2D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  <w:r w:rsidRPr="00454D2D">
              <w:rPr>
                <w:rFonts w:ascii="Garamond" w:hAnsi="Garamond" w:cs="Times New Roman"/>
                <w:szCs w:val="24"/>
                <w:lang w:val="sq-AL"/>
              </w:rPr>
              <w:t>Vlerësim i vazhduar teknik</w:t>
            </w:r>
          </w:p>
        </w:tc>
        <w:tc>
          <w:tcPr>
            <w:tcW w:w="1394" w:type="dxa"/>
            <w:vAlign w:val="center"/>
          </w:tcPr>
          <w:p w14:paraId="4151C9D3" w14:textId="198B1621" w:rsidR="00634374" w:rsidRPr="00454D2D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  <w:r w:rsidRPr="00454D2D">
              <w:rPr>
                <w:rFonts w:ascii="Garamond" w:hAnsi="Garamond" w:cs="Times New Roman"/>
                <w:szCs w:val="24"/>
                <w:lang w:val="sq-AL"/>
              </w:rPr>
              <w:t>Detyrë përmbledhëse (</w:t>
            </w:r>
            <w:r w:rsidR="003C7AEC" w:rsidRPr="00454D2D">
              <w:rPr>
                <w:rFonts w:ascii="Garamond" w:hAnsi="Garamond" w:cs="Times New Roman"/>
                <w:szCs w:val="24"/>
                <w:lang w:val="sq-AL"/>
              </w:rPr>
              <w:t>saxho</w:t>
            </w:r>
            <w:r w:rsidRPr="00454D2D">
              <w:rPr>
                <w:rFonts w:ascii="Garamond" w:hAnsi="Garamond" w:cs="Times New Roman"/>
                <w:szCs w:val="24"/>
                <w:lang w:val="sq-AL"/>
              </w:rPr>
              <w:t xml:space="preserve">) </w:t>
            </w:r>
          </w:p>
        </w:tc>
        <w:tc>
          <w:tcPr>
            <w:tcW w:w="1006" w:type="dxa"/>
            <w:vAlign w:val="center"/>
          </w:tcPr>
          <w:p w14:paraId="4151C9D4" w14:textId="77777777" w:rsidR="00634374" w:rsidRPr="00454D2D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  <w:r w:rsidRPr="00454D2D">
              <w:rPr>
                <w:rFonts w:ascii="Garamond" w:hAnsi="Garamond" w:cs="Times New Roman"/>
                <w:szCs w:val="24"/>
                <w:lang w:val="sq-AL"/>
              </w:rPr>
              <w:t>Vlerësim i vazhduar teknik</w:t>
            </w:r>
          </w:p>
        </w:tc>
        <w:tc>
          <w:tcPr>
            <w:tcW w:w="1350" w:type="dxa"/>
            <w:vAlign w:val="center"/>
          </w:tcPr>
          <w:p w14:paraId="4151C9D5" w14:textId="205593EE" w:rsidR="00634374" w:rsidRPr="00454D2D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  <w:r w:rsidRPr="00454D2D">
              <w:rPr>
                <w:rFonts w:ascii="Garamond" w:hAnsi="Garamond" w:cs="Times New Roman"/>
                <w:szCs w:val="24"/>
                <w:lang w:val="sq-AL"/>
              </w:rPr>
              <w:t>Detyrë përmbledhëse (</w:t>
            </w:r>
            <w:r w:rsidR="003C7AEC" w:rsidRPr="00454D2D">
              <w:rPr>
                <w:rFonts w:ascii="Garamond" w:hAnsi="Garamond" w:cs="Times New Roman"/>
                <w:szCs w:val="24"/>
                <w:lang w:val="sq-AL"/>
              </w:rPr>
              <w:t>saxho</w:t>
            </w:r>
            <w:r w:rsidRPr="00454D2D">
              <w:rPr>
                <w:rFonts w:ascii="Garamond" w:hAnsi="Garamond" w:cs="Times New Roman"/>
                <w:szCs w:val="24"/>
                <w:lang w:val="sq-AL"/>
              </w:rPr>
              <w:t xml:space="preserve">) </w:t>
            </w:r>
          </w:p>
        </w:tc>
        <w:tc>
          <w:tcPr>
            <w:tcW w:w="1134" w:type="dxa"/>
            <w:vAlign w:val="center"/>
          </w:tcPr>
          <w:p w14:paraId="4151C9D6" w14:textId="77777777" w:rsidR="00634374" w:rsidRPr="00454D2D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  <w:r w:rsidRPr="00454D2D">
              <w:rPr>
                <w:rFonts w:ascii="Garamond" w:hAnsi="Garamond" w:cs="Times New Roman"/>
                <w:szCs w:val="24"/>
                <w:lang w:val="sq-AL"/>
              </w:rPr>
              <w:t>Vlerësim i vazhduar teknik</w:t>
            </w:r>
          </w:p>
        </w:tc>
        <w:tc>
          <w:tcPr>
            <w:tcW w:w="1386" w:type="dxa"/>
            <w:vAlign w:val="center"/>
          </w:tcPr>
          <w:p w14:paraId="4151C9D7" w14:textId="374C9455" w:rsidR="00634374" w:rsidRPr="00454D2D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  <w:r w:rsidRPr="00454D2D">
              <w:rPr>
                <w:rFonts w:ascii="Garamond" w:hAnsi="Garamond" w:cs="Times New Roman"/>
                <w:szCs w:val="24"/>
                <w:lang w:val="sq-AL"/>
              </w:rPr>
              <w:t>Detyrë përmbledhëse (</w:t>
            </w:r>
            <w:r w:rsidR="003C7AEC" w:rsidRPr="00454D2D">
              <w:rPr>
                <w:rFonts w:ascii="Garamond" w:hAnsi="Garamond" w:cs="Times New Roman"/>
                <w:szCs w:val="24"/>
                <w:lang w:val="sq-AL"/>
              </w:rPr>
              <w:t>saxho</w:t>
            </w:r>
            <w:r w:rsidRPr="00454D2D">
              <w:rPr>
                <w:rFonts w:ascii="Garamond" w:hAnsi="Garamond" w:cs="Times New Roman"/>
                <w:szCs w:val="24"/>
                <w:lang w:val="sq-AL"/>
              </w:rPr>
              <w:t xml:space="preserve">) </w:t>
            </w:r>
          </w:p>
        </w:tc>
        <w:tc>
          <w:tcPr>
            <w:tcW w:w="1447" w:type="dxa"/>
            <w:vAlign w:val="center"/>
          </w:tcPr>
          <w:p w14:paraId="4151C9D8" w14:textId="77777777" w:rsidR="00634374" w:rsidRPr="00454D2D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</w:p>
        </w:tc>
      </w:tr>
      <w:tr w:rsidR="003C7AEC" w:rsidRPr="00454D2D" w14:paraId="1736933F" w14:textId="77777777" w:rsidTr="003C7AEC">
        <w:trPr>
          <w:trHeight w:val="57"/>
          <w:jc w:val="center"/>
        </w:trPr>
        <w:tc>
          <w:tcPr>
            <w:tcW w:w="1118" w:type="dxa"/>
            <w:vAlign w:val="center"/>
          </w:tcPr>
          <w:p w14:paraId="3F785AD0" w14:textId="77777777" w:rsidR="003C7AEC" w:rsidRPr="00454D2D" w:rsidRDefault="003C7AEC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</w:p>
        </w:tc>
        <w:tc>
          <w:tcPr>
            <w:tcW w:w="1394" w:type="dxa"/>
            <w:vAlign w:val="center"/>
          </w:tcPr>
          <w:p w14:paraId="0740B083" w14:textId="77777777" w:rsidR="003C7AEC" w:rsidRPr="00454D2D" w:rsidRDefault="003C7AEC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</w:p>
        </w:tc>
        <w:tc>
          <w:tcPr>
            <w:tcW w:w="1006" w:type="dxa"/>
            <w:vAlign w:val="center"/>
          </w:tcPr>
          <w:p w14:paraId="57C047FD" w14:textId="77777777" w:rsidR="003C7AEC" w:rsidRPr="00454D2D" w:rsidRDefault="003C7AEC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</w:p>
        </w:tc>
        <w:tc>
          <w:tcPr>
            <w:tcW w:w="1350" w:type="dxa"/>
            <w:vAlign w:val="center"/>
          </w:tcPr>
          <w:p w14:paraId="069689CF" w14:textId="77777777" w:rsidR="003C7AEC" w:rsidRPr="00454D2D" w:rsidRDefault="003C7AEC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</w:p>
        </w:tc>
        <w:tc>
          <w:tcPr>
            <w:tcW w:w="1134" w:type="dxa"/>
            <w:vAlign w:val="center"/>
          </w:tcPr>
          <w:p w14:paraId="583175F5" w14:textId="77777777" w:rsidR="003C7AEC" w:rsidRPr="00454D2D" w:rsidRDefault="003C7AEC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</w:p>
        </w:tc>
        <w:tc>
          <w:tcPr>
            <w:tcW w:w="1386" w:type="dxa"/>
            <w:vAlign w:val="center"/>
          </w:tcPr>
          <w:p w14:paraId="7C8714D6" w14:textId="77777777" w:rsidR="003C7AEC" w:rsidRPr="00454D2D" w:rsidRDefault="003C7AEC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</w:p>
        </w:tc>
        <w:tc>
          <w:tcPr>
            <w:tcW w:w="1447" w:type="dxa"/>
            <w:vAlign w:val="center"/>
          </w:tcPr>
          <w:p w14:paraId="653757F7" w14:textId="77777777" w:rsidR="003C7AEC" w:rsidRPr="00454D2D" w:rsidRDefault="003C7AEC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</w:p>
        </w:tc>
      </w:tr>
    </w:tbl>
    <w:p w14:paraId="4151C9E2" w14:textId="77777777" w:rsidR="00634374" w:rsidRPr="00454D2D" w:rsidRDefault="00634374" w:rsidP="00634374">
      <w:pPr>
        <w:tabs>
          <w:tab w:val="left" w:pos="1550"/>
          <w:tab w:val="left" w:pos="2668"/>
          <w:tab w:val="left" w:pos="4062"/>
          <w:tab w:val="left" w:pos="5055"/>
          <w:tab w:val="left" w:pos="6559"/>
          <w:tab w:val="left" w:pos="7552"/>
          <w:tab w:val="left" w:pos="883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51C9E3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4. Vlerësimi përfundimtar për lëndët e kurrikulës artistike kryhet në përfundim të vitit shkollor me notë.</w:t>
      </w:r>
    </w:p>
    <w:p w14:paraId="4151C9E4" w14:textId="11DFD670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5. Procedura për përllogaritjen e notës përfundimtare vjetore</w:t>
      </w:r>
      <w:r w:rsidR="003C7AE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është:</w:t>
      </w:r>
    </w:p>
    <w:p w14:paraId="4151C9E5" w14:textId="7D18564D" w:rsidR="00634374" w:rsidRPr="00454D2D" w:rsidRDefault="00634374" w:rsidP="00634374">
      <w:pPr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C7A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ota vjetore e vlerësimit të vazhduar teknik përcaktohet bazuar në dy notat e vlerësimit të vazhduar teknik të periudhave, duke e vlerësuar në mënyrë progresive</w:t>
      </w:r>
      <w:r w:rsidR="003C7AE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151C9E6" w14:textId="51F6472C" w:rsidR="00634374" w:rsidRPr="00454D2D" w:rsidRDefault="00634374" w:rsidP="00634374">
      <w:pPr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C7A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ota vjetore e detyrës përmbledhëse (saxho) përcaktohet bazuar në dy notat e detyrës përmbledhëse (saxho) të periudhave, duke e vlerësuar në mënyrë progresive</w:t>
      </w:r>
      <w:r w:rsidR="003C7AE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151C9E7" w14:textId="29B3B166" w:rsidR="00634374" w:rsidRPr="00454D2D" w:rsidRDefault="00634374" w:rsidP="00634374">
      <w:pPr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C7A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ota përfundimtare përcaktohet bazuar në notën vjetore të vlerësimit të vazhduar teknik dhe notën vjetore të detyrës përmbledhëse (saxho).</w:t>
      </w:r>
    </w:p>
    <w:p w14:paraId="4151C9E8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6. Dokumentimi në regjistër i rezultateve të vlerësimit të të nxënit për lëndët e kurrikulës artistike, sipas periudhave për shkollat e orientuara të drejtimit artistik, në degën “Art figurativ”, është si në tabelën më poshtë:</w:t>
      </w:r>
    </w:p>
    <w:p w14:paraId="4151C9E9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8586" w:type="dxa"/>
        <w:jc w:val="center"/>
        <w:tblLook w:val="04A0" w:firstRow="1" w:lastRow="0" w:firstColumn="1" w:lastColumn="0" w:noHBand="0" w:noVBand="1"/>
      </w:tblPr>
      <w:tblGrid>
        <w:gridCol w:w="3303"/>
        <w:gridCol w:w="3262"/>
        <w:gridCol w:w="2021"/>
      </w:tblGrid>
      <w:tr w:rsidR="00634374" w:rsidRPr="00454D2D" w14:paraId="4151C9ED" w14:textId="77777777" w:rsidTr="00E4413A">
        <w:trPr>
          <w:trHeight w:val="20"/>
          <w:jc w:val="center"/>
        </w:trPr>
        <w:tc>
          <w:tcPr>
            <w:tcW w:w="3303" w:type="dxa"/>
            <w:vAlign w:val="center"/>
          </w:tcPr>
          <w:p w14:paraId="4151C9EA" w14:textId="77777777" w:rsidR="00634374" w:rsidRPr="003C7AEC" w:rsidRDefault="00634374" w:rsidP="00634374">
            <w:pPr>
              <w:jc w:val="center"/>
              <w:rPr>
                <w:rFonts w:ascii="Garamond" w:hAnsi="Garamond" w:cs="Times New Roman"/>
                <w:b/>
                <w:szCs w:val="24"/>
                <w:lang w:val="sq-AL"/>
              </w:rPr>
            </w:pPr>
            <w:r w:rsidRPr="003C7AEC">
              <w:rPr>
                <w:rFonts w:ascii="Garamond" w:hAnsi="Garamond" w:cs="Times New Roman"/>
                <w:b/>
                <w:szCs w:val="24"/>
                <w:lang w:val="sq-AL"/>
              </w:rPr>
              <w:lastRenderedPageBreak/>
              <w:t>Periudha e parë</w:t>
            </w:r>
          </w:p>
        </w:tc>
        <w:tc>
          <w:tcPr>
            <w:tcW w:w="3262" w:type="dxa"/>
            <w:vAlign w:val="center"/>
          </w:tcPr>
          <w:p w14:paraId="4151C9EB" w14:textId="77777777" w:rsidR="00634374" w:rsidRPr="003C7AEC" w:rsidRDefault="00634374" w:rsidP="00634374">
            <w:pPr>
              <w:jc w:val="center"/>
              <w:rPr>
                <w:rFonts w:ascii="Garamond" w:hAnsi="Garamond" w:cs="Times New Roman"/>
                <w:b/>
                <w:szCs w:val="24"/>
                <w:lang w:val="sq-AL"/>
              </w:rPr>
            </w:pPr>
            <w:r w:rsidRPr="003C7AEC">
              <w:rPr>
                <w:rFonts w:ascii="Garamond" w:hAnsi="Garamond" w:cs="Times New Roman"/>
                <w:b/>
                <w:szCs w:val="24"/>
                <w:lang w:val="sq-AL"/>
              </w:rPr>
              <w:t>Periudha e dytë</w:t>
            </w:r>
          </w:p>
        </w:tc>
        <w:tc>
          <w:tcPr>
            <w:tcW w:w="2021" w:type="dxa"/>
            <w:vAlign w:val="center"/>
          </w:tcPr>
          <w:p w14:paraId="4151C9EC" w14:textId="77777777" w:rsidR="00634374" w:rsidRPr="003C7AEC" w:rsidRDefault="00634374" w:rsidP="00634374">
            <w:pPr>
              <w:jc w:val="center"/>
              <w:rPr>
                <w:rFonts w:ascii="Garamond" w:hAnsi="Garamond" w:cs="Times New Roman"/>
                <w:b/>
                <w:szCs w:val="24"/>
                <w:lang w:val="sq-AL"/>
              </w:rPr>
            </w:pPr>
            <w:r w:rsidRPr="003C7AEC">
              <w:rPr>
                <w:rFonts w:ascii="Garamond" w:hAnsi="Garamond" w:cs="Times New Roman"/>
                <w:b/>
                <w:szCs w:val="24"/>
                <w:lang w:val="sq-AL"/>
              </w:rPr>
              <w:t>Nota përfundimtare</w:t>
            </w:r>
          </w:p>
        </w:tc>
      </w:tr>
      <w:tr w:rsidR="00634374" w:rsidRPr="00454D2D" w14:paraId="4151C9F1" w14:textId="77777777" w:rsidTr="00E4413A">
        <w:trPr>
          <w:trHeight w:val="20"/>
          <w:jc w:val="center"/>
        </w:trPr>
        <w:tc>
          <w:tcPr>
            <w:tcW w:w="3303" w:type="dxa"/>
            <w:vAlign w:val="bottom"/>
          </w:tcPr>
          <w:p w14:paraId="4151C9EE" w14:textId="77777777" w:rsidR="00634374" w:rsidRPr="00E4413A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  <w:r w:rsidRPr="00E4413A">
              <w:rPr>
                <w:rFonts w:ascii="Garamond" w:hAnsi="Garamond" w:cs="Times New Roman"/>
                <w:szCs w:val="24"/>
                <w:lang w:val="sq-AL"/>
              </w:rPr>
              <w:t>Vlerësim i vazhduar teorik dhe praktik</w:t>
            </w:r>
          </w:p>
        </w:tc>
        <w:tc>
          <w:tcPr>
            <w:tcW w:w="3262" w:type="dxa"/>
            <w:vAlign w:val="bottom"/>
          </w:tcPr>
          <w:p w14:paraId="4151C9EF" w14:textId="77777777" w:rsidR="00634374" w:rsidRPr="00E4413A" w:rsidRDefault="00634374" w:rsidP="00634374">
            <w:pPr>
              <w:jc w:val="center"/>
              <w:rPr>
                <w:rFonts w:ascii="Garamond" w:hAnsi="Garamond" w:cs="Times New Roman"/>
                <w:szCs w:val="24"/>
                <w:lang w:val="sq-AL"/>
              </w:rPr>
            </w:pPr>
            <w:r w:rsidRPr="00E4413A">
              <w:rPr>
                <w:rFonts w:ascii="Garamond" w:hAnsi="Garamond" w:cs="Times New Roman"/>
                <w:szCs w:val="24"/>
                <w:lang w:val="sq-AL"/>
              </w:rPr>
              <w:t>Vlerësim i vazhduar teorik dhe praktik</w:t>
            </w:r>
          </w:p>
        </w:tc>
        <w:tc>
          <w:tcPr>
            <w:tcW w:w="2021" w:type="dxa"/>
            <w:vAlign w:val="center"/>
          </w:tcPr>
          <w:p w14:paraId="4151C9F0" w14:textId="77777777" w:rsidR="00634374" w:rsidRPr="003C7AEC" w:rsidRDefault="00634374" w:rsidP="00634374">
            <w:pPr>
              <w:rPr>
                <w:rFonts w:ascii="Garamond" w:hAnsi="Garamond" w:cs="Times New Roman"/>
                <w:b/>
                <w:szCs w:val="24"/>
                <w:lang w:val="sq-AL"/>
              </w:rPr>
            </w:pPr>
          </w:p>
        </w:tc>
      </w:tr>
      <w:tr w:rsidR="00634374" w:rsidRPr="00454D2D" w14:paraId="4151C9F5" w14:textId="77777777" w:rsidTr="00E4413A">
        <w:trPr>
          <w:trHeight w:val="20"/>
          <w:jc w:val="center"/>
        </w:trPr>
        <w:tc>
          <w:tcPr>
            <w:tcW w:w="3303" w:type="dxa"/>
          </w:tcPr>
          <w:p w14:paraId="4151C9F2" w14:textId="77777777" w:rsidR="00634374" w:rsidRPr="00454D2D" w:rsidRDefault="00634374" w:rsidP="00634374">
            <w:pPr>
              <w:pStyle w:val="Subtitle"/>
              <w:spacing w:after="0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3262" w:type="dxa"/>
          </w:tcPr>
          <w:p w14:paraId="4151C9F3" w14:textId="77777777" w:rsidR="00634374" w:rsidRPr="00454D2D" w:rsidRDefault="00634374" w:rsidP="00634374">
            <w:pPr>
              <w:jc w:val="center"/>
              <w:rPr>
                <w:rFonts w:ascii="Garamond" w:hAnsi="Garamond" w:cs="Times New Roman"/>
                <w:b/>
                <w:bCs/>
                <w:szCs w:val="24"/>
                <w:lang w:val="sq-AL"/>
              </w:rPr>
            </w:pPr>
          </w:p>
        </w:tc>
        <w:tc>
          <w:tcPr>
            <w:tcW w:w="2021" w:type="dxa"/>
          </w:tcPr>
          <w:p w14:paraId="4151C9F4" w14:textId="77777777" w:rsidR="00634374" w:rsidRPr="00454D2D" w:rsidRDefault="00634374" w:rsidP="00634374">
            <w:pPr>
              <w:jc w:val="center"/>
              <w:rPr>
                <w:rFonts w:ascii="Garamond" w:hAnsi="Garamond" w:cs="Times New Roman"/>
                <w:b/>
                <w:bCs/>
                <w:szCs w:val="24"/>
                <w:lang w:val="sq-AL"/>
              </w:rPr>
            </w:pPr>
          </w:p>
        </w:tc>
      </w:tr>
    </w:tbl>
    <w:p w14:paraId="4151C9F6" w14:textId="77777777" w:rsidR="00634374" w:rsidRPr="00454D2D" w:rsidRDefault="00634374" w:rsidP="00634374">
      <w:pPr>
        <w:tabs>
          <w:tab w:val="left" w:pos="1852"/>
          <w:tab w:val="left" w:pos="3595"/>
          <w:tab w:val="left" w:pos="5869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151C9F7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7. Vlerësimi përfundimtar për lëndët e kurrikulës artistike kryhet në përfundim të vitit shkollor me notë.</w:t>
      </w:r>
    </w:p>
    <w:p w14:paraId="4151C9F8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8. Nota përfundimtare përcaktohet bazuar në dy notat e vlerësimit të vazhduar teorik dhe praktik të periudhave, duke e vlerësuar në mënyrë progresive.</w:t>
      </w:r>
    </w:p>
    <w:p w14:paraId="4151C9F9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9. Praktika profesionale për shkollat e orientuara të drejtimit artistik në degët “Muzikë”, “Koreografi” dhe “Art figurativ” vlerësohet në përfundim të zhvillimit të saj me një notë përfundimtare.</w:t>
      </w:r>
    </w:p>
    <w:p w14:paraId="4151C9FA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51C9FC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9/2</w:t>
      </w:r>
    </w:p>
    <w:p w14:paraId="4151C9FD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“Vlerësimi i nxënësve në shkollat e orientuara të drejtimit sportiv”</w:t>
      </w:r>
    </w:p>
    <w:p w14:paraId="4151C9FE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51C9FF" w14:textId="34E19665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1. Për të gjitha lëndët e kulturës së përgjithshme, vlerësimi i nxënësve realizohet në përputhje me përcaktimet në udhëzimin nr. 17, datë 5.7.2022</w:t>
      </w:r>
      <w:r w:rsidR="00E441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E4413A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inistrit të Arsimit dhe Sportit</w:t>
      </w:r>
      <w:r w:rsidR="00E441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vlerësimin e nxënësve në sistemin arsimor parauniversitar”.</w:t>
      </w:r>
    </w:p>
    <w:p w14:paraId="4151CA00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2. Praktika profesionale për shkollat e orientuara të drejtimit sportiv vlerësohet në përfundim të zhvillimit të saj me një notë përfundimtare</w:t>
      </w:r>
      <w:r w:rsidRPr="00454D2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4151CA01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II. Ngarkohen për zbatimin e këtij udhëzimi, Sekretari i Përgjithshëm, Drejtoria e Përgjithshme e Zhvillimit për Arsimin dhe Sportin, Agjencia e Sigurimit të Cilësisë së Arsimit Parauniversitar, Qendra e Shërbimeve Arsimore, Drejtoria e Përgjithshme e Arsimit Parauniversitar, drejtoritë rajonale të arsimit parauniversitar, zyrat vendore të arsimit parauniversitar dhe institucionet arsimore parauniversitare.</w:t>
      </w:r>
    </w:p>
    <w:p w14:paraId="4151CA02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pas botimit në Fletoren Zyrtare.</w:t>
      </w:r>
    </w:p>
    <w:p w14:paraId="4151CA03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51CA04" w14:textId="2B687026" w:rsidR="00634374" w:rsidRPr="00454D2D" w:rsidRDefault="009D1F04" w:rsidP="0063437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</w:t>
      </w:r>
      <w:r w:rsidRPr="00454D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454D2D">
        <w:rPr>
          <w:rFonts w:ascii="Garamond" w:hAnsi="Garamond" w:cs="Times New Roman"/>
          <w:color w:val="000000"/>
          <w:sz w:val="24"/>
          <w:szCs w:val="24"/>
          <w:lang w:val="sq-AL"/>
        </w:rPr>
        <w:t>ARSIMIT DHE SPORTIT</w:t>
      </w:r>
    </w:p>
    <w:p w14:paraId="4151CA05" w14:textId="77777777" w:rsidR="00634374" w:rsidRPr="00454D2D" w:rsidRDefault="00634374" w:rsidP="0063437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4D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Evis Kushi </w:t>
      </w:r>
    </w:p>
    <w:p w14:paraId="4151CA06" w14:textId="77777777" w:rsidR="00634374" w:rsidRPr="00454D2D" w:rsidRDefault="00634374" w:rsidP="00634374">
      <w:pPr>
        <w:tabs>
          <w:tab w:val="left" w:pos="16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51CA07" w14:textId="77777777" w:rsidR="003C3138" w:rsidRPr="00454D2D" w:rsidRDefault="003C3138" w:rsidP="0063437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C3138" w:rsidRPr="00454D2D" w:rsidSect="00454D2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74"/>
    <w:rsid w:val="000B6756"/>
    <w:rsid w:val="00152A61"/>
    <w:rsid w:val="002C3D59"/>
    <w:rsid w:val="003C3138"/>
    <w:rsid w:val="003C7AEC"/>
    <w:rsid w:val="00454D2D"/>
    <w:rsid w:val="00634374"/>
    <w:rsid w:val="007D39B1"/>
    <w:rsid w:val="009D1F04"/>
    <w:rsid w:val="009F300F"/>
    <w:rsid w:val="00B31E62"/>
    <w:rsid w:val="00C213F4"/>
    <w:rsid w:val="00C640F5"/>
    <w:rsid w:val="00CC2BEA"/>
    <w:rsid w:val="00E4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1C9B9"/>
  <w15:docId w15:val="{D1E32F61-C0F1-4F03-B1C9-1A9B7691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63437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634374"/>
    <w:pPr>
      <w:spacing w:after="160"/>
    </w:pPr>
    <w:rPr>
      <w:rFonts w:eastAsiaTheme="minorEastAsia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634374"/>
    <w:rPr>
      <w:rFonts w:eastAsiaTheme="minorEastAsia"/>
      <w:color w:val="595959" w:themeColor="text1" w:themeTint="A6"/>
      <w:spacing w:val="15"/>
    </w:rPr>
  </w:style>
  <w:style w:type="paragraph" w:styleId="ListParagraph">
    <w:name w:val="List Paragraph"/>
    <w:basedOn w:val="Normal"/>
    <w:uiPriority w:val="34"/>
    <w:qFormat/>
    <w:rsid w:val="00634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253D174330432E92CAF955F077F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2023-03-24T12:14:43Z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2023-03-23T23:00:00Z</Date_x0020_protokolli>
    <Titulli xmlns="0e656187-b300-4fb0-8bf4-3a50f872073c">Për disa shtesa dhe ndryshime në udhëzimin nr. 17, datë 05.07.2022 "Për vlerësimin e nxënësve në sistemin arsimor parauniversitar"</Titulli>
    <Modifikuesi xmlns="0e656187-b300-4fb0-8bf4-3a50f872073c">jorina.kryeziu</Modifikuesi>
    <Nr_x002e__x0020_prot_x0020_QBZ xmlns="0e656187-b300-4fb0-8bf4-3a50f872073c">436/1</Nr_x002e__x0020_prot_x0020_QBZ>
    <Data_x0020_e_x0020_Modifikimit xmlns="0e656187-b300-4fb0-8bf4-3a50f872073c">2023-03-27T08:28:29Z</Data_x0020_e_x0020_Modifikimit>
    <Dekretuar xmlns="0e656187-b300-4fb0-8bf4-3a50f872073c">false</Dekretuar>
    <Data xmlns="0e656187-b300-4fb0-8bf4-3a50f872073c">2023-03-20T23:00:00Z</Data>
    <Nr_x002e__x0020_protokolli_x0020_i_x0020_aktit xmlns="0e656187-b300-4fb0-8bf4-3a50f872073c">1911/1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253D174330432E92CAF955F077F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5572F-7FFE-48EC-9133-1F16781F6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067F55-5786-46E2-84BE-5D44EE0A5D4E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36C428A-069F-40EE-B1B1-F95EA9FCF6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E08F38-3450-4EE7-B89C-754C2205E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92C523-C83A-4F48-A457-3BACAFDF88E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941099-34C2-4111-8081-82E0E20A0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17, datë 05.07.2022 "Për vlerësimin e nxënësve në sistemin arsimor parauniversitar"</vt:lpstr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17, datë 05.07.2022 "Për vlerësimin e nxënësve në sistemin arsimor parauniversitar"</dc:title>
  <dc:creator>Nevila Samarxhi</dc:creator>
  <cp:lastModifiedBy>Entela Suli</cp:lastModifiedBy>
  <cp:revision>7</cp:revision>
  <dcterms:created xsi:type="dcterms:W3CDTF">2023-03-24T13:05:00Z</dcterms:created>
  <dcterms:modified xsi:type="dcterms:W3CDTF">2023-03-27T11:13:00Z</dcterms:modified>
</cp:coreProperties>
</file>