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970" w:rsidRPr="0067553B" w:rsidRDefault="004B5970" w:rsidP="004B5970">
      <w:pPr>
        <w:pStyle w:val="Akti"/>
        <w:keepNext w:val="0"/>
      </w:pPr>
      <w:bookmarkStart w:id="0" w:name="_GoBack"/>
      <w:bookmarkEnd w:id="0"/>
      <w:r w:rsidRPr="0067553B">
        <w:t>Udhëzim</w:t>
      </w:r>
    </w:p>
    <w:p w:rsidR="004B5970" w:rsidRPr="0067553B" w:rsidRDefault="004B5970" w:rsidP="004B5970">
      <w:pPr>
        <w:pStyle w:val="NumriData"/>
        <w:keepNext w:val="0"/>
        <w:rPr>
          <w:szCs w:val="22"/>
        </w:rPr>
      </w:pPr>
      <w:r w:rsidRPr="0067553B">
        <w:rPr>
          <w:szCs w:val="22"/>
        </w:rPr>
        <w:t>Nr.111,</w:t>
      </w:r>
      <w:r>
        <w:rPr>
          <w:szCs w:val="22"/>
        </w:rPr>
        <w:t xml:space="preserve"> </w:t>
      </w:r>
      <w:r w:rsidRPr="0067553B">
        <w:rPr>
          <w:szCs w:val="22"/>
        </w:rPr>
        <w:t>datë 8.4.2010</w:t>
      </w:r>
    </w:p>
    <w:p w:rsidR="004B5970" w:rsidRPr="0067553B" w:rsidRDefault="004B5970" w:rsidP="004B5970">
      <w:pPr>
        <w:pStyle w:val="Paragrafi0"/>
        <w:rPr>
          <w:szCs w:val="22"/>
        </w:rPr>
      </w:pPr>
    </w:p>
    <w:p w:rsidR="004B5970" w:rsidRPr="0067553B" w:rsidRDefault="004B5970" w:rsidP="004B5970">
      <w:pPr>
        <w:pStyle w:val="Titulli0"/>
        <w:keepNext w:val="0"/>
      </w:pPr>
      <w:r w:rsidRPr="0067553B">
        <w:t>Për mënyrën e administrimit të gjobave të vëna ndaj kundërvajtësve nga shërbimet e policisë rrugore dhe patrullës së përgjithshme</w:t>
      </w:r>
    </w:p>
    <w:p w:rsidR="004B5970" w:rsidRPr="0067553B" w:rsidRDefault="004B5970" w:rsidP="004B5970">
      <w:pPr>
        <w:pStyle w:val="Paragrafi0"/>
        <w:rPr>
          <w:szCs w:val="22"/>
        </w:rPr>
      </w:pPr>
    </w:p>
    <w:p w:rsidR="004B5970" w:rsidRPr="0067553B" w:rsidRDefault="004B5970" w:rsidP="004B5970">
      <w:pPr>
        <w:pStyle w:val="Paragrafi0"/>
        <w:rPr>
          <w:szCs w:val="22"/>
        </w:rPr>
      </w:pPr>
      <w:r>
        <w:rPr>
          <w:szCs w:val="22"/>
        </w:rPr>
        <w:t>Në mbështetje të pikës 4 të nenit 102</w:t>
      </w:r>
      <w:r w:rsidRPr="0067553B">
        <w:rPr>
          <w:szCs w:val="22"/>
        </w:rPr>
        <w:t xml:space="preserve"> të Kushtetutës, të p</w:t>
      </w:r>
      <w:r>
        <w:rPr>
          <w:szCs w:val="22"/>
        </w:rPr>
        <w:t>ikës 2, shkronja “c” të nenit 7</w:t>
      </w:r>
      <w:r w:rsidRPr="0067553B">
        <w:rPr>
          <w:szCs w:val="22"/>
        </w:rPr>
        <w:t xml:space="preserve"> të ligjit nr.9749, datë 4.6.2007 “Për Policinë e Shtetit”, të ligjit nr.9936, datë 26.6.2008 “Për menaxhimin e sistemit buxhetor në Republikën e Shqipëris</w:t>
      </w:r>
      <w:r>
        <w:rPr>
          <w:szCs w:val="22"/>
        </w:rPr>
        <w:t>ë”, të pikës 3 të nenit 203 dhe të nenit 205 të ligjit nr.8378, da</w:t>
      </w:r>
      <w:r w:rsidRPr="0067553B">
        <w:rPr>
          <w:szCs w:val="22"/>
        </w:rPr>
        <w:t>të 22.7.1998 “Kodi Rrugor i Republikës të Shqipërisë</w:t>
      </w:r>
      <w:r>
        <w:rPr>
          <w:szCs w:val="22"/>
        </w:rPr>
        <w:t>”, të pikës 1</w:t>
      </w:r>
      <w:r w:rsidRPr="0067553B">
        <w:rPr>
          <w:szCs w:val="22"/>
        </w:rPr>
        <w:t xml:space="preserve"> të nenit 353, të pikës 3, të nenit 3</w:t>
      </w:r>
      <w:r>
        <w:rPr>
          <w:szCs w:val="22"/>
        </w:rPr>
        <w:t>55 dhe të pikës 2 të nenit 359 të “Rregullores së z</w:t>
      </w:r>
      <w:r w:rsidRPr="0067553B">
        <w:rPr>
          <w:szCs w:val="22"/>
        </w:rPr>
        <w:t>batimit të Kodit  Rrugor të Republikë</w:t>
      </w:r>
      <w:r>
        <w:rPr>
          <w:szCs w:val="22"/>
        </w:rPr>
        <w:t>s së Shqipërisë”</w:t>
      </w:r>
      <w:r w:rsidRPr="0067553B">
        <w:rPr>
          <w:szCs w:val="22"/>
        </w:rPr>
        <w:t>, miratuar me vendimin e Këshillit të Ministrave nr.153, datë 7.4.2000, me qëllim saktësimin e procedurave për administrimin më të mirë të gjobave të vëna ndaj kundërvajtësve nga sh</w:t>
      </w:r>
      <w:r>
        <w:rPr>
          <w:szCs w:val="22"/>
        </w:rPr>
        <w:t>ërbimet e Policisë Rrugore dhe patrullës së p</w:t>
      </w:r>
      <w:r w:rsidRPr="0067553B">
        <w:rPr>
          <w:szCs w:val="22"/>
        </w:rPr>
        <w:t>ërgjithshme</w:t>
      </w:r>
      <w:r>
        <w:rPr>
          <w:szCs w:val="22"/>
        </w:rPr>
        <w:t>,</w:t>
      </w:r>
    </w:p>
    <w:p w:rsidR="004B5970" w:rsidRPr="0067553B" w:rsidRDefault="004B5970" w:rsidP="004B5970">
      <w:pPr>
        <w:pStyle w:val="Paragrafi0"/>
        <w:rPr>
          <w:szCs w:val="22"/>
        </w:rPr>
      </w:pPr>
    </w:p>
    <w:p w:rsidR="004B5970" w:rsidRPr="0067553B" w:rsidRDefault="004B5970" w:rsidP="004B5970">
      <w:pPr>
        <w:pStyle w:val="VENDOSI0"/>
        <w:keepNext w:val="0"/>
      </w:pPr>
      <w:r w:rsidRPr="0067553B">
        <w:t>Udhëzoj:</w:t>
      </w:r>
    </w:p>
    <w:p w:rsidR="004B5970" w:rsidRPr="0067553B" w:rsidRDefault="004B5970" w:rsidP="004B5970">
      <w:pPr>
        <w:pStyle w:val="Paragrafi0"/>
        <w:rPr>
          <w:szCs w:val="22"/>
        </w:rPr>
      </w:pP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1.</w:t>
      </w:r>
      <w:r>
        <w:rPr>
          <w:szCs w:val="22"/>
        </w:rPr>
        <w:t xml:space="preserve"> </w:t>
      </w:r>
      <w:r w:rsidRPr="0067553B">
        <w:rPr>
          <w:szCs w:val="22"/>
        </w:rPr>
        <w:t>Për kundërvajtjet e konstatuara, puno</w:t>
      </w:r>
      <w:r>
        <w:rPr>
          <w:szCs w:val="22"/>
        </w:rPr>
        <w:t>njësi i Policisë Rrugore apo i patrullës së p</w:t>
      </w:r>
      <w:r w:rsidRPr="0067553B">
        <w:rPr>
          <w:szCs w:val="22"/>
        </w:rPr>
        <w:t>ërgjithshme plotëson procesverbalin e konstatimit të shkeljes</w:t>
      </w:r>
      <w:r>
        <w:rPr>
          <w:szCs w:val="22"/>
        </w:rPr>
        <w:t>,</w:t>
      </w:r>
      <w:r w:rsidRPr="0067553B">
        <w:rPr>
          <w:szCs w:val="22"/>
        </w:rPr>
        <w:t xml:space="preserve"> sipas kërkesave të modelit që përmban “Rregullorja e zbatimit të Kodit Rrugor të Republikës së Shqipëris</w:t>
      </w:r>
      <w:r>
        <w:rPr>
          <w:szCs w:val="22"/>
        </w:rPr>
        <w:t>ë”,</w:t>
      </w:r>
      <w:r w:rsidRPr="0067553B">
        <w:rPr>
          <w:szCs w:val="22"/>
        </w:rPr>
        <w:t xml:space="preserve"> miratuar me vendimin e Këshillit të Ministrave nr.153, datë 7.4.2000. Një kopje e procesverbalit të konstatimit të shkeljes i jepet kundërvajtësit</w:t>
      </w:r>
      <w:r>
        <w:rPr>
          <w:szCs w:val="22"/>
        </w:rPr>
        <w:t>,</w:t>
      </w:r>
      <w:r w:rsidRPr="0067553B">
        <w:rPr>
          <w:szCs w:val="22"/>
        </w:rPr>
        <w:t xml:space="preserve"> duke e adresuar për të kryer pagesën në arkat e operatorëve financiarë.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2.</w:t>
      </w:r>
      <w:r>
        <w:rPr>
          <w:szCs w:val="22"/>
        </w:rPr>
        <w:t xml:space="preserve"> </w:t>
      </w:r>
      <w:r w:rsidRPr="0067553B">
        <w:rPr>
          <w:szCs w:val="22"/>
        </w:rPr>
        <w:t>Arkëtimi i gjobave të bëhet nga kundërvajtësit në arkat e operatorëve financiarë që veprojnë në Republikën e Shqipërisë, duke respektuar procedurat ligjore përkatëse për përfitimin e shërbimit.</w:t>
      </w:r>
    </w:p>
    <w:p w:rsidR="004B5970" w:rsidRPr="000E4F7C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3.</w:t>
      </w:r>
      <w:r>
        <w:rPr>
          <w:szCs w:val="22"/>
        </w:rPr>
        <w:t xml:space="preserve"> </w:t>
      </w:r>
      <w:r w:rsidRPr="000E4F7C">
        <w:rPr>
          <w:szCs w:val="22"/>
        </w:rPr>
        <w:t>Formulari i procesverbalit të konstatimit të shkeljes është dokument me vlerë (bllok gjobash ose procesverbalesh) me numër serie progresive, në katër kopje, nga të cilat kopja e parë dorëzohet në sektorin ose seksionin e buxhet-financës të komisariatit ose drejtorisë (sipas strukturës), kopja e dytë i jepet kundërvajtësit, kopja e tretë  kalon</w:t>
      </w:r>
      <w:r>
        <w:rPr>
          <w:szCs w:val="22"/>
        </w:rPr>
        <w:t xml:space="preserve"> për evidentim</w:t>
      </w:r>
      <w:r w:rsidRPr="000E4F7C">
        <w:rPr>
          <w:szCs w:val="22"/>
        </w:rPr>
        <w:t xml:space="preserve"> në seksionin e Policisë Rrugore  ose kartotekën (sipas strukturës) dhe kopja e katërt ngelet në bllok dhe i dorëzohet administratorit të letrave me vlerë (magazinier, kujdestar, arkëtar sipas strukturës).</w:t>
      </w:r>
    </w:p>
    <w:p w:rsidR="004B5970" w:rsidRPr="000E4F7C" w:rsidRDefault="004B5970" w:rsidP="004B5970">
      <w:pPr>
        <w:pStyle w:val="Paragrafi0"/>
        <w:rPr>
          <w:szCs w:val="22"/>
        </w:rPr>
      </w:pPr>
      <w:r w:rsidRPr="000E4F7C">
        <w:rPr>
          <w:szCs w:val="22"/>
        </w:rPr>
        <w:t>4. Për kundërvajtjet, objekt i të cilave janë mjetet me targa të huaja, arkëtimi i gjobës të bëhet në vend nga punonjësi i Policisë Rrugore, i patrullës së përgjithshme ose, në pamundësi të kryerjes së pagesës, të bëhet bllokimi i dokumentacionit (lejedrejtimi, lejeqarkullimi, siguracion) i konfirmuar me dokument zëvendësimi deri në momentin e shlyerjes së detyrimit.</w:t>
      </w:r>
    </w:p>
    <w:p w:rsidR="004B5970" w:rsidRPr="0067553B" w:rsidRDefault="004B5970" w:rsidP="004B5970">
      <w:pPr>
        <w:pStyle w:val="Paragrafi0"/>
        <w:rPr>
          <w:szCs w:val="22"/>
        </w:rPr>
      </w:pPr>
      <w:r>
        <w:rPr>
          <w:szCs w:val="22"/>
        </w:rPr>
        <w:t>Seksioni ose sektori i buxhet-f</w:t>
      </w:r>
      <w:r w:rsidRPr="0067553B">
        <w:rPr>
          <w:szCs w:val="22"/>
        </w:rPr>
        <w:t>inancës merr masat për pajisjen e punonjësve me mandat arkëtimi, i cili hartohet në tri kopje: një kundërvajtësit, një kopje së bashku me procesverbalin dorëzohet në financë dhe një kopje në bllok.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Derdhja e shumës së vjelur të kryhet në arkën e institucionit, jo më vonë se 24 orë nga momenti (data) i vendosjes.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5.</w:t>
      </w:r>
      <w:r>
        <w:rPr>
          <w:szCs w:val="22"/>
        </w:rPr>
        <w:t xml:space="preserve"> </w:t>
      </w:r>
      <w:r w:rsidRPr="0067553B">
        <w:rPr>
          <w:szCs w:val="22"/>
        </w:rPr>
        <w:t>Administrimi financiar i procesverbaleve (maturimi, regjistrimi i arkëtimit, kontabilizimi dhe pasqyrimi në evidencat dokumentare dhe elektronike kur ato janë të miratuara) të bëhet në seksionin/sektorin e buxhet-financës të institucionit në të cilin agjenti verifikues është punonjës, sipas kërkesave të ligji</w:t>
      </w:r>
      <w:r>
        <w:rPr>
          <w:szCs w:val="22"/>
        </w:rPr>
        <w:t>t nr.9228, datë 20.4.2004 “Për k</w:t>
      </w:r>
      <w:r w:rsidRPr="0067553B">
        <w:rPr>
          <w:szCs w:val="22"/>
        </w:rPr>
        <w:t>ontabilitetin dhe pasqyrat financiare”</w:t>
      </w:r>
      <w:r>
        <w:rPr>
          <w:szCs w:val="22"/>
        </w:rPr>
        <w:t>,</w:t>
      </w:r>
      <w:r w:rsidRPr="0067553B">
        <w:rPr>
          <w:szCs w:val="22"/>
        </w:rPr>
        <w:t xml:space="preserve"> i ndryshuar.</w:t>
      </w:r>
    </w:p>
    <w:p w:rsidR="004B5970" w:rsidRPr="0067553B" w:rsidRDefault="004B5970" w:rsidP="004B5970">
      <w:pPr>
        <w:pStyle w:val="Paragrafi0"/>
        <w:rPr>
          <w:szCs w:val="22"/>
        </w:rPr>
      </w:pPr>
      <w:r>
        <w:rPr>
          <w:szCs w:val="22"/>
        </w:rPr>
        <w:t>6. Në formularin e mandat</w:t>
      </w:r>
      <w:r w:rsidRPr="0067553B">
        <w:rPr>
          <w:szCs w:val="22"/>
        </w:rPr>
        <w:t>arkëtimit që lëshojnë operatorët financiarë, për procesverbalet</w:t>
      </w:r>
      <w:r>
        <w:rPr>
          <w:szCs w:val="22"/>
        </w:rPr>
        <w:t xml:space="preserve"> e konstatimit të shkeljes së P</w:t>
      </w:r>
      <w:r w:rsidRPr="0067553B">
        <w:rPr>
          <w:szCs w:val="22"/>
        </w:rPr>
        <w:t>olicisë Rrugore dhe të patrullës së përgjithshme, të jenë të evidentuara: emri, mbiemri i personit që kryen arkëtimin, seria e proceverbalit, dat</w:t>
      </w:r>
      <w:r>
        <w:rPr>
          <w:szCs w:val="22"/>
        </w:rPr>
        <w:t>a, targa, masa e gjobës, kamatë</w:t>
      </w:r>
      <w:r w:rsidRPr="0067553B">
        <w:rPr>
          <w:szCs w:val="22"/>
        </w:rPr>
        <w:t>vonesa, shkelja e kryer, emri dhe mbiemri i punonjësit të policisë që ka vendosur gjobën</w:t>
      </w:r>
      <w:r>
        <w:rPr>
          <w:szCs w:val="22"/>
        </w:rPr>
        <w:t>,</w:t>
      </w:r>
      <w:r w:rsidRPr="0067553B">
        <w:rPr>
          <w:szCs w:val="22"/>
        </w:rPr>
        <w:t xml:space="preserve"> si dhe rrethi ku është konstatuar shkelja. Për rastet e vendimeve të komisionit në mandat të shënohet dhe numri i vendimit, data, vlera (e ndarë nga procesverbali në vlerë)</w:t>
      </w:r>
      <w:r>
        <w:rPr>
          <w:szCs w:val="22"/>
        </w:rPr>
        <w:t>,</w:t>
      </w:r>
      <w:r w:rsidRPr="0067553B">
        <w:rPr>
          <w:szCs w:val="22"/>
        </w:rPr>
        <w:t xml:space="preserve"> si dhe minimalisht të jenë dy kopje në dispozicion të qytetarit.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7.Shefi i seksionit të Policisë Rrugore organizon vjeljen e gjobave të prapambetura pas konfirmimit nga seksioni/sektori i buxhet</w:t>
      </w:r>
      <w:r>
        <w:rPr>
          <w:szCs w:val="22"/>
        </w:rPr>
        <w:t>-</w:t>
      </w:r>
      <w:r w:rsidRPr="0067553B">
        <w:rPr>
          <w:szCs w:val="22"/>
        </w:rPr>
        <w:t>financës për kalimin e afatit ligjor për pagesë të vullnetshme mbi 1 muaj (procesi është i shtrirë gjatë vitit kalendarik).</w:t>
      </w:r>
      <w:r>
        <w:rPr>
          <w:szCs w:val="22"/>
        </w:rPr>
        <w:t xml:space="preserve"> Seksioni/s</w:t>
      </w:r>
      <w:r w:rsidRPr="0067553B">
        <w:rPr>
          <w:szCs w:val="22"/>
        </w:rPr>
        <w:t xml:space="preserve">ektori i </w:t>
      </w:r>
      <w:r>
        <w:rPr>
          <w:szCs w:val="22"/>
        </w:rPr>
        <w:t>buxhet financës dhe seksioni i Policisë R</w:t>
      </w:r>
      <w:r w:rsidRPr="0067553B">
        <w:rPr>
          <w:szCs w:val="22"/>
        </w:rPr>
        <w:t>rugore të bëjnë çdo ditë akt</w:t>
      </w:r>
      <w:r>
        <w:rPr>
          <w:szCs w:val="22"/>
        </w:rPr>
        <w:t>r</w:t>
      </w:r>
      <w:r w:rsidRPr="0067553B">
        <w:rPr>
          <w:szCs w:val="22"/>
        </w:rPr>
        <w:t xml:space="preserve">akordimin me operatorët financiarë që kryejnë shërbimin e arkëtimit të gjobave të vendosura, por në asnjë rast të mos kalojë 2 ditë pune. </w:t>
      </w:r>
      <w:r w:rsidRPr="0067553B">
        <w:rPr>
          <w:szCs w:val="22"/>
        </w:rPr>
        <w:lastRenderedPageBreak/>
        <w:t>Akt</w:t>
      </w:r>
      <w:r>
        <w:rPr>
          <w:szCs w:val="22"/>
        </w:rPr>
        <w:t>r</w:t>
      </w:r>
      <w:r w:rsidRPr="0067553B">
        <w:rPr>
          <w:szCs w:val="22"/>
        </w:rPr>
        <w:t>akordimi të jetë në raste dhe vlerë, ku vlera të jetë analitike gjoba, kamatëvonesa. Për gjobat e vendosura dhe të paarkëtuara n</w:t>
      </w:r>
      <w:r>
        <w:rPr>
          <w:szCs w:val="22"/>
        </w:rPr>
        <w:t>ë afat të aplikohet kamatëvonesë</w:t>
      </w:r>
      <w:r w:rsidRPr="0067553B">
        <w:rPr>
          <w:szCs w:val="22"/>
        </w:rPr>
        <w:t xml:space="preserve"> në masën 2% të gjobës për çdo ditë vonesë deri në 1 muaj (30 ditë).</w:t>
      </w:r>
    </w:p>
    <w:p w:rsidR="004B5970" w:rsidRPr="0067553B" w:rsidRDefault="004B5970" w:rsidP="004B5970">
      <w:pPr>
        <w:pStyle w:val="Paragrafi0"/>
        <w:rPr>
          <w:szCs w:val="22"/>
        </w:rPr>
      </w:pPr>
      <w:r>
        <w:rPr>
          <w:szCs w:val="22"/>
        </w:rPr>
        <w:t>8. Sektori/s</w:t>
      </w:r>
      <w:r w:rsidRPr="0067553B">
        <w:rPr>
          <w:szCs w:val="22"/>
        </w:rPr>
        <w:t>ektori i buxhet</w:t>
      </w:r>
      <w:r>
        <w:rPr>
          <w:szCs w:val="22"/>
        </w:rPr>
        <w:t>-</w:t>
      </w:r>
      <w:r w:rsidRPr="0067553B">
        <w:rPr>
          <w:szCs w:val="22"/>
        </w:rPr>
        <w:t xml:space="preserve">financës, për debitorët me banim </w:t>
      </w:r>
      <w:r>
        <w:rPr>
          <w:szCs w:val="22"/>
        </w:rPr>
        <w:t>jashtë qarkut i dërgon njoftim k</w:t>
      </w:r>
      <w:r w:rsidRPr="0067553B">
        <w:rPr>
          <w:szCs w:val="22"/>
        </w:rPr>
        <w:t>omisar</w:t>
      </w:r>
      <w:r>
        <w:rPr>
          <w:szCs w:val="22"/>
        </w:rPr>
        <w:t xml:space="preserve">iatit të Policisë të rrethit </w:t>
      </w:r>
      <w:r w:rsidRPr="0067553B">
        <w:rPr>
          <w:szCs w:val="22"/>
        </w:rPr>
        <w:t>përkatës, sipas formularit bashkëngjitur udhëzimit çdo muaj, kur nuk është i mundur dërgimi direkt me sisteme informatike. Komisariati që merr njoftimin për debitorët banorë në rrethin e tij, përpilon pasqyra të veçanta në regjistra ose sisteme informatike të miratuara, ngark</w:t>
      </w:r>
      <w:r>
        <w:rPr>
          <w:szCs w:val="22"/>
        </w:rPr>
        <w:t>on s</w:t>
      </w:r>
      <w:r w:rsidRPr="0067553B">
        <w:rPr>
          <w:szCs w:val="22"/>
        </w:rPr>
        <w:t>eksionin e Policisë Rrugore dhe të patrullës së përgjithshme për arkëtimin e tyre dhe në momentin e arkëtimit bën maturimin dhe kontabilizimin e tyre. Për gjobat e arkëtuara jo më vonë se dh</w:t>
      </w:r>
      <w:r>
        <w:rPr>
          <w:szCs w:val="22"/>
        </w:rPr>
        <w:t>jetë ditë i dërgohet konfirmimi</w:t>
      </w:r>
      <w:r w:rsidRPr="0067553B">
        <w:rPr>
          <w:szCs w:val="22"/>
        </w:rPr>
        <w:t xml:space="preserve"> komisariatit që ka përpiluar procesverbalin dhe seksioni/sektori i buxhet</w:t>
      </w:r>
      <w:r>
        <w:rPr>
          <w:szCs w:val="22"/>
        </w:rPr>
        <w:t>-</w:t>
      </w:r>
      <w:r w:rsidRPr="0067553B">
        <w:rPr>
          <w:szCs w:val="22"/>
        </w:rPr>
        <w:t>financës sipas aktit të konfirmimit, i cili përmban emrin dhe mbiemrin e kundërvajtësit, serinë e gjobës, datën, ta</w:t>
      </w:r>
      <w:r>
        <w:rPr>
          <w:szCs w:val="22"/>
        </w:rPr>
        <w:t>rgën, numrin dhe datën e mandat</w:t>
      </w:r>
      <w:r w:rsidRPr="0067553B">
        <w:rPr>
          <w:szCs w:val="22"/>
        </w:rPr>
        <w:t>arkëtimit, vlerën e gjobës, vlerën e kamatës për arkëtimin që kryejnë operatorët financiarë në rrethin e një komisariati ose drejtorie tjetër në varësi të strukturave, kryen çdo ditë çregjistrimin e tyre nga sistemi dhe kryen kontabilizimin duke pakësuar detyrimin për shumën e akëtuar.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9. Vjelja e gjobës që ka kaluar afatin ligjor të kryhet sipas ligji</w:t>
      </w:r>
      <w:r>
        <w:rPr>
          <w:szCs w:val="22"/>
        </w:rPr>
        <w:t>t nr.7697, datë 7.4.1993 “Për ku</w:t>
      </w:r>
      <w:r w:rsidRPr="0067553B">
        <w:rPr>
          <w:szCs w:val="22"/>
        </w:rPr>
        <w:t>ndërvajtjet administrtive”, neni 19, ndërsa kur shkelësi është pronar dhe drejtues mjeti me motor, zbatohet neni 203 i Kodit Rrugor të Republikës së Shqipërisë.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10.</w:t>
      </w:r>
      <w:r>
        <w:rPr>
          <w:szCs w:val="22"/>
        </w:rPr>
        <w:t xml:space="preserve"> </w:t>
      </w:r>
      <w:r w:rsidRPr="0067553B">
        <w:rPr>
          <w:szCs w:val="22"/>
        </w:rPr>
        <w:t>Gjobat e arkëtuara (edhe ato</w:t>
      </w:r>
      <w:r>
        <w:rPr>
          <w:szCs w:val="22"/>
        </w:rPr>
        <w:t xml:space="preserve"> që u</w:t>
      </w:r>
      <w:r w:rsidRPr="0067553B">
        <w:rPr>
          <w:szCs w:val="22"/>
        </w:rPr>
        <w:t xml:space="preserve"> përkasin rretheve) të derdhen në degën e thesarit të rrethit nga operatorët financiarë që kryejnë arkëtimin e gjobave me pjesëmarrje 40% buxheti dhe 60% institucioni.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11.</w:t>
      </w:r>
      <w:r>
        <w:rPr>
          <w:szCs w:val="22"/>
        </w:rPr>
        <w:t xml:space="preserve"> </w:t>
      </w:r>
      <w:r w:rsidRPr="0067553B">
        <w:rPr>
          <w:szCs w:val="22"/>
        </w:rPr>
        <w:t>Çdo muaj seksioni ose sektori i buxhet</w:t>
      </w:r>
      <w:r>
        <w:rPr>
          <w:szCs w:val="22"/>
        </w:rPr>
        <w:t>-</w:t>
      </w:r>
      <w:r w:rsidRPr="0067553B">
        <w:rPr>
          <w:szCs w:val="22"/>
        </w:rPr>
        <w:t xml:space="preserve">financës dhe seksionet e Policisë Rrugore të paraqesin </w:t>
      </w:r>
      <w:r>
        <w:rPr>
          <w:szCs w:val="22"/>
        </w:rPr>
        <w:t>pranë drejtorive përkatëse në DPPSH</w:t>
      </w:r>
      <w:r w:rsidRPr="0067553B">
        <w:rPr>
          <w:szCs w:val="22"/>
        </w:rPr>
        <w:t xml:space="preserve">, statistikën e gjobave të shërbimeve të Policisë Rrugore, patrullës së përgjithshme dhe Komisionit </w:t>
      </w:r>
      <w:r>
        <w:rPr>
          <w:szCs w:val="22"/>
        </w:rPr>
        <w:t>Administrativ të Shqyrtimit të K</w:t>
      </w:r>
      <w:r w:rsidRPr="0067553B">
        <w:rPr>
          <w:szCs w:val="22"/>
        </w:rPr>
        <w:t>undërvajtjeve mujore dhe progresive jo më vonë se data 10 e muajit pasardhës.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12.Udhëzimi nr.1105, datë 1.11.1999 “Mbi mënyrën e administrimit të gjobave të vëna ndaj kundërvajtësve nga shërbimet e Policisë Rrugore”</w:t>
      </w:r>
      <w:r>
        <w:rPr>
          <w:szCs w:val="22"/>
        </w:rPr>
        <w:t>,</w:t>
      </w:r>
      <w:r w:rsidRPr="0067553B">
        <w:rPr>
          <w:szCs w:val="22"/>
        </w:rPr>
        <w:t xml:space="preserve"> shfuqizohet.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13.Ngarkohen Drejtoria e Përgjithshme e Policisë së Shtetit dhe njësitë shpenzuese në përbërje të programit “Policia e Shtetit” për zbatimin e këtij udhëzimi.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14.Sekretari i Përgjithshëm i Ministrisë së Brendshme, në cilësinë e nëpunësit autorizues, ndjek zbatimin e këtij udhëzimi.</w:t>
      </w:r>
    </w:p>
    <w:p w:rsidR="004B5970" w:rsidRPr="0067553B" w:rsidRDefault="004B5970" w:rsidP="004B5970">
      <w:pPr>
        <w:pStyle w:val="Paragrafi0"/>
        <w:rPr>
          <w:szCs w:val="22"/>
        </w:rPr>
      </w:pPr>
      <w:r w:rsidRPr="0067553B">
        <w:rPr>
          <w:szCs w:val="22"/>
        </w:rPr>
        <w:t>Ky udhëzim hyn në fuqi pas botimit në Fletoren Zyrtare.</w:t>
      </w:r>
    </w:p>
    <w:p w:rsidR="004B5970" w:rsidRPr="0067553B" w:rsidRDefault="004B5970" w:rsidP="004B5970">
      <w:pPr>
        <w:pStyle w:val="Paragrafi0"/>
        <w:rPr>
          <w:szCs w:val="22"/>
        </w:rPr>
      </w:pPr>
    </w:p>
    <w:p w:rsidR="004B5970" w:rsidRPr="004B5970" w:rsidRDefault="004B5970" w:rsidP="004B5970">
      <w:pPr>
        <w:pStyle w:val="Autoriteti"/>
        <w:keepNext w:val="0"/>
        <w:rPr>
          <w:lang w:val="it-IT"/>
        </w:rPr>
      </w:pPr>
      <w:r w:rsidRPr="004B5970">
        <w:rPr>
          <w:lang w:val="it-IT"/>
        </w:rPr>
        <w:t>Ministri i Brendshëm</w:t>
      </w:r>
    </w:p>
    <w:p w:rsidR="004B5970" w:rsidRPr="004B5970" w:rsidRDefault="004B5970" w:rsidP="004B5970">
      <w:pPr>
        <w:pStyle w:val="AutoritetiEmer"/>
        <w:rPr>
          <w:lang w:val="it-IT"/>
        </w:rPr>
      </w:pPr>
      <w:r w:rsidRPr="004B5970">
        <w:rPr>
          <w:lang w:val="it-IT"/>
        </w:rPr>
        <w:t>Lulzim Basha</w:t>
      </w:r>
    </w:p>
    <w:p w:rsidR="004B5970" w:rsidRPr="0067553B" w:rsidRDefault="004B5970" w:rsidP="004B5970">
      <w:pPr>
        <w:pStyle w:val="Paragrafi0"/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67553B" w:rsidRDefault="004B5970" w:rsidP="004B5970">
      <w:pPr>
        <w:pStyle w:val="Paragrafi0"/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Paragrafi0"/>
        <w:rPr>
          <w:szCs w:val="22"/>
          <w:lang w:val="it-IT"/>
        </w:rPr>
      </w:pPr>
    </w:p>
    <w:p w:rsidR="004B5970" w:rsidRPr="004B5970" w:rsidRDefault="004B5970" w:rsidP="004B5970">
      <w:pPr>
        <w:pStyle w:val="Akti"/>
        <w:keepNext w:val="0"/>
        <w:rPr>
          <w:lang w:val="it-IT"/>
        </w:rPr>
        <w:sectPr w:rsidR="004B5970" w:rsidRPr="004B5970" w:rsidSect="004B5970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719"/>
          <w:cols w:space="720"/>
          <w:docGrid w:linePitch="360"/>
        </w:sectPr>
      </w:pPr>
    </w:p>
    <w:p w:rsidR="004B5970" w:rsidRPr="004B5970" w:rsidRDefault="004B5970" w:rsidP="004B5970">
      <w:pPr>
        <w:pStyle w:val="Akti"/>
        <w:keepNext w:val="0"/>
        <w:rPr>
          <w:lang w:val="it-IT"/>
        </w:rPr>
      </w:pPr>
    </w:p>
    <w:p w:rsidR="004B5970" w:rsidRPr="004B5970" w:rsidRDefault="004B5970" w:rsidP="004B5970">
      <w:pPr>
        <w:pStyle w:val="Akti"/>
        <w:keepNext w:val="0"/>
        <w:rPr>
          <w:lang w:val="it-IT"/>
        </w:rPr>
      </w:pPr>
    </w:p>
    <w:p w:rsidR="004B5970" w:rsidRPr="004B5970" w:rsidRDefault="004B5970" w:rsidP="004B5970">
      <w:pPr>
        <w:pStyle w:val="TitulliTitull"/>
        <w:keepNext w:val="0"/>
        <w:rPr>
          <w:lang w:val="it-IT"/>
        </w:rPr>
      </w:pPr>
      <w:r w:rsidRPr="004B5970">
        <w:rPr>
          <w:lang w:val="it-IT"/>
        </w:rPr>
        <w:t>Formulari i gjobave të arkëtuara nga enti për kryerjen e pagesave</w:t>
      </w:r>
    </w:p>
    <w:p w:rsidR="004B5970" w:rsidRPr="004B5970" w:rsidRDefault="004B5970" w:rsidP="004B5970">
      <w:pPr>
        <w:pStyle w:val="Paragrafi0"/>
        <w:ind w:firstLine="0"/>
        <w:rPr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74"/>
        <w:gridCol w:w="1021"/>
        <w:gridCol w:w="1433"/>
        <w:gridCol w:w="1160"/>
        <w:gridCol w:w="1180"/>
        <w:gridCol w:w="694"/>
        <w:gridCol w:w="518"/>
        <w:gridCol w:w="646"/>
        <w:gridCol w:w="572"/>
        <w:gridCol w:w="584"/>
        <w:gridCol w:w="771"/>
        <w:gridCol w:w="776"/>
        <w:gridCol w:w="796"/>
        <w:gridCol w:w="1186"/>
        <w:gridCol w:w="1365"/>
        <w:gridCol w:w="447"/>
        <w:gridCol w:w="597"/>
      </w:tblGrid>
      <w:tr w:rsidR="004B5970" w:rsidRPr="007A2B36" w:rsidTr="004B5970">
        <w:tc>
          <w:tcPr>
            <w:tcW w:w="167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Nr.</w:t>
            </w:r>
          </w:p>
        </w:tc>
        <w:tc>
          <w:tcPr>
            <w:tcW w:w="359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Data e njoftimit me faks</w:t>
            </w:r>
          </w:p>
        </w:tc>
        <w:tc>
          <w:tcPr>
            <w:tcW w:w="504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Emri, mbiemri i kundërvajtësit</w:t>
            </w:r>
          </w:p>
        </w:tc>
        <w:tc>
          <w:tcPr>
            <w:tcW w:w="408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Nr.Kodik i regjistrimit</w:t>
            </w:r>
          </w:p>
        </w:tc>
        <w:tc>
          <w:tcPr>
            <w:tcW w:w="415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Komisariati i Policisë</w:t>
            </w:r>
          </w:p>
        </w:tc>
        <w:tc>
          <w:tcPr>
            <w:tcW w:w="653" w:type="pct"/>
            <w:gridSpan w:val="3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Automjeti</w:t>
            </w:r>
          </w:p>
        </w:tc>
        <w:tc>
          <w:tcPr>
            <w:tcW w:w="406" w:type="pct"/>
            <w:gridSpan w:val="2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Kundërvajtje</w:t>
            </w:r>
          </w:p>
        </w:tc>
        <w:tc>
          <w:tcPr>
            <w:tcW w:w="271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Seria e gjobës</w:t>
            </w:r>
          </w:p>
        </w:tc>
        <w:tc>
          <w:tcPr>
            <w:tcW w:w="273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Vlera e gjobës</w:t>
            </w:r>
          </w:p>
        </w:tc>
        <w:tc>
          <w:tcPr>
            <w:tcW w:w="280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Kamtë vonesa</w:t>
            </w:r>
          </w:p>
        </w:tc>
        <w:tc>
          <w:tcPr>
            <w:tcW w:w="417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Shpenzimet e njoftimit</w:t>
            </w:r>
          </w:p>
        </w:tc>
        <w:tc>
          <w:tcPr>
            <w:tcW w:w="480" w:type="pc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Detyrimi i kundërvajtësit</w:t>
            </w:r>
          </w:p>
        </w:tc>
        <w:tc>
          <w:tcPr>
            <w:tcW w:w="367" w:type="pct"/>
            <w:gridSpan w:val="2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Mandat-arkëtimi</w:t>
            </w:r>
          </w:p>
        </w:tc>
      </w:tr>
      <w:tr w:rsidR="004B5970" w:rsidRPr="007A2B36" w:rsidTr="004B5970">
        <w:tc>
          <w:tcPr>
            <w:tcW w:w="16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1.</w:t>
            </w:r>
          </w:p>
        </w:tc>
        <w:tc>
          <w:tcPr>
            <w:tcW w:w="359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08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Marka</w:t>
            </w:r>
          </w:p>
        </w:tc>
        <w:tc>
          <w:tcPr>
            <w:tcW w:w="182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Tipi</w:t>
            </w:r>
          </w:p>
        </w:tc>
        <w:tc>
          <w:tcPr>
            <w:tcW w:w="22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Targa</w:t>
            </w:r>
          </w:p>
        </w:tc>
        <w:tc>
          <w:tcPr>
            <w:tcW w:w="20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</w:t>
            </w:r>
            <w:r w:rsidRPr="007A2B36">
              <w:rPr>
                <w:sz w:val="18"/>
                <w:szCs w:val="18"/>
              </w:rPr>
              <w:t>ta</w:t>
            </w:r>
          </w:p>
        </w:tc>
        <w:tc>
          <w:tcPr>
            <w:tcW w:w="20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Lloji</w:t>
            </w:r>
          </w:p>
        </w:tc>
        <w:tc>
          <w:tcPr>
            <w:tcW w:w="27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73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Nr</w:t>
            </w:r>
          </w:p>
        </w:tc>
        <w:tc>
          <w:tcPr>
            <w:tcW w:w="21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Datë</w:t>
            </w:r>
          </w:p>
        </w:tc>
      </w:tr>
      <w:tr w:rsidR="004B5970" w:rsidRPr="007A2B36" w:rsidTr="004B5970">
        <w:tc>
          <w:tcPr>
            <w:tcW w:w="16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2</w:t>
            </w:r>
          </w:p>
        </w:tc>
        <w:tc>
          <w:tcPr>
            <w:tcW w:w="50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3</w:t>
            </w:r>
          </w:p>
        </w:tc>
        <w:tc>
          <w:tcPr>
            <w:tcW w:w="408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4</w:t>
            </w:r>
          </w:p>
        </w:tc>
        <w:tc>
          <w:tcPr>
            <w:tcW w:w="41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5</w:t>
            </w:r>
          </w:p>
        </w:tc>
        <w:tc>
          <w:tcPr>
            <w:tcW w:w="24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6</w:t>
            </w:r>
          </w:p>
        </w:tc>
        <w:tc>
          <w:tcPr>
            <w:tcW w:w="182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7</w:t>
            </w:r>
          </w:p>
        </w:tc>
        <w:tc>
          <w:tcPr>
            <w:tcW w:w="22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8</w:t>
            </w:r>
          </w:p>
        </w:tc>
        <w:tc>
          <w:tcPr>
            <w:tcW w:w="20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9</w:t>
            </w:r>
          </w:p>
        </w:tc>
        <w:tc>
          <w:tcPr>
            <w:tcW w:w="20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10</w:t>
            </w:r>
          </w:p>
        </w:tc>
        <w:tc>
          <w:tcPr>
            <w:tcW w:w="27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11</w:t>
            </w:r>
          </w:p>
        </w:tc>
        <w:tc>
          <w:tcPr>
            <w:tcW w:w="273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13</w:t>
            </w:r>
          </w:p>
        </w:tc>
        <w:tc>
          <w:tcPr>
            <w:tcW w:w="41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14</w:t>
            </w:r>
          </w:p>
        </w:tc>
        <w:tc>
          <w:tcPr>
            <w:tcW w:w="4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15</w:t>
            </w:r>
          </w:p>
        </w:tc>
        <w:tc>
          <w:tcPr>
            <w:tcW w:w="15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16</w:t>
            </w:r>
          </w:p>
        </w:tc>
        <w:tc>
          <w:tcPr>
            <w:tcW w:w="21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17</w:t>
            </w:r>
          </w:p>
        </w:tc>
      </w:tr>
      <w:tr w:rsidR="004B5970" w:rsidRPr="007A2B36" w:rsidTr="004B5970">
        <w:tc>
          <w:tcPr>
            <w:tcW w:w="16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2</w:t>
            </w:r>
          </w:p>
        </w:tc>
        <w:tc>
          <w:tcPr>
            <w:tcW w:w="359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08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2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2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7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73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1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4B5970" w:rsidRPr="007A2B36" w:rsidTr="004B5970">
        <w:tc>
          <w:tcPr>
            <w:tcW w:w="16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08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82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2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05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7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73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7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11" w:type="pct"/>
          </w:tcPr>
          <w:p w:rsidR="004B5970" w:rsidRPr="007A2B36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4B5970" w:rsidRDefault="004B5970" w:rsidP="004B5970">
      <w:pPr>
        <w:pStyle w:val="Paragrafi0"/>
        <w:ind w:firstLine="0"/>
      </w:pPr>
    </w:p>
    <w:p w:rsidR="004B5970" w:rsidRDefault="004B5970" w:rsidP="004B5970">
      <w:pPr>
        <w:pStyle w:val="Paragrafi0"/>
      </w:pPr>
      <w:r>
        <w:t xml:space="preserve">        </w:t>
      </w:r>
    </w:p>
    <w:p w:rsidR="004B5970" w:rsidRDefault="004B5970" w:rsidP="004B5970">
      <w:pPr>
        <w:pStyle w:val="Paragrafi0"/>
      </w:pPr>
    </w:p>
    <w:p w:rsidR="004B5970" w:rsidRPr="004B5970" w:rsidRDefault="004B5970" w:rsidP="004B5970">
      <w:pPr>
        <w:pStyle w:val="TitulliTitull"/>
        <w:keepNext w:val="0"/>
        <w:rPr>
          <w:lang w:val="it-IT"/>
        </w:rPr>
      </w:pPr>
      <w:r w:rsidRPr="004B5970">
        <w:rPr>
          <w:lang w:val="it-IT"/>
        </w:rPr>
        <w:t>Regjistri i debitorëve me vendbanim jashtë rrethit</w:t>
      </w:r>
    </w:p>
    <w:p w:rsidR="004B5970" w:rsidRPr="004B5970" w:rsidRDefault="004B5970" w:rsidP="004B5970">
      <w:pPr>
        <w:pStyle w:val="Paragrafi0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06"/>
        <w:gridCol w:w="1291"/>
        <w:gridCol w:w="726"/>
        <w:gridCol w:w="1336"/>
        <w:gridCol w:w="726"/>
        <w:gridCol w:w="1536"/>
        <w:gridCol w:w="1876"/>
        <w:gridCol w:w="1286"/>
        <w:gridCol w:w="861"/>
        <w:gridCol w:w="556"/>
        <w:gridCol w:w="616"/>
        <w:gridCol w:w="796"/>
      </w:tblGrid>
      <w:tr w:rsidR="004B5970" w:rsidRPr="007A2B36" w:rsidTr="004B5970">
        <w:trPr>
          <w:jc w:val="center"/>
        </w:trPr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  <w:gridSpan w:val="2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Kundërvajtësi</w:t>
            </w:r>
          </w:p>
        </w:tc>
        <w:tc>
          <w:tcPr>
            <w:tcW w:w="0" w:type="auto"/>
            <w:gridSpan w:val="2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Pronari i mjetit</w:t>
            </w:r>
          </w:p>
        </w:tc>
        <w:tc>
          <w:tcPr>
            <w:tcW w:w="0" w:type="auto"/>
            <w:vMerge w:val="restar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Targa e automjetit</w:t>
            </w:r>
          </w:p>
        </w:tc>
        <w:tc>
          <w:tcPr>
            <w:tcW w:w="0" w:type="auto"/>
            <w:vMerge w:val="restar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Emri, mbiemri i policit</w:t>
            </w:r>
          </w:p>
        </w:tc>
        <w:tc>
          <w:tcPr>
            <w:tcW w:w="0" w:type="auto"/>
            <w:vMerge w:val="restart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Lloji i shkeljes</w:t>
            </w:r>
          </w:p>
        </w:tc>
        <w:tc>
          <w:tcPr>
            <w:tcW w:w="0" w:type="auto"/>
            <w:gridSpan w:val="3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Fleta e gjobës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Vërejtje</w:t>
            </w:r>
          </w:p>
        </w:tc>
      </w:tr>
      <w:tr w:rsidR="004B5970" w:rsidRPr="007A2B36" w:rsidTr="004B5970">
        <w:trPr>
          <w:jc w:val="center"/>
        </w:trPr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Emër,mbiemër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Adresa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Emër, mbiemër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Adresa</w:t>
            </w:r>
          </w:p>
        </w:tc>
        <w:tc>
          <w:tcPr>
            <w:tcW w:w="0" w:type="auto"/>
            <w:vMerge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Nr.serisë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Data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7A2B36">
              <w:rPr>
                <w:sz w:val="18"/>
                <w:szCs w:val="18"/>
              </w:rPr>
              <w:t>Vlera</w:t>
            </w:r>
          </w:p>
        </w:tc>
        <w:tc>
          <w:tcPr>
            <w:tcW w:w="0" w:type="auto"/>
          </w:tcPr>
          <w:p w:rsidR="004B5970" w:rsidRPr="007A2B36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4B5970" w:rsidRPr="000065F0" w:rsidTr="004B5970">
        <w:trPr>
          <w:jc w:val="center"/>
        </w:trPr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0065F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4B5970" w:rsidRPr="000065F0" w:rsidTr="004B5970">
        <w:trPr>
          <w:jc w:val="center"/>
        </w:trPr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0065F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4B5970" w:rsidRPr="000065F0" w:rsidTr="004B5970">
        <w:trPr>
          <w:jc w:val="center"/>
        </w:trPr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0065F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4B5970" w:rsidRPr="000065F0" w:rsidTr="004B5970">
        <w:trPr>
          <w:jc w:val="center"/>
        </w:trPr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  <w:r w:rsidRPr="000065F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4B5970" w:rsidRPr="000065F0" w:rsidRDefault="004B5970" w:rsidP="004B5970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4B5970" w:rsidRDefault="004B5970" w:rsidP="004B5970">
      <w:pPr>
        <w:pStyle w:val="Paragrafi0"/>
        <w:rPr>
          <w:szCs w:val="22"/>
        </w:rPr>
      </w:pPr>
    </w:p>
    <w:p w:rsidR="004B5970" w:rsidRDefault="004B5970" w:rsidP="004B5970">
      <w:pPr>
        <w:pStyle w:val="Paragrafi0"/>
        <w:rPr>
          <w:szCs w:val="22"/>
        </w:rPr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</w:pPr>
    </w:p>
    <w:p w:rsidR="004B5970" w:rsidRDefault="004B5970" w:rsidP="004B5970">
      <w:pPr>
        <w:pStyle w:val="Akti"/>
        <w:keepNext w:val="0"/>
        <w:sectPr w:rsidR="004B5970" w:rsidSect="004B5970">
          <w:pgSz w:w="16840" w:h="11907" w:orient="landscape" w:code="9"/>
          <w:pgMar w:top="1418" w:right="1418" w:bottom="1418" w:left="1418" w:header="1304" w:footer="1134" w:gutter="0"/>
          <w:pgNumType w:start="1742"/>
          <w:cols w:space="720"/>
          <w:docGrid w:linePitch="360"/>
        </w:sectPr>
      </w:pPr>
    </w:p>
    <w:p w:rsidR="00016606" w:rsidRDefault="00016606" w:rsidP="004B597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02573">
      <w:r>
        <w:separator/>
      </w:r>
    </w:p>
  </w:endnote>
  <w:endnote w:type="continuationSeparator" w:id="0">
    <w:p w:rsidR="00000000" w:rsidRDefault="00D0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70" w:rsidRDefault="004B5970" w:rsidP="004B59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5970" w:rsidRDefault="004B5970" w:rsidP="004B597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70" w:rsidRPr="00AC322D" w:rsidRDefault="004B5970" w:rsidP="004B5970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AC322D">
      <w:rPr>
        <w:rStyle w:val="PageNumber"/>
        <w:rFonts w:ascii="CG Times" w:hAnsi="CG Times"/>
      </w:rPr>
      <w:fldChar w:fldCharType="begin"/>
    </w:r>
    <w:r w:rsidRPr="00AC322D">
      <w:rPr>
        <w:rStyle w:val="PageNumber"/>
        <w:rFonts w:ascii="CG Times" w:hAnsi="CG Times"/>
      </w:rPr>
      <w:instrText xml:space="preserve">PAGE  </w:instrText>
    </w:r>
    <w:r w:rsidRPr="00AC322D">
      <w:rPr>
        <w:rStyle w:val="PageNumber"/>
        <w:rFonts w:ascii="CG Times" w:hAnsi="CG Times"/>
      </w:rPr>
      <w:fldChar w:fldCharType="separate"/>
    </w:r>
    <w:r w:rsidR="00D02573">
      <w:rPr>
        <w:rStyle w:val="PageNumber"/>
        <w:rFonts w:ascii="CG Times" w:hAnsi="CG Times"/>
        <w:noProof/>
      </w:rPr>
      <w:t>1743</w:t>
    </w:r>
    <w:r w:rsidRPr="00AC322D">
      <w:rPr>
        <w:rStyle w:val="PageNumber"/>
        <w:rFonts w:ascii="CG Times" w:hAnsi="CG Times"/>
      </w:rPr>
      <w:fldChar w:fldCharType="end"/>
    </w:r>
  </w:p>
  <w:p w:rsidR="004B5970" w:rsidRDefault="004B5970" w:rsidP="004B597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02573">
      <w:r>
        <w:separator/>
      </w:r>
    </w:p>
  </w:footnote>
  <w:footnote w:type="continuationSeparator" w:id="0">
    <w:p w:rsidR="00000000" w:rsidRDefault="00D02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597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5970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573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81C5F4-9EA6-4CE8-8BE6-43A9F750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970"/>
    <w:pPr>
      <w:jc w:val="both"/>
    </w:pPr>
    <w:rPr>
      <w:rFonts w:ascii="Arial" w:eastAsia="MS Mincho" w:hAnsi="Arial"/>
      <w:sz w:val="22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</w:pPr>
    <w:rPr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</w:pPr>
    <w:rPr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</w:pPr>
    <w:rPr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</w:pPr>
    <w:rPr>
      <w:sz w:val="20"/>
      <w:szCs w:val="20"/>
      <w:lang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</w:pPr>
    <w:rPr>
      <w:rFonts w:ascii="Book Antiqua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eastAsia="Times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table" w:styleId="TableGrid">
    <w:name w:val="Table Grid"/>
    <w:basedOn w:val="TableNormal"/>
    <w:rsid w:val="004B5970"/>
    <w:pPr>
      <w:jc w:val="both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4B597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B597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7860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