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274" w:rsidRPr="00F479A3" w:rsidRDefault="00F57274" w:rsidP="00F5727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 xml:space="preserve">UDHËZIM </w:t>
      </w:r>
    </w:p>
    <w:p w:rsidR="00F57274" w:rsidRPr="00F479A3" w:rsidRDefault="00F57274" w:rsidP="00F57274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Nr.25, datë 8.11.2011</w:t>
      </w:r>
    </w:p>
    <w:p w:rsidR="00F57274" w:rsidRPr="00F479A3" w:rsidRDefault="00F57274" w:rsidP="00D97DC1">
      <w:pPr>
        <w:pStyle w:val="Paragrafi"/>
        <w:rPr>
          <w:lang w:val="sq-AL"/>
        </w:rPr>
      </w:pPr>
    </w:p>
    <w:p w:rsidR="00F57274" w:rsidRPr="00F479A3" w:rsidRDefault="00F57274" w:rsidP="00F57274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DISA SHTESA E NDRYSHIME NË UDHËZIMIN NR.17, DATË 13.5.2008 “PËR TATIMIN MBI VLERËN E SHTUAR”, tË NDRYSHUAR</w:t>
      </w:r>
    </w:p>
    <w:p w:rsidR="00F57274" w:rsidRPr="00F479A3" w:rsidRDefault="00F57274" w:rsidP="00D97DC1">
      <w:pPr>
        <w:pStyle w:val="Paragrafi"/>
        <w:rPr>
          <w:lang w:val="sq-AL"/>
        </w:rPr>
      </w:pPr>
    </w:p>
    <w:p w:rsidR="00F57274" w:rsidRPr="00F479A3" w:rsidRDefault="00F57274" w:rsidP="00F57274">
      <w:pPr>
        <w:pStyle w:val="BazLigjPropozues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nenit 102 pika 4 të Kushtetutës së Republikës së Shqipërisë, si dhe në zbatim të ligjit nr.7928, datë 27.4.1995 “Për tatimin mbi vlerën e shtuar”, të ndryshuar, Ministri i Financave</w:t>
      </w:r>
    </w:p>
    <w:p w:rsidR="00F57274" w:rsidRPr="00F479A3" w:rsidRDefault="00F57274" w:rsidP="00D97DC1">
      <w:pPr>
        <w:pStyle w:val="Paragrafi"/>
        <w:rPr>
          <w:lang w:val="sq-AL"/>
        </w:rPr>
      </w:pPr>
    </w:p>
    <w:p w:rsidR="00F57274" w:rsidRPr="00F479A3" w:rsidRDefault="00F57274" w:rsidP="00F57274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UDHËZON:</w:t>
      </w:r>
    </w:p>
    <w:p w:rsidR="00F57274" w:rsidRPr="00F479A3" w:rsidRDefault="00F57274" w:rsidP="00D97DC1">
      <w:pPr>
        <w:pStyle w:val="Paragrafi"/>
        <w:rPr>
          <w:lang w:val="sq-AL"/>
        </w:rPr>
      </w:pP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udhëzimin nr.17, datë 13.5.2008 “Për TVSH-në” bëhen shtesat dhe ndryshimet e mëposhtme: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Në pikën 2.1.1 “Ndryshime që kërkojnë çregjistrim”: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Pika “d”  shfuqizohet.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Pika “e” ndryshon me përmbajtje, si më poshtë: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“e) Organet tatimore çregjistrojnë çdo person që as nuk është i detyruar e as ka të drejtë të regjistrohet, me efekt nga data kur personi është regjistruar. Këto organe refuzojnë të regjistrojnë çdo person që as nuk është i detyruar dhe as ka të drejtë të regjistrohet.”.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2. Në pikën  2.2.1, paragrafi i dytë, që fillon nga “Kur qarkullimi bie.....” deri në fund të paragrafit dhe paragrafi i tretë që fillon nga “ kur personi i tatueshëm heq dorë......” deri në fund të paragrafit, shfuqizohen.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3. Në pikën 2.2.2 “Dispozita të tjera për çregjistrimin”, paragrafi 2 ndryshon në përmbajtje, si më poshtë: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“Personat e tatueshëm që çregjistrohen sipas pikës “e” të paragrafit 2.1.1 të këtij udhëzimi, nuk detyrohen të llogarisin TVSH-në mbi gjendjen e mallrave stok.”.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4. Pika 6.2. “Furnizimi i shërbimeve nga jashtë vendit”, pas shembullit të parë shtohen paragrafët: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“Në rastet kur personi Z (tatimpagues TVSH-je në Shqipëri), krahas shitjeve të tatueshme ka edhe shitje të përjashtuara, ky person duhet të zbatojë kreditimin e pjesshëm të TVSH-së në përputhje me dispozitat e këtij udhëzimi.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rastin kur personi Z, person i tatueshëm në Shqipëri, kryen vetëm furnizime të përjashtuara nga TVSH-ja, ky person nuk ka të drejtë të kreditojë TVSH-në e autofaturës së lëshuar në zbatim të këtij udhëzimi.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Në rastin kur shërbimi që merr Z, person i tatueshëm në Shqipëri nga X, person i tatueshëm jashtë Shqipërisë, është furnizim shërbimi i përjashtuar në Shqipëri në zbatim të ligjit “Për TVSH-në”, për këtë furnizim shërbimi nuk zbatohen dispozitat e nenit 15 pika 5 të ligjit, pra ky shërbim nuk autofaturohet.” 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Pas shembullit të dytë shtohet paragrafi me përmbajtjen, si më poshtë: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“Personi i tatueshëm jo rezident në Shqipëri, i cili kryen shërbime, vendi i furnizimit të të cilave është në Shqipëri dhe për rrjedhojë detyrimi për të paguar TVSH-në lind në Shqipëri, në zbatim të nenit 55 të ligjit i kërkohet të emërojë përfaqësuesin e tij tatimor. Detyrimi i personit të tatueshëm jorezident, për t’u regjistruar me anë të një përfaqësuesi tatimor për të paguar TVSH-në në Shqipëri, zbatohet pavarësisht nëse vlera e furnizimit të shërbimit kalon ose jo kufirin minimal të regjistrimit për tatimin mbi vlerën e shtuar.”.  </w:t>
      </w:r>
    </w:p>
    <w:p w:rsidR="00F57274" w:rsidRPr="00F479A3" w:rsidRDefault="00F57274" w:rsidP="00F57274">
      <w:pPr>
        <w:pStyle w:val="Paragrafi"/>
        <w:rPr>
          <w:sz w:val="21"/>
          <w:szCs w:val="21"/>
          <w:highlight w:val="yellow"/>
          <w:lang w:val="sq-AL"/>
        </w:rPr>
      </w:pPr>
      <w:r w:rsidRPr="00F479A3">
        <w:rPr>
          <w:sz w:val="21"/>
          <w:szCs w:val="21"/>
          <w:lang w:val="sq-AL"/>
        </w:rPr>
        <w:t>5.  Në fund të pikës 7.2 shtohen paragrafët me këtë përmbajtje: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“Për subjektet që ushtrojnë aktivitetin e tregtisë së energjisë elektrike, në përcaktimin e një furnizimi me pagesë të reduktuar, organi tatimor nuk duhet të ndërhyjë në vlerën e taksueshme të furnizimeve të zakonshme të diktuara nga kushtet dhe çmimet e imponuara të tregut (vlera e tregut për furnizimet e tatueshme) në kohën e kryerjes së tyre (p.sh. në kohën kur lidhen kontratat përkatëse apo kryhen transaksionet), në bazë të kontratave të lidhura më parë (kontrata </w:t>
      </w:r>
      <w:r w:rsidRPr="00F479A3">
        <w:rPr>
          <w:i/>
          <w:iCs/>
          <w:sz w:val="21"/>
          <w:szCs w:val="21"/>
          <w:lang w:val="sq-AL"/>
        </w:rPr>
        <w:t>forward</w:t>
      </w:r>
      <w:r w:rsidRPr="00F479A3">
        <w:rPr>
          <w:sz w:val="21"/>
          <w:szCs w:val="21"/>
          <w:lang w:val="sq-AL"/>
        </w:rPr>
        <w:t xml:space="preserve">), pavarësisht nëse realizohet fitim për tatimpaguesin apo jo. Në këtë rast, organi tatimor duhet të konsiderojë të gjitha rrethanat e transaksionit dhe natyrës së aktivitetit tregtar të taksapaguesit, si për shembull rasti i subjekteve të tregtisë së energjisë elektrike, ku vlera e tatueshme do të jetë e përcaktuar në bazë të vlerës së paguar sipas nenit 27 paragrafi 1 i ligjit “Për TVSH-së” dhe që reflektohet në dokumentacionin përkatës të tatimpaguesit.”.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6. Pas pikës “8.8.2 Furnizimi i barnave” shtohet fjalia, me këtë përmbajtje: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“Në kuptim të kësaj pike me barna kuptohen barnat për konsum njerëzor dhe barnat që përdoren për kafshët.”.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7. Pas pikës 8.8.2.1 shtohet pika 8.8.2.2 me përmbajtje si më poshtë: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lastRenderedPageBreak/>
        <w:t xml:space="preserve">“8.8.2.2 Furnizimi i shërbimeve shëndetësore nga institucionet shëndetësore, publike dhe private, që kanë karakter terapeutik, si dhe të domosdoshëm për arritjen e qëllimeve terapeutike të synuara nga hospitalizimi dhe kujdesi mjekësor ndaj shtetasve, janë furnizim i tatueshëm me shkallën tatimore 10 për qind.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këto shërbime përfshihen: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a) Furnizimi i shërbimeve të kujdesit spitalor, të kujdesit shëndetësor parësor, shërbimi i urgjencës mjekësore, ekzaminimet mjekësore terapeutike të siguruara nga ana e institucioneve spitalore, qendrat e kujdesit shëndetësor dhe të diagnostikimit (klinika dhe qendra shëndetësore), publike dhe private.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b) Furnizimet e shërbimeve shëndetësore të kryera në kuadrin e profesionit të tyre nga stomatologët, përfshirë dhe furnizimet me proteza, si pjesë e furnizimit të shërbimit stomatologjik ndaj personit, vetëm për qëllime të kujdesit shëndetësor.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c) Shërbimet e analizave mjekësore, kimike për diagnostikim, analizat mjekësore parandaluese në kuadër të kujdesit mjekësor të ofruar nga një institucion shëndetësor i njohur si i tillë.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ç) Shërbimet e ofruara në kuadër të ushtrimit të veprimtarisë profesionale si mjek ose profesione të tjera mjekësore të licencuara si të tilla, të cilat bëhen për qëllime të kujdesit për shëndetin.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d) Ekzaminimet mjekësore për lëshimin e certifikatave mjekësore të aftësisë për personat, kur këto shërbime synojnë të mbrojnë shëndetin.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Trajtohen me shkallë tatimore  prej 20%: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a) Analizat biologjike të kryera në kuadrin e kërkimit të atësisë;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b) Lëshimi i certifikatave mjekësore për vlerësimin e dëmeve trupore të pësuara (veprim gjyqësor) etj.;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c) Shërbimet e ofruara nga veterinerët në ushtrimin e profesionit të tyre;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ç) Shërbimet e kryera nga qendrat e trajtimit të bukurisë, masazheve, shërbime e trajtime estetike, kozmetike, rekonstruktive, nga institucione shëndetësore, publike apo private, apo institucione të tjera të licencuara për këtë qëllim;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d) Shërbimet e ofruara nga individë, të cilët aplikojnë metoda jotradicionale trajtimi mjekësor.”.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8. Pas pikës 8.13 të udhëzimit shtohet pika 8.14 me përmbajtjen si më poshtë: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“8.14. Furnizimi i shërbimeve arsimore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Furnizimi i shërbimeve arsimore nga institucionet arsimore, publike dhe private, në përputhje me ligjin nr.9741, datë 21.5.2007 “Për arsimin e lartë në Republikën e Shqipërisë” (të ndryshuar), ligjin nr.7952, datë 21.6.1995 “Për sistemin arsimor parauniversitar” dhe ligjin nr.8461, datë  25.2.1999 “Për arsimin e lartë në Republikën e Shqipërisë” (të ndryshuar), duke filluar nga data 1 tetor 2010, është furnizim i përjashtuar.”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kuptim të ligjeve të sipërcituar konsiderohen furnizim i shërbimeve arsimore, furnizimet e mëposhtme: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3. Furnizimi i shërbimit të mësimdhënies për realizimin e planeve dhe programeve mësimore,  nga institucione të arsimit të lartë, si: universitetet, akademitë, kolegjet profesionale, shkollat e larta dhe qendrat ndëruniversitare, përveç furnizimeve të tjera që kryejnë këto institucione në kuadër të veprimtarisë së tyre studimore, shkencore të cilat janë furnizime të tatueshme me TVSH.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4. Furnizimi i shërbimeve arsimore të mësimdhënies për realizimin e planeve dhe programeve mësimore në nivele të ndryshme shkollore e parashkollore (arsimi bazë; arsimi i mesëm i përgjithshëm dhe profesional, arsimi special, kopshtet).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5. Furnizimi i shërbimeve arsimore që kryhen nga institucionet arsimore plotësuese jopublike, që funksionojnë jashtë strukturave të institucioneve arsimore, publike e private dhe ku punohet në drejtim të arsimimit e të edukimit në lëndë e specialitete të veçanta (p.sh. kurse kualifikimi specifike), brenda ose jashtë planeve mësimore, të miratuara nga Ministria e Arsimit dhe e Shkencës.”.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9. Në pikën 9.2, titulli “Kartat telefonike të parapaguara”, zëvendësohet me “Kartat me parapagim”;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Në paragrafin e parë, fjalia e parë, riformulohet si më poshtë: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“Operatorët kryesorë të tekomunikacioneve dhe operatorët kryesorë të transmetimeve televizive tokësore dhe satelitore, llogarisin dhe paguajnë TVSH për vlerën e plotë të kartave të parapaguara që ata u furnizojnë distributorëve të tyre.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paragrafin e dytë, fjalia e dytë, shprehja “distributorët e kartave telefonike të parapaguara”  zëvendësohet me shprehjen  “distributorët e kartave të parapaguara”.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10. Në pikën 9.5.3 “Rregulla të përgjithshme”, pas pikës “e” shtohet pika “f”  me përmbajtjen: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“f. Furnizuesit e ndërmjetëm dhe të gjithë furnizuesit e mëpasshëm të cigareve, përfshirë njësitë e </w:t>
      </w:r>
      <w:r w:rsidRPr="00F479A3">
        <w:rPr>
          <w:sz w:val="21"/>
          <w:szCs w:val="21"/>
          <w:lang w:val="sq-AL"/>
        </w:rPr>
        <w:lastRenderedPageBreak/>
        <w:t>shitjes me pakicë, janë të detyruar të dokumentojnë të gjitha shitjet e cigareve të kryera me fatura tatimore apo kupon tatimor fiskal në varësi të skemës së aplikuar. Këta furnizues janë të detyruar t’i regjistrojnë, evidentojnë në librin e shitjes dhe në librin e blerjes transaksionet e shitblerjes së cigareve, në përputhje me kërkesat ligjore të këtij udhëzimi dhe procedurat tatimore në fuqi.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Si furnizime jashtë objektit të TVSH-së, evidentimi dhe regjistrimi i këtyre faturave në librin e blerjeve dhe të shitjeve do të bëhet në rubrikat “Shitje e përjashtuar”dhe “Blerje pa TVSH” dhe do të deklarohet në rubrikat respektive të formularit të deklarimit dhe pagesës së TVSH-së, pa ndikuar në TVSH-në e pagueshme dhe në kreditimin e tatimit.” 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11. Pas pikës 9.5 “Furnizimi i cigareve” shtohet  pika 9.6 “Trajtimi i humbjeve  në rrjet të energjisë elektrike”, me përmbajtjen e mëposhtme: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“9.6 “Trajtimi i humbjeve  në rrjet të energjisë elektrike”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Në rastin e furnizimit të energjisë elektrike, “humbje gjatë transportit të energjisë elektrike” do të konsiderohet përqindja e humbjeve të energjisë elektrike në shpërndarje, që miraton Enti Rregullator i Energjisë (ERE).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efekte fiskale, niveli i humbjeve në rrjet të energjisë elektrike është vjetor dhe niveli maksimal i humbjeve është përqindja e miratuar çdo vit nga ERE.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rast se përqindja faktike vjetore e humbjeve tejkalon përqindjen e miratuar nga ERE, për efekte fiskale konsiderohet përqindja e miratuar nga ERE.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rast se përqindja faktike vjetore e humbjeve është më e ulët se përqindja e miratuar nga ERE, për efekte fiskale konsiderohet përqindja faktike e humbjeve.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Brenda tre muajve të vitit pasardhës, tatimpaguesi që operon në sektorin e shpërndarjes së energjisë në bashkëpunim me administratën tatimore kryejnë rakordimet përkatëse.”.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12. Pas pikës 10 “Eksportet” shtohet pika 10.1  me këtë përmbajtje: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“10.1 Trajtimi i rasteve kur produktet e eksportuara nga eksportues shqiptar, refuzohen dhe kthehen nga blerësi i huaj, përveç rasteve që i nënshtrohen regjimit të përpunimit aktiv.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10.1.1. Mallra që i kthehen subjekteve shqiptare shitëse (eksportuese) nga blerës të huaj 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këtë rast, për vlerën që i korrespondon sasisë së mallit të kthyer, shitësi (eksportuesi) përpilon një notë krediti me vlerën përkatëse të mallit që kthehet, që i drejtohet blerësit të huaj dhe ku referohet saktësisht fatura me të cilën është bërë shitja e mallit që kthehet dhe deklarata doganore përkatëse e importit. Shitësi (eksportuesi shqiptar) është i detyruar t’i kthejë blerësit pagesën, në përputhje me dispozitat kontraktuale, kundrejt vlerës së përcaktuar në notën e kreditit, transaksion i cili duhet të kryhet nëpërmjet bankës. Malli i refuzuar nga blerësi kthehet në Shqipëri, sipas procedurave të parashikuara në Kodin Doganor dhe aktet nënligjore në zbatim të tij, i shoqëruar edhe me dokumentacionin përkatës të lëshuar nga blerësi që refuzon dhe kthen mallin. Në këtë rast shitësi (eksportuesi) përgatit një faturë tatimore saktësuese ose anuluese (me minus) të cilën e regjistron në librin e shitjeve të TVSH-së për periudhën tatimore (muajin) në të cilin është lëshuar kjo faturë saktësimi, duke reduktuar shitjet dhe TVSH-në e atij muaji. Faturës saktësuese ose anuluese i bashkëngjitet nota e kreditit.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Shitësi (eksportuesi shqiptar), mund të gjejë një blerës tjetër, po jashtë vendit, duke mundësuar që malli të shkojë direkt nga blerësi i parë tek i dyti, pa qenë i nevojshëm kthimi i mallit në vendin e origjinës (Shqipëri). Procedura e notës së kreditit e lëshuar nga shitësi për blerësin e parë dhe e  faturës tatimore të saktësimit (me minus) e lëshuar nga shitësi për blerësin e parë dhe regjistrimi në librin e shitjeve të TVSH-së të shitësit (eksportuesit) është e njëjtë si në paragrafin paraardhës. Në të njëjtën kohë, shitësi (eksportuesi shqiptar) përpilon një faturë tatimore shitje për blerësin e dytë (me TVSH 0%), pa e shoqëruar me deklaratën e eksportit (sepse malli tashmë nuk eksportohet nga Shqipëria). Kjo faturë regjistrohet normalisht në librin e shitjeve të TVSH-së si eksport me vlerën që malli i shitet blerësit të dytë. Transfertat përkatëse monetare, pra kthimi i shumës përkatëse ndaj blerësit të parë që refuzoi mallin dhe arkëtimi i parave nga blerësi i dytë kryhen nëpërmjet bankës.”.</w:t>
      </w:r>
    </w:p>
    <w:p w:rsidR="00F57274" w:rsidRPr="00F479A3" w:rsidRDefault="00F57274" w:rsidP="00F5727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Ky udhëzim hyn në fuqi menjëherë.</w:t>
      </w:r>
    </w:p>
    <w:p w:rsidR="00F57274" w:rsidRPr="00F479A3" w:rsidRDefault="00F57274" w:rsidP="00F57274">
      <w:pPr>
        <w:pStyle w:val="Paragrafi"/>
        <w:rPr>
          <w:sz w:val="17"/>
          <w:szCs w:val="17"/>
          <w:lang w:val="sq-AL"/>
        </w:rPr>
      </w:pPr>
    </w:p>
    <w:p w:rsidR="00F57274" w:rsidRPr="00F479A3" w:rsidRDefault="00F57274" w:rsidP="00F57274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MINISTri I FINANCAVE</w:t>
      </w:r>
    </w:p>
    <w:p w:rsidR="00477590" w:rsidRPr="00F57274" w:rsidRDefault="00F57274" w:rsidP="00F57274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Ridvan Bode</w:t>
      </w:r>
    </w:p>
    <w:sectPr w:rsidR="00477590" w:rsidRPr="00F572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7274"/>
    <w:rsid w:val="000277EF"/>
    <w:rsid w:val="000C2ABA"/>
    <w:rsid w:val="00142F5D"/>
    <w:rsid w:val="001D4B57"/>
    <w:rsid w:val="002072A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97DC1"/>
    <w:rsid w:val="00F5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8DC906-96EA-4717-90C3-AC860006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27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F5727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5727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5727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F5727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