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2F32" w:rsidRPr="00B93155" w:rsidRDefault="00892F32" w:rsidP="00892F32">
      <w:pPr>
        <w:pStyle w:val="Akti"/>
      </w:pPr>
      <w:bookmarkStart w:id="0" w:name="_GoBack"/>
      <w:bookmarkEnd w:id="0"/>
      <w:r w:rsidRPr="00B93155">
        <w:t>UDHËZIM</w:t>
      </w:r>
    </w:p>
    <w:p w:rsidR="00892F32" w:rsidRPr="00B93155" w:rsidRDefault="00892F32" w:rsidP="00892F32">
      <w:pPr>
        <w:pStyle w:val="NumriData"/>
      </w:pPr>
      <w:r w:rsidRPr="00B93155">
        <w:t>Nr. 102, datë 13.6. 2012</w:t>
      </w:r>
    </w:p>
    <w:p w:rsidR="00892F32" w:rsidRPr="00B93155" w:rsidRDefault="00892F32" w:rsidP="00892F32">
      <w:pPr>
        <w:pStyle w:val="Paragrafi"/>
        <w:rPr>
          <w:lang w:val="sq-AL"/>
        </w:rPr>
      </w:pPr>
    </w:p>
    <w:p w:rsidR="00892F32" w:rsidRPr="00321879" w:rsidRDefault="00892F32" w:rsidP="00892F32">
      <w:pPr>
        <w:pStyle w:val="Titulli"/>
      </w:pPr>
      <w:r w:rsidRPr="00321879">
        <w:t>PËR MËNYRËN E EVIDENTIMIT NË MUNGESË TË KUNDËRVAJTJEVE ADMINISTRATIVE, NË FUSHËN E QARKULLIMIT RRUGOR</w:t>
      </w:r>
    </w:p>
    <w:p w:rsidR="00892F32" w:rsidRPr="00C67022" w:rsidRDefault="00892F32" w:rsidP="00892F32">
      <w:pPr>
        <w:pStyle w:val="Paragrafi"/>
        <w:ind w:firstLine="0"/>
        <w:rPr>
          <w:sz w:val="16"/>
          <w:lang w:val="sq-AL"/>
        </w:rPr>
      </w:pPr>
    </w:p>
    <w:p w:rsidR="00892F32" w:rsidRPr="00B93155" w:rsidRDefault="00892F32" w:rsidP="00892F32">
      <w:pPr>
        <w:pStyle w:val="Paragrafi"/>
        <w:rPr>
          <w:lang w:val="sq-AL"/>
        </w:rPr>
      </w:pPr>
      <w:r w:rsidRPr="00B93155">
        <w:rPr>
          <w:lang w:val="sq-AL"/>
        </w:rPr>
        <w:t>Në mbështetje të pikës 4 të nenit 102 të Kush</w:t>
      </w:r>
      <w:r>
        <w:rPr>
          <w:lang w:val="sq-AL"/>
        </w:rPr>
        <w:t>tetutës, të pikës 1 të nenit 11</w:t>
      </w:r>
      <w:r w:rsidRPr="00B93155">
        <w:rPr>
          <w:lang w:val="sq-AL"/>
        </w:rPr>
        <w:t xml:space="preserve"> të pikës 1/a;b të nenit 12 dhe nenit 201 të ligjit nr. 8378, datë 22.7.1998 “Kodi Rrugor i Republikës së Shqipërisë</w:t>
      </w:r>
      <w:r>
        <w:rPr>
          <w:lang w:val="sq-AL"/>
        </w:rPr>
        <w:t>”</w:t>
      </w:r>
      <w:r w:rsidRPr="00B93155">
        <w:rPr>
          <w:lang w:val="sq-AL"/>
        </w:rPr>
        <w:t xml:space="preserve">, </w:t>
      </w:r>
      <w:r>
        <w:rPr>
          <w:lang w:val="sq-AL"/>
        </w:rPr>
        <w:t>të</w:t>
      </w:r>
      <w:r w:rsidRPr="00B93155">
        <w:rPr>
          <w:lang w:val="sq-AL"/>
        </w:rPr>
        <w:t xml:space="preserve"> ndryshuar, të ligjit nr. 8485, datë 12.5.1999 “Kodi i Procedurave Administrative”, si dhe të ligjit nr. 10 279, datë 20.5.2010 “Për kundërvajtjet administrative”, me qëllim që të ketë unifikim në evidentimin në mungesë të kundërvajtjeve në fushën e qarkullimit rrugor dhe njoftimin e tyre, </w:t>
      </w:r>
    </w:p>
    <w:p w:rsidR="00892F32" w:rsidRPr="00C67022" w:rsidRDefault="00892F32" w:rsidP="00892F32">
      <w:pPr>
        <w:pStyle w:val="Paragrafi"/>
        <w:rPr>
          <w:sz w:val="16"/>
          <w:lang w:val="sq-AL"/>
        </w:rPr>
      </w:pPr>
    </w:p>
    <w:p w:rsidR="00892F32" w:rsidRPr="00B93155" w:rsidRDefault="00892F32" w:rsidP="00892F32">
      <w:pPr>
        <w:pStyle w:val="VENDOSI"/>
      </w:pPr>
      <w:r w:rsidRPr="00B93155">
        <w:t>UDHËZOJ:</w:t>
      </w:r>
    </w:p>
    <w:p w:rsidR="00892F32" w:rsidRPr="00C67022" w:rsidRDefault="00892F32" w:rsidP="00892F32">
      <w:pPr>
        <w:pStyle w:val="Paragrafi"/>
        <w:ind w:firstLine="0"/>
        <w:rPr>
          <w:sz w:val="16"/>
          <w:lang w:val="sq-AL"/>
        </w:rPr>
      </w:pPr>
    </w:p>
    <w:p w:rsidR="00892F32" w:rsidRPr="00B93155" w:rsidRDefault="00892F32" w:rsidP="00892F32">
      <w:pPr>
        <w:pStyle w:val="Paragrafi"/>
        <w:rPr>
          <w:lang w:val="sq-AL"/>
        </w:rPr>
      </w:pPr>
      <w:r w:rsidRPr="00B93155">
        <w:rPr>
          <w:lang w:val="sq-AL"/>
        </w:rPr>
        <w:t>I. Evidentimi në mungesë i kundërvajtjeve administrative</w:t>
      </w:r>
      <w:r>
        <w:rPr>
          <w:lang w:val="sq-AL"/>
        </w:rPr>
        <w:t xml:space="preserve"> në fushën e qarkullimit rrugor</w:t>
      </w:r>
    </w:p>
    <w:p w:rsidR="00892F32" w:rsidRPr="00B93155" w:rsidRDefault="00892F32" w:rsidP="00892F32">
      <w:pPr>
        <w:pStyle w:val="Paragrafi"/>
        <w:rPr>
          <w:lang w:val="sq-AL"/>
        </w:rPr>
      </w:pPr>
      <w:r w:rsidRPr="00B93155">
        <w:rPr>
          <w:lang w:val="sq-AL"/>
        </w:rPr>
        <w:t>1. Evidentimi në mungesë i kundërvajtjeve administrative në fushën e qarkullimit rrugor nga ana e shërbimeve të policisë rrugore të Policisë së Shtetit, të bëhet në këto raste:</w:t>
      </w:r>
    </w:p>
    <w:p w:rsidR="00892F32" w:rsidRPr="00B93155" w:rsidRDefault="00892F32" w:rsidP="00892F32">
      <w:pPr>
        <w:pStyle w:val="Paragrafi"/>
        <w:rPr>
          <w:lang w:val="sq-AL"/>
        </w:rPr>
      </w:pPr>
      <w:r w:rsidRPr="00B93155">
        <w:rPr>
          <w:lang w:val="sq-AL"/>
        </w:rPr>
        <w:t>a) pamundësia për të arritur një mjet, që lëviz me shpejtësi shumë të madhe;</w:t>
      </w:r>
    </w:p>
    <w:p w:rsidR="00892F32" w:rsidRPr="00B93155" w:rsidRDefault="00892F32" w:rsidP="00892F32">
      <w:pPr>
        <w:pStyle w:val="Paragrafi"/>
        <w:rPr>
          <w:lang w:val="sq-AL"/>
        </w:rPr>
      </w:pPr>
      <w:r w:rsidRPr="00B93155">
        <w:rPr>
          <w:lang w:val="sq-AL"/>
        </w:rPr>
        <w:t>b) kalim i një kryqëzimi me semafor, kur është ndezur drita e kuqe;</w:t>
      </w:r>
    </w:p>
    <w:p w:rsidR="00892F32" w:rsidRPr="00B93155" w:rsidRDefault="00892F32" w:rsidP="00892F32">
      <w:pPr>
        <w:pStyle w:val="Paragrafi"/>
        <w:rPr>
          <w:lang w:val="sq-AL"/>
        </w:rPr>
      </w:pPr>
      <w:r w:rsidRPr="00B93155">
        <w:rPr>
          <w:lang w:val="sq-AL"/>
        </w:rPr>
        <w:t>c) parakalim në kthesë;</w:t>
      </w:r>
    </w:p>
    <w:p w:rsidR="00892F32" w:rsidRPr="00B93155" w:rsidRDefault="00892F32" w:rsidP="00892F32">
      <w:pPr>
        <w:pStyle w:val="Paragrafi"/>
        <w:rPr>
          <w:lang w:val="sq-AL"/>
        </w:rPr>
      </w:pPr>
      <w:r w:rsidRPr="00B93155">
        <w:rPr>
          <w:lang w:val="sq-AL"/>
        </w:rPr>
        <w:t>d) zbulimi i një shkeljeje nga një funksionar ose një agjent, në bordin e një mjeti për transport publik;</w:t>
      </w:r>
    </w:p>
    <w:p w:rsidR="00892F32" w:rsidRPr="00B93155" w:rsidRDefault="00892F32" w:rsidP="00892F32">
      <w:pPr>
        <w:pStyle w:val="Paragrafi"/>
        <w:rPr>
          <w:lang w:val="sq-AL"/>
        </w:rPr>
      </w:pPr>
      <w:r w:rsidRPr="00B93155">
        <w:rPr>
          <w:lang w:val="sq-AL"/>
        </w:rPr>
        <w:t>e) zbulimi i shkeljes, me anë të mjeteve me pajisje të përshtatshme, që bëjnë të mundur përcaktimin e kundërvajtjes, më pas ose pasi mjeti objekt është larguar nga vendi i kontrollit;</w:t>
      </w:r>
    </w:p>
    <w:p w:rsidR="00892F32" w:rsidRPr="00B93155" w:rsidRDefault="00892F32" w:rsidP="00892F32">
      <w:pPr>
        <w:pStyle w:val="Paragrafi"/>
        <w:rPr>
          <w:lang w:val="sq-AL"/>
        </w:rPr>
      </w:pPr>
      <w:r w:rsidRPr="00B93155">
        <w:rPr>
          <w:lang w:val="sq-AL"/>
        </w:rPr>
        <w:t>f) zbulimi i shkeljes në mungesë të shkelësit dhe të pronarit të mjetit.</w:t>
      </w:r>
    </w:p>
    <w:p w:rsidR="00892F32" w:rsidRPr="00B93155" w:rsidRDefault="00892F32" w:rsidP="00892F32">
      <w:pPr>
        <w:pStyle w:val="Paragrafi"/>
        <w:rPr>
          <w:lang w:val="sq-AL"/>
        </w:rPr>
      </w:pPr>
      <w:r w:rsidRPr="00B93155">
        <w:rPr>
          <w:lang w:val="sq-AL"/>
        </w:rPr>
        <w:t>2. Punonjësi i shërbimit të patrullës së përgjithshme me atributet e agjentit verifikues</w:t>
      </w:r>
      <w:r>
        <w:rPr>
          <w:lang w:val="sq-AL"/>
        </w:rPr>
        <w:t>,</w:t>
      </w:r>
      <w:r w:rsidRPr="00B93155">
        <w:rPr>
          <w:lang w:val="sq-AL"/>
        </w:rPr>
        <w:t xml:space="preserve"> evidenton në mungesë kundërvajtjet administrative në fushën e qarkullimit rrugor vetëm në rastet e konstatimit të shkeljeve në mungesë të drejtuesit të mjetit, të pa</w:t>
      </w:r>
      <w:r>
        <w:rPr>
          <w:lang w:val="sq-AL"/>
        </w:rPr>
        <w:t>rashikuara në nenet 155 dhe 156</w:t>
      </w:r>
      <w:r w:rsidRPr="00B93155">
        <w:rPr>
          <w:lang w:val="sq-AL"/>
        </w:rPr>
        <w:t xml:space="preserve"> të Kodit Rrugor, respektivisht:</w:t>
      </w:r>
    </w:p>
    <w:p w:rsidR="00892F32" w:rsidRPr="00B93155" w:rsidRDefault="00892F32" w:rsidP="00892F32">
      <w:pPr>
        <w:pStyle w:val="Paragrafi"/>
        <w:rPr>
          <w:lang w:val="sq-AL"/>
        </w:rPr>
      </w:pPr>
      <w:r w:rsidRPr="00B93155">
        <w:rPr>
          <w:lang w:val="sq-AL"/>
        </w:rPr>
        <w:t>- Ndalim qëndrimi dhe pushimi i mjeteve, parashikuar nga (neni 155</w:t>
      </w:r>
      <w:r>
        <w:rPr>
          <w:lang w:val="sq-AL"/>
        </w:rPr>
        <w:t>,</w:t>
      </w:r>
      <w:r w:rsidRPr="00B93155">
        <w:rPr>
          <w:lang w:val="sq-AL"/>
        </w:rPr>
        <w:t xml:space="preserve"> neni 156) i Kodit Rrugor të Republikës së Shqipërisë.</w:t>
      </w:r>
    </w:p>
    <w:p w:rsidR="00892F32" w:rsidRPr="00B93155" w:rsidRDefault="00892F32" w:rsidP="00892F32">
      <w:pPr>
        <w:pStyle w:val="Paragrafi"/>
        <w:rPr>
          <w:lang w:val="sq-AL"/>
        </w:rPr>
      </w:pPr>
      <w:r w:rsidRPr="00B93155">
        <w:rPr>
          <w:lang w:val="sq-AL"/>
        </w:rPr>
        <w:t>3. Punonjësit e shërbimit të patrullës së përgjithshme, në të gjitha rastet e shkelje</w:t>
      </w:r>
      <w:r>
        <w:rPr>
          <w:lang w:val="sq-AL"/>
        </w:rPr>
        <w:t>ve të parashikuara në nenin 157</w:t>
      </w:r>
      <w:r w:rsidRPr="00B93155">
        <w:rPr>
          <w:lang w:val="sq-AL"/>
        </w:rPr>
        <w:t xml:space="preserve"> të Kodit Rrugor, që kanë të bëjnë me heqjen dhe bllokimin e mjeteve, të njoftojnë shërbimet e policisë rrugore për ushtrimin e kompetencave në bazë të Kodit Rrugor.</w:t>
      </w:r>
    </w:p>
    <w:p w:rsidR="00892F32" w:rsidRPr="00B93155" w:rsidRDefault="00892F32" w:rsidP="00892F32">
      <w:pPr>
        <w:pStyle w:val="Paragrafi"/>
        <w:rPr>
          <w:lang w:val="sq-AL"/>
        </w:rPr>
      </w:pPr>
      <w:r w:rsidRPr="00B93155">
        <w:rPr>
          <w:lang w:val="sq-AL"/>
        </w:rPr>
        <w:t>4. Në rastet e konstatimit të shkeljeve të normave të qarkullimit në mungesë të drejtuesit të mjetit, punonjësi i policisë vepron si më poshtë:</w:t>
      </w:r>
    </w:p>
    <w:p w:rsidR="00892F32" w:rsidRPr="00B93155" w:rsidRDefault="00892F32" w:rsidP="00892F32">
      <w:pPr>
        <w:pStyle w:val="Paragrafi"/>
        <w:rPr>
          <w:lang w:val="sq-AL"/>
        </w:rPr>
      </w:pPr>
      <w:r w:rsidRPr="00B93155">
        <w:rPr>
          <w:lang w:val="sq-AL"/>
        </w:rPr>
        <w:t xml:space="preserve">a) </w:t>
      </w:r>
      <w:r>
        <w:rPr>
          <w:lang w:val="sq-AL"/>
        </w:rPr>
        <w:t>n</w:t>
      </w:r>
      <w:r w:rsidRPr="00B93155">
        <w:rPr>
          <w:lang w:val="sq-AL"/>
        </w:rPr>
        <w:t xml:space="preserve">jofton menjëherë sallën e drejtimit, koordinimit </w:t>
      </w:r>
      <w:r>
        <w:rPr>
          <w:lang w:val="sq-AL"/>
        </w:rPr>
        <w:t>t</w:t>
      </w:r>
      <w:r w:rsidRPr="00B93155">
        <w:rPr>
          <w:lang w:val="sq-AL"/>
        </w:rPr>
        <w:t>ë emergjencave sipas juridiksionit territorial, duke i raportuar këto të dhëna: tipin, targën e mjetit, vendndodhjen, shkeljen e konstatuar, duke specifikuar sinjalistikën rrugore ekzistuese, numrin e serisë së procesverbalit të konstatimit që do të plotësojë</w:t>
      </w:r>
      <w:r>
        <w:rPr>
          <w:lang w:val="sq-AL"/>
        </w:rPr>
        <w:t>;</w:t>
      </w:r>
    </w:p>
    <w:p w:rsidR="00892F32" w:rsidRPr="00B93155" w:rsidRDefault="00892F32" w:rsidP="00892F32">
      <w:pPr>
        <w:pStyle w:val="Paragrafi"/>
        <w:rPr>
          <w:lang w:val="sq-AL"/>
        </w:rPr>
      </w:pPr>
      <w:r w:rsidRPr="00B93155">
        <w:rPr>
          <w:lang w:val="sq-AL"/>
        </w:rPr>
        <w:t xml:space="preserve">b) </w:t>
      </w:r>
      <w:r>
        <w:rPr>
          <w:lang w:val="sq-AL"/>
        </w:rPr>
        <w:t>p</w:t>
      </w:r>
      <w:r w:rsidRPr="00B93155">
        <w:rPr>
          <w:lang w:val="sq-AL"/>
        </w:rPr>
        <w:t xml:space="preserve">lotëson procesverbalin e konstatimit dhe një kopje e vendos në xhamin e mjetit. </w:t>
      </w:r>
    </w:p>
    <w:p w:rsidR="00892F32" w:rsidRPr="00B93155" w:rsidRDefault="00892F32" w:rsidP="00892F32">
      <w:pPr>
        <w:pStyle w:val="Paragrafi"/>
        <w:rPr>
          <w:lang w:val="sq-AL"/>
        </w:rPr>
      </w:pPr>
      <w:r w:rsidRPr="00B93155">
        <w:rPr>
          <w:lang w:val="sq-AL"/>
        </w:rPr>
        <w:t>5. Punonjësi i shërbimit të sallës së drejtimit, koordinimit të emergjencave të juridiksionit territorial dhe punonjësi i shërbimit të sallës së drejtimit, koordinimit të emergjencave të Njësisë së Policisë Rrugore Tiranë, në rastet kur marrin njoftim për konstatimet e shkeljeve të normave të qarkullimit rrugor në mungesë, vepron si më poshtë:</w:t>
      </w:r>
    </w:p>
    <w:p w:rsidR="00892F32" w:rsidRPr="00B93155" w:rsidRDefault="00892F32" w:rsidP="00892F32">
      <w:pPr>
        <w:pStyle w:val="Paragrafi"/>
        <w:rPr>
          <w:lang w:val="sq-AL"/>
        </w:rPr>
      </w:pPr>
      <w:r w:rsidRPr="00B93155">
        <w:rPr>
          <w:lang w:val="sq-AL"/>
        </w:rPr>
        <w:t xml:space="preserve">a) </w:t>
      </w:r>
      <w:r>
        <w:rPr>
          <w:lang w:val="sq-AL"/>
        </w:rPr>
        <w:t>p</w:t>
      </w:r>
      <w:r w:rsidRPr="00B93155">
        <w:rPr>
          <w:lang w:val="sq-AL"/>
        </w:rPr>
        <w:t>lotëson menjëherë të dhënat e marra në regjistrin model 1, bashkëlidhur dhe pjesë integrale të këtij udhëzimi. Regjistri duhet të plotësohet në mënyrë kronologjike për çdo rast të raportuar. Mosplotësimi në kohë dhe saktë i regjistrit përbën shkelje të rendë disiplinore dhe ndaj personave përgjegjës të fillojë ecuria disiplinore në bazë të Rregullores së Disiplinës së Policisë së Shtetit</w:t>
      </w:r>
      <w:r>
        <w:rPr>
          <w:lang w:val="sq-AL"/>
        </w:rPr>
        <w:t>;</w:t>
      </w:r>
      <w:r w:rsidRPr="00B93155">
        <w:rPr>
          <w:lang w:val="sq-AL"/>
        </w:rPr>
        <w:t xml:space="preserve"> </w:t>
      </w:r>
    </w:p>
    <w:p w:rsidR="00892F32" w:rsidRPr="00B93155" w:rsidRDefault="00892F32" w:rsidP="00892F32">
      <w:pPr>
        <w:pStyle w:val="Paragrafi"/>
        <w:rPr>
          <w:lang w:val="sq-AL"/>
        </w:rPr>
      </w:pPr>
      <w:r w:rsidRPr="00B93155">
        <w:rPr>
          <w:lang w:val="sq-AL"/>
        </w:rPr>
        <w:t xml:space="preserve">b) </w:t>
      </w:r>
      <w:r>
        <w:rPr>
          <w:lang w:val="sq-AL"/>
        </w:rPr>
        <w:t>t</w:t>
      </w:r>
      <w:r w:rsidRPr="00B93155">
        <w:rPr>
          <w:lang w:val="sq-AL"/>
        </w:rPr>
        <w:t xml:space="preserve">ë njoftojë eprorin e drejtpërdrejtë të punonjësit të policisë që njofton shkeljen e </w:t>
      </w:r>
      <w:r w:rsidRPr="00B93155">
        <w:rPr>
          <w:lang w:val="sq-AL"/>
        </w:rPr>
        <w:lastRenderedPageBreak/>
        <w:t>konstatuar.</w:t>
      </w:r>
    </w:p>
    <w:p w:rsidR="00892F32" w:rsidRPr="00B93155" w:rsidRDefault="00892F32" w:rsidP="00892F32">
      <w:pPr>
        <w:pStyle w:val="Paragrafi"/>
        <w:rPr>
          <w:lang w:val="sq-AL"/>
        </w:rPr>
      </w:pPr>
      <w:r w:rsidRPr="00B93155">
        <w:rPr>
          <w:lang w:val="sq-AL"/>
        </w:rPr>
        <w:t xml:space="preserve">6. Punonjësi i policisë në përfundim të shërbimit i raporton dhe i dorëzon eprorit të drejtpërdrejtë ose atij të caktuar në këtë detyrë, origjinalin dhe kopjen e tretë të procesverbalit të konstatimit të shkeljes në mungesë për verifikim dhe evidentim të mëtejshëm. </w:t>
      </w:r>
    </w:p>
    <w:p w:rsidR="00892F32" w:rsidRPr="00B93155" w:rsidRDefault="00892F32" w:rsidP="00892F32">
      <w:pPr>
        <w:pStyle w:val="Paragrafi"/>
        <w:rPr>
          <w:lang w:val="sq-AL"/>
        </w:rPr>
      </w:pPr>
      <w:r w:rsidRPr="00B93155">
        <w:rPr>
          <w:lang w:val="sq-AL"/>
        </w:rPr>
        <w:t xml:space="preserve">7. Eprori i drejtpërdrejtë ose ai i caktuar në këtë detyrë, bën kontrollin e saktësisë së plotësimit të procesverbalit dhe evidentimit të bërë në sallën e drejtimit, koordinimit të emergjencave. </w:t>
      </w:r>
    </w:p>
    <w:p w:rsidR="00892F32" w:rsidRPr="00B93155" w:rsidRDefault="00892F32" w:rsidP="00892F32">
      <w:pPr>
        <w:pStyle w:val="Paragrafi"/>
        <w:rPr>
          <w:lang w:val="sq-AL"/>
        </w:rPr>
      </w:pPr>
      <w:r w:rsidRPr="00B93155">
        <w:rPr>
          <w:lang w:val="sq-AL"/>
        </w:rPr>
        <w:t xml:space="preserve">Eprori i drejtpërdrejtë </w:t>
      </w:r>
      <w:r>
        <w:rPr>
          <w:lang w:val="sq-AL"/>
        </w:rPr>
        <w:t>ose ai i caktuar në këtë detyrë</w:t>
      </w:r>
      <w:r w:rsidRPr="00B93155">
        <w:rPr>
          <w:lang w:val="sq-AL"/>
        </w:rPr>
        <w:t xml:space="preserve"> është autoriteti i vetëm dhe përgjegjës për dorëzimin e dokumentuar respektivisht në financë dhe sektorin operacional, të procesverbaleve të konstatimit të shkeljeve në mungesë të drejtuesit të mjetit.</w:t>
      </w:r>
    </w:p>
    <w:p w:rsidR="00892F32" w:rsidRPr="00B93155" w:rsidRDefault="00892F32" w:rsidP="00892F32">
      <w:pPr>
        <w:pStyle w:val="Paragrafi"/>
        <w:rPr>
          <w:lang w:val="sq-AL"/>
        </w:rPr>
      </w:pPr>
      <w:r w:rsidRPr="00B93155">
        <w:rPr>
          <w:lang w:val="sq-AL"/>
        </w:rPr>
        <w:t xml:space="preserve">Dorëzimi sa më sipër nga </w:t>
      </w:r>
      <w:r>
        <w:rPr>
          <w:lang w:val="sq-AL"/>
        </w:rPr>
        <w:t>e</w:t>
      </w:r>
      <w:r w:rsidRPr="00B93155">
        <w:rPr>
          <w:lang w:val="sq-AL"/>
        </w:rPr>
        <w:t>prori i drejtpërdrejtë ose ai i caktuar në këtë detyrë, i procesverbaleve të konstatimit të shkeljeve në mungesë të drejtuesit të mjetit, duhet të bëhet sa më shpejt, por në asnjë rast, jo më vonë</w:t>
      </w:r>
      <w:r>
        <w:rPr>
          <w:lang w:val="sq-AL"/>
        </w:rPr>
        <w:t xml:space="preserve"> se 14 orë</w:t>
      </w:r>
      <w:r w:rsidRPr="00B93155">
        <w:rPr>
          <w:lang w:val="sq-AL"/>
        </w:rPr>
        <w:t xml:space="preserve"> nga koha e pranimit për kontroll.</w:t>
      </w:r>
    </w:p>
    <w:p w:rsidR="00892F32" w:rsidRDefault="00892F32" w:rsidP="00892F32">
      <w:pPr>
        <w:pStyle w:val="Paragrafi"/>
        <w:rPr>
          <w:lang w:val="sq-AL"/>
        </w:rPr>
      </w:pPr>
      <w:r w:rsidRPr="00B93155">
        <w:rPr>
          <w:lang w:val="sq-AL"/>
        </w:rPr>
        <w:t>Plotësimi me mangësi i procesverbalit të konstatimit të shkeljes në mungesë, apo mosdorëzimi sipas afateve të përcaktuara, përbën shkelje të rëndë disiplinore.</w:t>
      </w:r>
    </w:p>
    <w:p w:rsidR="00892F32" w:rsidRPr="00B93155" w:rsidRDefault="00892F32" w:rsidP="00892F32">
      <w:pPr>
        <w:pStyle w:val="Paragrafi"/>
        <w:rPr>
          <w:lang w:val="sq-AL"/>
        </w:rPr>
      </w:pPr>
      <w:r w:rsidRPr="00B93155">
        <w:rPr>
          <w:lang w:val="sq-AL"/>
        </w:rPr>
        <w:t>Drejtori i Përgjithshëm i Policisë së Shtetit me akt të veçantë të përcaktojë procedurat që do të ndiqen në raste të tilla.</w:t>
      </w:r>
    </w:p>
    <w:p w:rsidR="00892F32" w:rsidRPr="00B93155" w:rsidRDefault="00892F32" w:rsidP="00892F32">
      <w:pPr>
        <w:pStyle w:val="Paragrafi"/>
        <w:rPr>
          <w:lang w:val="sq-AL"/>
        </w:rPr>
      </w:pPr>
      <w:r w:rsidRPr="00B93155">
        <w:rPr>
          <w:lang w:val="sq-AL"/>
        </w:rPr>
        <w:t>II. Njoftimi i kundërvajtjeve administrative në fushën e qarkullimit rrugor të konstatuara në mungesë.</w:t>
      </w:r>
    </w:p>
    <w:p w:rsidR="00892F32" w:rsidRPr="00B93155" w:rsidRDefault="00892F32" w:rsidP="00892F32">
      <w:pPr>
        <w:pStyle w:val="Paragrafi"/>
        <w:rPr>
          <w:lang w:val="sq-AL"/>
        </w:rPr>
      </w:pPr>
      <w:r w:rsidRPr="00B93155">
        <w:rPr>
          <w:lang w:val="sq-AL"/>
        </w:rPr>
        <w:t>1. Njoftimi i kundërvajtjeve administrative në fushën e qarkullimit rrugor të konstatuara në mungesë të bëhet si më poshtë:</w:t>
      </w:r>
    </w:p>
    <w:p w:rsidR="00892F32" w:rsidRPr="00B93155" w:rsidRDefault="00892F32" w:rsidP="00892F32">
      <w:pPr>
        <w:pStyle w:val="Paragrafi"/>
        <w:rPr>
          <w:lang w:val="sq-AL"/>
        </w:rPr>
      </w:pPr>
      <w:r w:rsidRPr="00B93155">
        <w:rPr>
          <w:lang w:val="sq-AL"/>
        </w:rPr>
        <w:t>a) nëpërmjet punonjësve të Policisë së Shtetit</w:t>
      </w:r>
      <w:r>
        <w:rPr>
          <w:lang w:val="sq-AL"/>
        </w:rPr>
        <w:t>;</w:t>
      </w:r>
    </w:p>
    <w:p w:rsidR="00892F32" w:rsidRPr="00B93155" w:rsidRDefault="00892F32" w:rsidP="00892F32">
      <w:pPr>
        <w:pStyle w:val="Paragrafi"/>
        <w:rPr>
          <w:lang w:val="sq-AL"/>
        </w:rPr>
      </w:pPr>
      <w:r w:rsidRPr="00B93155">
        <w:rPr>
          <w:lang w:val="sq-AL"/>
        </w:rPr>
        <w:t>b) nëpërmjet shërbimit postar mbi bazën e aktmarrëveshjes së përbashkët ndërmjet Policisë së Shtetit dhe Postës Shqiptare</w:t>
      </w:r>
      <w:r>
        <w:rPr>
          <w:lang w:val="sq-AL"/>
        </w:rPr>
        <w:t>;</w:t>
      </w:r>
      <w:r w:rsidRPr="00B93155">
        <w:rPr>
          <w:lang w:val="sq-AL"/>
        </w:rPr>
        <w:t xml:space="preserve"> </w:t>
      </w:r>
    </w:p>
    <w:p w:rsidR="00892F32" w:rsidRPr="00B93155" w:rsidRDefault="00892F32" w:rsidP="00892F32">
      <w:pPr>
        <w:pStyle w:val="Paragrafi"/>
        <w:rPr>
          <w:lang w:val="sq-AL"/>
        </w:rPr>
      </w:pPr>
      <w:r w:rsidRPr="00B93155">
        <w:rPr>
          <w:lang w:val="sq-AL"/>
        </w:rPr>
        <w:t>c) njoftimi konsiderohet i kryer me korrektësi kur konfirmohet se është bërë në adresën e dhënë për rezidencën ose vendbanimin e kundërvajtësit ose pronarit të mjetit</w:t>
      </w:r>
      <w:r>
        <w:rPr>
          <w:lang w:val="sq-AL"/>
        </w:rPr>
        <w:t>;</w:t>
      </w:r>
    </w:p>
    <w:p w:rsidR="00892F32" w:rsidRPr="00B93155" w:rsidRDefault="00892F32" w:rsidP="00892F32">
      <w:pPr>
        <w:pStyle w:val="Paragrafi"/>
        <w:rPr>
          <w:lang w:val="sq-AL"/>
        </w:rPr>
      </w:pPr>
      <w:r w:rsidRPr="00B93155">
        <w:rPr>
          <w:lang w:val="sq-AL"/>
        </w:rPr>
        <w:t>d) dërgimi i njoftimit zyrtar dhe saktësia e adresës për njoftimin, bëhet nga struktura përkatëse policore ku është efektiv punonjësi i policisë që ka plotësuar procesverbalin e konstatimit të shkeljes në mungesë, jo më vonë se 24 orë, nga koha e plotësimit të procesverbalit. Kur llogaritja e këtij afati qëllon në një ditë kur administrata është e mbyllur apo funksionon me orare të reduktuara, afati shtyhet për ditën pasardhëse të punës</w:t>
      </w:r>
      <w:r>
        <w:rPr>
          <w:lang w:val="sq-AL"/>
        </w:rPr>
        <w:t>;</w:t>
      </w:r>
    </w:p>
    <w:p w:rsidR="00892F32" w:rsidRPr="00B93155" w:rsidRDefault="00892F32" w:rsidP="00892F32">
      <w:pPr>
        <w:pStyle w:val="Paragrafi"/>
        <w:rPr>
          <w:lang w:val="sq-AL"/>
        </w:rPr>
      </w:pPr>
      <w:r w:rsidRPr="00B93155">
        <w:rPr>
          <w:lang w:val="sq-AL"/>
        </w:rPr>
        <w:t>e) dokumenti i konfirmimit të njoftimit si më sipër, i administruar zyrtarisht nga struktura përkatëse policore, është pjesë përbërëse e procesverbalit të konstatimit të shkeljes në mungesë, për efekte të hedhjes në sistem dhe llogaritjes së afateve të shlyerjes së detyrimeve nga kundërvajtësi</w:t>
      </w:r>
      <w:r>
        <w:rPr>
          <w:lang w:val="sq-AL"/>
        </w:rPr>
        <w:t>;</w:t>
      </w:r>
    </w:p>
    <w:p w:rsidR="00892F32" w:rsidRDefault="00892F32" w:rsidP="00892F32">
      <w:pPr>
        <w:pStyle w:val="Paragrafi"/>
        <w:rPr>
          <w:lang w:val="sq-AL"/>
        </w:rPr>
      </w:pPr>
      <w:r w:rsidRPr="00B93155">
        <w:rPr>
          <w:lang w:val="sq-AL"/>
        </w:rPr>
        <w:t>f) për çdo rast, kur njoftimi nuk është kryer brenda afatit prej 30 ditësh kalendarike nga konstatimi i shkeljes e për pasojë pagesa e gjobës së vendosur, nuk mund të kërkohet për arkëtim, të bëhet analizë e veçantë për përgjegjësit e masat përkatëse.</w:t>
      </w:r>
    </w:p>
    <w:p w:rsidR="00892F32" w:rsidRPr="00B93155" w:rsidRDefault="00892F32" w:rsidP="00892F32">
      <w:pPr>
        <w:pStyle w:val="Paragrafi"/>
        <w:rPr>
          <w:lang w:val="sq-AL"/>
        </w:rPr>
      </w:pPr>
      <w:r w:rsidRPr="00B93155">
        <w:rPr>
          <w:lang w:val="sq-AL"/>
        </w:rPr>
        <w:t xml:space="preserve"> Drejtori i Përgjithshëm i Policisë së Shtetit me akt të veçantë të përcaktojë procedurat që do të ndiqen në raste të tilla.</w:t>
      </w:r>
    </w:p>
    <w:p w:rsidR="00892F32" w:rsidRPr="00B93155" w:rsidRDefault="00892F32" w:rsidP="00892F32">
      <w:pPr>
        <w:pStyle w:val="Paragrafi"/>
        <w:rPr>
          <w:lang w:val="sq-AL"/>
        </w:rPr>
      </w:pPr>
      <w:r w:rsidRPr="00B93155">
        <w:rPr>
          <w:lang w:val="sq-AL"/>
        </w:rPr>
        <w:t>III. Me këtë udhëzim të njihen të gjithë efektivat e Policisë së Shtetit, institucioni i prefektit dhe kryetarët e bashkive që kanë kompetenca në ketë drejtim për zbatimin e Kodit Rrugor.</w:t>
      </w:r>
    </w:p>
    <w:p w:rsidR="00892F32" w:rsidRPr="00B93155" w:rsidRDefault="00892F32" w:rsidP="00892F32">
      <w:pPr>
        <w:pStyle w:val="Paragrafi"/>
        <w:rPr>
          <w:lang w:val="sq-AL"/>
        </w:rPr>
      </w:pPr>
      <w:r w:rsidRPr="00B93155">
        <w:rPr>
          <w:lang w:val="sq-AL"/>
        </w:rPr>
        <w:t>IV. Ngarkohen Drejtoria e Përgjithshme e Policisë së Shtetit dhe strukturat vendore të Policisë së Shtetit, për zbatimin e këtij udhëzimi.</w:t>
      </w:r>
    </w:p>
    <w:p w:rsidR="00892F32" w:rsidRPr="00B93155" w:rsidRDefault="00892F32" w:rsidP="00892F32">
      <w:pPr>
        <w:pStyle w:val="Paragrafi"/>
        <w:rPr>
          <w:lang w:val="sq-AL"/>
        </w:rPr>
      </w:pPr>
      <w:r w:rsidRPr="00B93155">
        <w:rPr>
          <w:lang w:val="sq-AL"/>
        </w:rPr>
        <w:t>Ky udhëzim hyn në fuqi menjëherë dhe botohet në Fletoren Zyrtare.</w:t>
      </w:r>
    </w:p>
    <w:p w:rsidR="00892F32" w:rsidRPr="008D082B" w:rsidRDefault="00892F32" w:rsidP="00892F32">
      <w:pPr>
        <w:pStyle w:val="Paragrafi"/>
        <w:ind w:firstLine="0"/>
        <w:rPr>
          <w:sz w:val="6"/>
          <w:lang w:val="sq-AL"/>
        </w:rPr>
      </w:pPr>
    </w:p>
    <w:p w:rsidR="00892F32" w:rsidRPr="00B93155" w:rsidRDefault="00892F32" w:rsidP="00892F32">
      <w:pPr>
        <w:pStyle w:val="Autoriteti"/>
      </w:pPr>
      <w:r w:rsidRPr="00B93155">
        <w:t>MINISTRI I BRENDSHËM</w:t>
      </w:r>
    </w:p>
    <w:p w:rsidR="00892F32" w:rsidRPr="00892F32" w:rsidRDefault="00892F32" w:rsidP="00892F32">
      <w:pPr>
        <w:pStyle w:val="AutoritetiEmer"/>
      </w:pPr>
      <w:r w:rsidRPr="00892F32">
        <w:t>Bujar Nishani</w:t>
      </w:r>
    </w:p>
    <w:sectPr w:rsidR="00892F32" w:rsidRPr="00892F3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92F32"/>
    <w:rsid w:val="0000709E"/>
    <w:rsid w:val="00011621"/>
    <w:rsid w:val="000168D2"/>
    <w:rsid w:val="00034533"/>
    <w:rsid w:val="00074ECB"/>
    <w:rsid w:val="00086B00"/>
    <w:rsid w:val="00094C8D"/>
    <w:rsid w:val="000E26BA"/>
    <w:rsid w:val="000E4149"/>
    <w:rsid w:val="000E6E9E"/>
    <w:rsid w:val="0012658B"/>
    <w:rsid w:val="00134B4F"/>
    <w:rsid w:val="00142511"/>
    <w:rsid w:val="00185D06"/>
    <w:rsid w:val="001A2688"/>
    <w:rsid w:val="001F6849"/>
    <w:rsid w:val="002104AC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16541"/>
    <w:rsid w:val="00332540"/>
    <w:rsid w:val="003405C6"/>
    <w:rsid w:val="0034498D"/>
    <w:rsid w:val="003928A8"/>
    <w:rsid w:val="003B0C26"/>
    <w:rsid w:val="003B51C0"/>
    <w:rsid w:val="003E172F"/>
    <w:rsid w:val="003E4EDB"/>
    <w:rsid w:val="003E51A3"/>
    <w:rsid w:val="003E73B7"/>
    <w:rsid w:val="003F1DE3"/>
    <w:rsid w:val="004122D8"/>
    <w:rsid w:val="0041784A"/>
    <w:rsid w:val="00433C08"/>
    <w:rsid w:val="00446661"/>
    <w:rsid w:val="00491379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E668F"/>
    <w:rsid w:val="005F7E26"/>
    <w:rsid w:val="00614E18"/>
    <w:rsid w:val="006367C7"/>
    <w:rsid w:val="0064588F"/>
    <w:rsid w:val="006568F6"/>
    <w:rsid w:val="00663EDA"/>
    <w:rsid w:val="006874BA"/>
    <w:rsid w:val="00693FF3"/>
    <w:rsid w:val="006A303A"/>
    <w:rsid w:val="006E2A0E"/>
    <w:rsid w:val="0071376D"/>
    <w:rsid w:val="00752C50"/>
    <w:rsid w:val="0075724A"/>
    <w:rsid w:val="007877D3"/>
    <w:rsid w:val="007B4080"/>
    <w:rsid w:val="007E689F"/>
    <w:rsid w:val="007F180F"/>
    <w:rsid w:val="00817EE7"/>
    <w:rsid w:val="008634B8"/>
    <w:rsid w:val="0089132F"/>
    <w:rsid w:val="00892F32"/>
    <w:rsid w:val="008A6769"/>
    <w:rsid w:val="008B0595"/>
    <w:rsid w:val="008B4EF7"/>
    <w:rsid w:val="008E4B9F"/>
    <w:rsid w:val="008E6154"/>
    <w:rsid w:val="008F56A5"/>
    <w:rsid w:val="009010E6"/>
    <w:rsid w:val="00907285"/>
    <w:rsid w:val="00934964"/>
    <w:rsid w:val="009438E2"/>
    <w:rsid w:val="009474C3"/>
    <w:rsid w:val="00973507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0398E"/>
    <w:rsid w:val="00B1514A"/>
    <w:rsid w:val="00B179D9"/>
    <w:rsid w:val="00B4631C"/>
    <w:rsid w:val="00B55AB4"/>
    <w:rsid w:val="00B71725"/>
    <w:rsid w:val="00B868E7"/>
    <w:rsid w:val="00BA2385"/>
    <w:rsid w:val="00BA2413"/>
    <w:rsid w:val="00BD753C"/>
    <w:rsid w:val="00BF1117"/>
    <w:rsid w:val="00C13704"/>
    <w:rsid w:val="00C406BD"/>
    <w:rsid w:val="00C426FB"/>
    <w:rsid w:val="00C738B5"/>
    <w:rsid w:val="00C83146"/>
    <w:rsid w:val="00C85F9A"/>
    <w:rsid w:val="00C92AC9"/>
    <w:rsid w:val="00C95B3A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D6BEA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C0691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96B3B49-831E-4E29-B6C3-610F3477A9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92F32"/>
    <w:rPr>
      <w:rFonts w:eastAsia="MS Mincho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eastAsia="en-US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link w:val="AutoritetiChar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styleId="BodyText">
    <w:name w:val="Body Text"/>
    <w:basedOn w:val="Normal"/>
    <w:rsid w:val="006A303A"/>
    <w:pPr>
      <w:spacing w:after="120"/>
    </w:p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  <w:lang w:val="en-US" w:eastAsia="en-US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  <w:lang w:val="en-US" w:eastAsia="en-US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  <w:lang w:val="en-US" w:eastAsia="en-US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eastAsia="en-US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  <w:lang w:val="en-US" w:eastAsia="en-US"/>
    </w:rPr>
  </w:style>
  <w:style w:type="paragraph" w:customStyle="1" w:styleId="NoSpacing1">
    <w:name w:val="No Spacing1"/>
    <w:basedOn w:val="Normal"/>
    <w:rsid w:val="006A303A"/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eastAsia="en-US"/>
    </w:rPr>
  </w:style>
  <w:style w:type="paragraph" w:customStyle="1" w:styleId="NumriData">
    <w:name w:val="Numri_Data"/>
    <w:next w:val="Normal"/>
    <w:link w:val="NumriDataChar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  <w:lang w:val="en-US" w:eastAsia="en-US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eastAsia="en-US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 w:eastAsia="en-US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  <w:lang w:val="en-US" w:eastAsia="en-US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eastAsia="en-US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link w:val="TitulliChar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NumriDataChar">
    <w:name w:val="Numri_Data Char"/>
    <w:basedOn w:val="DefaultParagraphFont"/>
    <w:link w:val="NumriData"/>
    <w:locked/>
    <w:rsid w:val="00892F32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locked/>
    <w:rsid w:val="00892F32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"/>
    <w:locked/>
    <w:rsid w:val="00892F32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892F32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892F32"/>
    <w:rPr>
      <w:rFonts w:ascii="CG Times" w:eastAsia="MS Mincho" w:hAnsi="CG Times" w:cs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1033</Words>
  <Characters>5894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UDHËZIM</vt:lpstr>
    </vt:vector>
  </TitlesOfParts>
  <Company>QPZ</Company>
  <LinksUpToDate>false</LinksUpToDate>
  <CharactersWithSpaces>6914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UDHËZIM</dc:title>
  <dc:subject/>
  <dc:creator>n.fagu</dc:creator>
  <cp:keywords/>
  <dc:description/>
  <cp:lastModifiedBy>Inida Noga</cp:lastModifiedBy>
  <cp:revision>2</cp:revision>
  <dcterms:created xsi:type="dcterms:W3CDTF">2019-03-18T15:01:00Z</dcterms:created>
  <dcterms:modified xsi:type="dcterms:W3CDTF">2019-03-18T15:01:00Z</dcterms:modified>
</cp:coreProperties>
</file>