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982" w:rsidRPr="0054496B" w:rsidRDefault="00565982" w:rsidP="00565982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UDHËZIM</w:t>
      </w:r>
    </w:p>
    <w:p w:rsidR="00565982" w:rsidRPr="0054496B" w:rsidRDefault="00565982" w:rsidP="0056598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27, datë 16.</w:t>
      </w:r>
      <w:r w:rsidRPr="0054496B">
        <w:rPr>
          <w:spacing w:val="-4"/>
          <w:lang w:val="sq-AL"/>
        </w:rPr>
        <w:t>1.2017</w:t>
      </w:r>
    </w:p>
    <w:p w:rsidR="00565982" w:rsidRPr="0054496B" w:rsidRDefault="00565982" w:rsidP="00565982">
      <w:pPr>
        <w:pStyle w:val="NeniTitull"/>
        <w:rPr>
          <w:spacing w:val="-4"/>
          <w:sz w:val="14"/>
          <w:lang w:val="sq-AL"/>
        </w:rPr>
      </w:pPr>
    </w:p>
    <w:p w:rsidR="00565982" w:rsidRPr="0054496B" w:rsidRDefault="00565982" w:rsidP="00565982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PËR KLASIFIKIMIN E OBJEKTEVE SIPAS QËNDRUESHMËRISË DHE RREZIKSHMËRISË NDAJ ZJARRIT</w:t>
      </w:r>
    </w:p>
    <w:p w:rsidR="00565982" w:rsidRPr="0054496B" w:rsidRDefault="00565982" w:rsidP="00565982">
      <w:pPr>
        <w:pStyle w:val="Paragrafi"/>
        <w:ind w:firstLine="0"/>
        <w:rPr>
          <w:spacing w:val="-4"/>
          <w:sz w:val="14"/>
          <w:lang w:val="sq-AL"/>
        </w:rPr>
      </w:pP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Në mbështetje të pikës 4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nenit 102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Kushtetutës së Republikës së Shqipërisë, të ndryshuar dhe të pikës 2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nenit 39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152/2015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“Për shërbimin e mbrojtjes nga zjarri dhe shpëtimin”,</w:t>
      </w:r>
    </w:p>
    <w:p w:rsidR="00565982" w:rsidRPr="0054496B" w:rsidRDefault="00565982" w:rsidP="00565982">
      <w:pPr>
        <w:pStyle w:val="Paragrafi"/>
        <w:rPr>
          <w:spacing w:val="-4"/>
          <w:sz w:val="14"/>
          <w:lang w:val="sq-AL"/>
        </w:rPr>
      </w:pPr>
    </w:p>
    <w:p w:rsidR="00565982" w:rsidRPr="0054496B" w:rsidRDefault="00565982" w:rsidP="00565982">
      <w:pPr>
        <w:pStyle w:val="NeniNr"/>
        <w:rPr>
          <w:spacing w:val="-4"/>
          <w:lang w:val="sq-AL"/>
        </w:rPr>
      </w:pPr>
      <w:r w:rsidRPr="0054496B">
        <w:rPr>
          <w:spacing w:val="-4"/>
          <w:lang w:val="sq-AL"/>
        </w:rPr>
        <w:t>UDHËZOJ:</w:t>
      </w:r>
    </w:p>
    <w:p w:rsidR="00565982" w:rsidRPr="0054496B" w:rsidRDefault="00565982" w:rsidP="00565982">
      <w:pPr>
        <w:pStyle w:val="Paragrafi"/>
        <w:rPr>
          <w:spacing w:val="-4"/>
          <w:sz w:val="14"/>
          <w:lang w:val="sq-AL"/>
        </w:rPr>
      </w:pP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1. Objektet/konstruksionet e ndërtimit sipas shkallës së qëndrueshmërisë ndaj zjarrit dhe rrezikshmërisë ndaj tij ndahen në kategori (klasa), të cilat bazohen në mënyrën e përhapjes së zjarreve në to, sipas klasifikimit të rezistencës së materialeve, që ato kanë në përbërje.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2. Në kuptim të këtij udhëzimi, konsiderohet si një material ndërtimi çdo produkt i prodhuar, me qëllim që të përfshihet në mënyrë të përhershme në punimet e ndërtimit në objekt/konstruksion, produkte që klasifikohen në bazë të reagimit të tyre ndaj zjarrit, të përcaktuara në specifikimet teknike përkatëse, nëse ka, në përputhje me standardet e zbatueshme.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3. Për efekt të kategorizimit sipas qëndrueshmërisë ndaj zjarrit, sipas këtij udhëzimi, termat e mëposhtëm kanë këto kuptime: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“material”, konsiderohet një substancë e vetme bazë ose përzierje të substancave të shpërndara në mënyrë uniforme, si metali, guri, druri, betoni, lesh mineral me lidhësit uniforme shpërndarës, apo polimere etj</w:t>
      </w:r>
      <w:r>
        <w:rPr>
          <w:spacing w:val="-4"/>
          <w:lang w:val="sq-AL"/>
        </w:rPr>
        <w:t>.</w:t>
      </w:r>
      <w:r w:rsidRPr="0054496B">
        <w:rPr>
          <w:spacing w:val="-4"/>
          <w:lang w:val="sq-AL"/>
        </w:rPr>
        <w:t>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“produkt homogjen”, konsiderohet një produkt i përbërë nga një material i vetëm, që ka një dendësi uniforme në të gjithë përbërjen;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c) “produkt johomogjen”, konsiderohet një produkt që përbëhet nga një ose më shumë përbërës, në sasi të konsiderueshme dhe/ose jothelbësore;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d) “komponent thelbësor”, konsiderohet një material që përbën një element të rëndësishëm në përbërjen e një produkti johomogjen, me një sipërfaqe masë për njësi më të madhe se 1.0 kg/m</w:t>
      </w:r>
      <w:r w:rsidRPr="00E24F3E">
        <w:rPr>
          <w:spacing w:val="-4"/>
          <w:vertAlign w:val="superscript"/>
          <w:lang w:val="sq-AL"/>
        </w:rPr>
        <w:t>2</w:t>
      </w:r>
      <w:r w:rsidRPr="0054496B">
        <w:rPr>
          <w:spacing w:val="-4"/>
          <w:lang w:val="sq-AL"/>
        </w:rPr>
        <w:t>, me një trashësi jo më të vogël se 1.0 mm dhe që është konsideruar të jetë një komponent thelbësor;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e) “komponent jothelbësor”, konsiderohet një material që nuk përbën një pjesë të rëndësishme të një produkti johomogjen, me një sipërfaqe masë për njësi më të vogël se 10 kg/m</w:t>
      </w:r>
      <w:r w:rsidRPr="0054496B">
        <w:rPr>
          <w:spacing w:val="-4"/>
          <w:vertAlign w:val="superscript"/>
          <w:lang w:val="sq-AL"/>
        </w:rPr>
        <w:t>2</w:t>
      </w:r>
      <w:r w:rsidRPr="0054496B">
        <w:rPr>
          <w:spacing w:val="-4"/>
          <w:lang w:val="sq-AL"/>
        </w:rPr>
        <w:t>, me një trashësi jo më të madhe se 1,0 mm dhe që është konsideruar si një komponent jothelbësor;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f) dy ose më shumë materiale jo të ngjitur</w:t>
      </w:r>
      <w:r>
        <w:rPr>
          <w:spacing w:val="-4"/>
          <w:lang w:val="sq-AL"/>
        </w:rPr>
        <w:t>a</w:t>
      </w:r>
      <w:r w:rsidRPr="0054496B">
        <w:rPr>
          <w:spacing w:val="-4"/>
          <w:lang w:val="sq-AL"/>
        </w:rPr>
        <w:t xml:space="preserve"> “veshje”, pa komponent thelbësor janë një komponent jo i konsiderueshëm, dhe për këtë arsye, duhet të përputhet plotësisht me kërkesat për të qenë një komponent jothelbësor;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g) komponentët jothelbësor</w:t>
      </w:r>
      <w:r>
        <w:rPr>
          <w:spacing w:val="-4"/>
          <w:lang w:val="sq-AL"/>
        </w:rPr>
        <w:t>ë</w:t>
      </w:r>
      <w:r w:rsidRPr="0054496B">
        <w:rPr>
          <w:spacing w:val="-4"/>
          <w:lang w:val="sq-AL"/>
        </w:rPr>
        <w:t>, ndahen në komponentë të brendshëm jo</w:t>
      </w:r>
      <w:r>
        <w:rPr>
          <w:spacing w:val="-4"/>
          <w:lang w:val="sq-AL"/>
        </w:rPr>
        <w:t xml:space="preserve">thelbësorë </w:t>
      </w:r>
      <w:r w:rsidRPr="0054496B">
        <w:rPr>
          <w:spacing w:val="-4"/>
          <w:lang w:val="sq-AL"/>
        </w:rPr>
        <w:t>dhe komponentë të jashtëm, si më poshtë: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- “komponent i brendshëm jothelbësor”, është një komponent jothelbësor i veshur nga të dyja anët me të paktën një komponent thelbësor;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- “komponent i jashtëm jothelbësor”, është një komponent jothelbësor që në njërën anë nuk është i veshur me një përbërës thelbësor.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4. Kategorizimi sipas qëndrueshmërisë ndaj zjarrit përcaktohet: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nga materialet e përdorura në ndërtimin e objektit/konstruksionit të ndërtimit;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nga natyra e përdorimit të ndërtesës/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strukturës/konstruksionit;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c) madhësia e ndërtesës/strukturës/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konstruk</w:t>
      </w:r>
      <w:r>
        <w:rPr>
          <w:spacing w:val="-4"/>
          <w:lang w:val="sq-AL"/>
        </w:rPr>
        <w:t>-</w:t>
      </w:r>
      <w:r w:rsidRPr="0054496B">
        <w:rPr>
          <w:spacing w:val="-4"/>
          <w:lang w:val="sq-AL"/>
        </w:rPr>
        <w:t>sionit;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d) propabiliteti i rënies së zjarrit;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e) nga ngarkesa antizjarr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si dhe vetitë e zjarrit te materialet e ndërtimit.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5. Reagimi i materialeve ndaj zjarrit, sipas shkallës së qëndrueshmërisë, për efekt të këtij kategorizimi, </w:t>
      </w:r>
      <w:r w:rsidRPr="0054496B">
        <w:rPr>
          <w:spacing w:val="-4"/>
          <w:lang w:val="sq-AL"/>
        </w:rPr>
        <w:lastRenderedPageBreak/>
        <w:t xml:space="preserve">varet nga parametrat e mëposhtëm: 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ndezshmëria, që nënkupton aftësinë e një materiali për t’u ndezur;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shpejtësia e përhapjes së flakës, që nënkupton shpejtësinë me të cilin flaka përhapet në një material;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c) aftësitë shkrirëse, që ka materiali gjatë ekspozimit në një burim ngrohje;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d) prania e zonave inkandeshente, pasi flaka që shuhet, mund të shkaktojë zjarr përsëri;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e) sasia e nxehtësisë që emetohet në njësinë kohore nga një material në gjendjen e djegies;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f) aftësia e materialit të lëshojë grupe të dukshme të grimcave të ngurta dhe/ose të lëngshme pezull në ajër, si rezultat i djegies jo të plotë në kushte të caktuara;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g) prodhimi i substancave të dëmshme, që përkufizohet si aftësia e një materiali të lëshoj gaze dhe/ose avuj në kushte të përcaktuara me djegie.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6. Kategorizimi kryesor në klasa, sipas shkallës së qëndrueshmërisë dhe rrezikshmërisë së materia</w:t>
      </w:r>
      <w:r>
        <w:rPr>
          <w:spacing w:val="-4"/>
          <w:lang w:val="sq-AL"/>
        </w:rPr>
        <w:t>-</w:t>
      </w:r>
      <w:r w:rsidRPr="0054496B">
        <w:rPr>
          <w:spacing w:val="-4"/>
          <w:lang w:val="sq-AL"/>
        </w:rPr>
        <w:t>leve ndaj zjarrit është: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klasa 0, përfshin mater</w:t>
      </w:r>
      <w:r>
        <w:rPr>
          <w:spacing w:val="-4"/>
          <w:lang w:val="sq-AL"/>
        </w:rPr>
        <w:t>i</w:t>
      </w:r>
      <w:r w:rsidRPr="0054496B">
        <w:rPr>
          <w:spacing w:val="-4"/>
          <w:lang w:val="sq-AL"/>
        </w:rPr>
        <w:t>ale të padjegshme;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klasa 1, përfshin materiale jo të ndezshme të djegshme;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c) klasa 2, përfshin materiale të djegshme rezistente ndaj zjarrit;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d) klasa 3, përfshin materiale djegëse të djegshme;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e) klasa 4, përfshin materiale lehtësisht të ndezshme të djegshme;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f) klasa 5, përfshin materiale shumë të ndezshme të djegshme.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7. Parametrat kryesor</w:t>
      </w:r>
      <w:r>
        <w:rPr>
          <w:spacing w:val="-4"/>
          <w:lang w:val="sq-AL"/>
        </w:rPr>
        <w:t>ë</w:t>
      </w:r>
      <w:r w:rsidRPr="0054496B">
        <w:rPr>
          <w:spacing w:val="-4"/>
          <w:lang w:val="sq-AL"/>
        </w:rPr>
        <w:t xml:space="preserve"> për vlerësimin e rezistencës së zjarrit në materialet e konstruk</w:t>
      </w:r>
      <w:r>
        <w:rPr>
          <w:spacing w:val="-4"/>
          <w:lang w:val="sq-AL"/>
        </w:rPr>
        <w:t>-</w:t>
      </w:r>
      <w:r w:rsidRPr="0054496B">
        <w:rPr>
          <w:spacing w:val="-4"/>
          <w:lang w:val="sq-AL"/>
        </w:rPr>
        <w:t>sioneve/objekteve ndërtimore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janë: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kapaciteti për të ruajtur forcën mekanike nën veprimin e zjarrit, që identifikohet me simbolin “R”, si dhe ndjekur nga një numër “n” identifikon elementët konstruktiv dhe mban për një kohë të caktuar “n” forcën mekanike të konstruksionit/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objektit;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hermeticiteti, aftësia për të mos lejuar kalimin e flakëve, avujve ose gazeve të nxehtë në anën e paekspozuar të konstruksionit/objektit, që identifikohet me simbolin “E”;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c) izolimi termik, aftësia për të reduktuar transmetimin e nxehtësisë, që identifikohet me simbolin “I”;</w:t>
      </w:r>
    </w:p>
    <w:p w:rsidR="00565982" w:rsidRPr="0054496B" w:rsidRDefault="00565982" w:rsidP="00565982">
      <w:pPr>
        <w:pStyle w:val="Paragrafi"/>
        <w:rPr>
          <w:lang w:val="sq-AL"/>
        </w:rPr>
      </w:pPr>
      <w:r w:rsidRPr="0054496B">
        <w:rPr>
          <w:lang w:val="sq-AL"/>
        </w:rPr>
        <w:t>d) “REI” – që identifikon stabilitetin, qëndrueshmërinë, izolimin termik, shprehur në minuta, që një element të ruajë karakteristikat ndërtimore nën ndikimin e zjarrit.</w:t>
      </w:r>
    </w:p>
    <w:p w:rsidR="00565982" w:rsidRPr="0054496B" w:rsidRDefault="00565982" w:rsidP="00565982">
      <w:pPr>
        <w:pStyle w:val="Paragrafi"/>
        <w:rPr>
          <w:lang w:val="sq-AL"/>
        </w:rPr>
      </w:pPr>
      <w:r w:rsidRPr="0054496B">
        <w:rPr>
          <w:lang w:val="sq-AL"/>
        </w:rPr>
        <w:t>8. Sipas rezistencës së materialive nga efekti i zjarrit të strukturës/konstruksionit/objektit, klasat përcaktohen në: 10, 15, 20, 30, 45, 60, 90, 120, 180, 240 dhe 360, të cilat shprehin kohën në minuta, gjatë së cilës rezistenca ndaj zjarrit e këtyre materialeve duhet të jetë e garantuar.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lang w:val="sq-AL"/>
        </w:rPr>
        <w:t>9. Shërbimi qendror i MZSH-së dhe ai vendor miraton dokumentacionin teknik të mbrojtjes nga zjarri (projektin e mbrojtjes nga zjarri dhe shpëtimin), të objektit/konstruksionit të ndërtimit, vetëm në përputhje me parametrat kryesorë të vlerësimit të rezistencës të materialeve nga zjarri, si dhe me kategorizimin sipas shkallës së</w:t>
      </w:r>
      <w:r w:rsidRPr="0054496B">
        <w:rPr>
          <w:spacing w:val="-4"/>
          <w:lang w:val="sq-AL"/>
        </w:rPr>
        <w:t xml:space="preserve"> qëndrueshmërisë dhe rrezikshmërisë të tij.</w:t>
      </w:r>
    </w:p>
    <w:p w:rsidR="00565982" w:rsidRDefault="00565982" w:rsidP="00565982">
      <w:pPr>
        <w:pStyle w:val="Paragrafi"/>
        <w:rPr>
          <w:spacing w:val="-4"/>
          <w:lang w:val="sq-AL"/>
        </w:rPr>
      </w:pP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10. Ngarkohet Drejtoria e Përgjithshme e MZSH-së, drejtoritë/sektorët e MZSH-së në bashki për zbatimin e këtij udhëzimi.</w:t>
      </w:r>
    </w:p>
    <w:p w:rsidR="00565982" w:rsidRPr="0054496B" w:rsidRDefault="00565982" w:rsidP="00565982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Ky udhëzim hyn në fuqi pas botimit në Fletoren Zyrtare.</w:t>
      </w:r>
    </w:p>
    <w:p w:rsidR="00565982" w:rsidRPr="0054496B" w:rsidRDefault="00565982" w:rsidP="00565982">
      <w:pPr>
        <w:pStyle w:val="NeniTitull"/>
        <w:rPr>
          <w:spacing w:val="-4"/>
          <w:sz w:val="14"/>
          <w:lang w:val="sq-AL"/>
        </w:rPr>
      </w:pPr>
    </w:p>
    <w:p w:rsidR="00565982" w:rsidRPr="0054496B" w:rsidRDefault="00565982" w:rsidP="00565982">
      <w:pPr>
        <w:pStyle w:val="NeniTitull"/>
        <w:jc w:val="right"/>
        <w:rPr>
          <w:b w:val="0"/>
          <w:spacing w:val="-4"/>
          <w:lang w:val="sq-AL"/>
        </w:rPr>
      </w:pPr>
      <w:r w:rsidRPr="0054496B">
        <w:rPr>
          <w:b w:val="0"/>
          <w:spacing w:val="-4"/>
          <w:lang w:val="sq-AL"/>
        </w:rPr>
        <w:t>MINISTRI I PUNËVE TË BRENDSHME</w:t>
      </w:r>
    </w:p>
    <w:p w:rsidR="00565982" w:rsidRPr="0054496B" w:rsidRDefault="00565982" w:rsidP="00565982">
      <w:pPr>
        <w:pStyle w:val="Paragrafi"/>
        <w:jc w:val="right"/>
        <w:rPr>
          <w:b/>
          <w:spacing w:val="-4"/>
          <w:lang w:val="sq-AL"/>
        </w:rPr>
      </w:pPr>
      <w:r w:rsidRPr="0054496B">
        <w:rPr>
          <w:b/>
          <w:spacing w:val="-4"/>
          <w:lang w:val="sq-AL"/>
        </w:rPr>
        <w:t>Saimir Tahiri</w:t>
      </w:r>
    </w:p>
    <w:p w:rsidR="00565982" w:rsidRPr="0054496B" w:rsidRDefault="00565982" w:rsidP="00565982">
      <w:pPr>
        <w:pStyle w:val="NeniTitull"/>
        <w:jc w:val="left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3D"/>
    <w:rsid w:val="004F363D"/>
    <w:rsid w:val="004F59B3"/>
    <w:rsid w:val="0056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7B4CAE-26E1-4A3D-85BE-F48A5CE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59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59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659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659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6598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2017-01-26T14:02:00Z</dcterms:created>
  <dcterms:modified xsi:type="dcterms:W3CDTF">2017-01-26T14:02:00Z</dcterms:modified>
</cp:coreProperties>
</file>