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38AC8" w14:textId="77777777" w:rsidR="00D93E92" w:rsidRPr="004F00CE" w:rsidRDefault="00D93E92" w:rsidP="00D93E92">
      <w:pPr>
        <w:autoSpaceDE w:val="0"/>
        <w:autoSpaceDN w:val="0"/>
        <w:adjustRightInd w:val="0"/>
        <w:ind w:firstLine="284"/>
        <w:jc w:val="center"/>
        <w:rPr>
          <w:rFonts w:ascii="Garamond" w:eastAsiaTheme="minorHAnsi" w:hAnsi="Garamond" w:cs="Times New Roman"/>
          <w:b/>
          <w:bCs/>
          <w:color w:val="000000"/>
          <w:sz w:val="24"/>
          <w:szCs w:val="24"/>
          <w:lang w:val="sq-AL"/>
        </w:rPr>
      </w:pPr>
      <w:r w:rsidRPr="004F00CE">
        <w:rPr>
          <w:rFonts w:ascii="Garamond" w:eastAsiaTheme="minorHAnsi" w:hAnsi="Garamond" w:cs="Times New Roman"/>
          <w:b/>
          <w:bCs/>
          <w:color w:val="000000"/>
          <w:sz w:val="24"/>
          <w:szCs w:val="24"/>
          <w:lang w:val="sq-AL"/>
        </w:rPr>
        <w:t>UDHËZIM I PËRBASHKËT</w:t>
      </w:r>
    </w:p>
    <w:p w14:paraId="3E4E2E0C" w14:textId="4B38166E" w:rsidR="00D93E92" w:rsidRPr="004F00CE" w:rsidRDefault="00D93E92" w:rsidP="00D93E92">
      <w:pPr>
        <w:autoSpaceDE w:val="0"/>
        <w:autoSpaceDN w:val="0"/>
        <w:adjustRightInd w:val="0"/>
        <w:ind w:firstLine="284"/>
        <w:jc w:val="center"/>
        <w:rPr>
          <w:rFonts w:ascii="Garamond" w:eastAsiaTheme="minorHAnsi" w:hAnsi="Garamond" w:cs="Times New Roman"/>
          <w:b/>
          <w:bCs/>
          <w:color w:val="000000"/>
          <w:sz w:val="24"/>
          <w:szCs w:val="24"/>
          <w:lang w:val="sq-AL"/>
        </w:rPr>
      </w:pPr>
      <w:r w:rsidRPr="004F00CE">
        <w:rPr>
          <w:rFonts w:ascii="Garamond" w:eastAsiaTheme="minorHAnsi" w:hAnsi="Garamond" w:cs="Times New Roman"/>
          <w:b/>
          <w:bCs/>
          <w:color w:val="000000"/>
          <w:sz w:val="24"/>
          <w:szCs w:val="24"/>
          <w:lang w:val="sq-AL"/>
        </w:rPr>
        <w:t>Nr. 227, datë 25.11.2022</w:t>
      </w:r>
    </w:p>
    <w:p w14:paraId="134E6C16" w14:textId="77777777" w:rsidR="00D93E92" w:rsidRPr="004F00CE" w:rsidRDefault="00D93E92" w:rsidP="00D93E92">
      <w:pPr>
        <w:autoSpaceDE w:val="0"/>
        <w:autoSpaceDN w:val="0"/>
        <w:adjustRightInd w:val="0"/>
        <w:ind w:firstLine="284"/>
        <w:jc w:val="center"/>
        <w:rPr>
          <w:rFonts w:ascii="Garamond" w:eastAsiaTheme="minorHAnsi" w:hAnsi="Garamond" w:cs="Times New Roman"/>
          <w:color w:val="000000"/>
          <w:sz w:val="24"/>
          <w:szCs w:val="24"/>
          <w:lang w:val="sq-AL"/>
        </w:rPr>
      </w:pPr>
    </w:p>
    <w:p w14:paraId="42955338" w14:textId="77777777" w:rsidR="00D93E92" w:rsidRPr="004F00CE" w:rsidRDefault="00D93E92" w:rsidP="004F00CE">
      <w:pPr>
        <w:autoSpaceDE w:val="0"/>
        <w:autoSpaceDN w:val="0"/>
        <w:adjustRightInd w:val="0"/>
        <w:jc w:val="center"/>
        <w:rPr>
          <w:rFonts w:ascii="Garamond" w:eastAsiaTheme="minorHAnsi" w:hAnsi="Garamond" w:cs="Times New Roman"/>
          <w:b/>
          <w:bCs/>
          <w:color w:val="000000"/>
          <w:sz w:val="24"/>
          <w:szCs w:val="24"/>
          <w:lang w:val="sq-AL"/>
        </w:rPr>
      </w:pPr>
      <w:r w:rsidRPr="004F00CE">
        <w:rPr>
          <w:rFonts w:ascii="Garamond" w:eastAsiaTheme="minorHAnsi" w:hAnsi="Garamond" w:cs="Times New Roman"/>
          <w:b/>
          <w:bCs/>
          <w:color w:val="000000"/>
          <w:sz w:val="24"/>
          <w:szCs w:val="24"/>
          <w:lang w:val="sq-AL"/>
        </w:rPr>
        <w:t>MBI BASHKËPUNIMIN E STRUKTURAVE TË MINISTRISË PËR EVROPËN DHE PUNËT E JASHTME DHE MINISTRISË SË BRENDSHME PËR PROCEDURAT E PAJISJES ME FTESË PARAPRAKE PËR TË HUAJT</w:t>
      </w:r>
    </w:p>
    <w:p w14:paraId="75A67344" w14:textId="77777777" w:rsidR="00D93E92" w:rsidRPr="004F00CE" w:rsidRDefault="00D93E92" w:rsidP="00D93E92">
      <w:pPr>
        <w:autoSpaceDE w:val="0"/>
        <w:autoSpaceDN w:val="0"/>
        <w:adjustRightInd w:val="0"/>
        <w:ind w:firstLine="284"/>
        <w:rPr>
          <w:rFonts w:ascii="Garamond" w:eastAsiaTheme="minorHAnsi" w:hAnsi="Garamond" w:cs="Times New Roman"/>
          <w:color w:val="000000"/>
          <w:sz w:val="24"/>
          <w:szCs w:val="24"/>
          <w:lang w:val="sq-AL"/>
        </w:rPr>
      </w:pPr>
    </w:p>
    <w:p w14:paraId="72F4755E" w14:textId="77777777" w:rsidR="00D93E92" w:rsidRPr="004F00CE" w:rsidRDefault="00D93E92" w:rsidP="00D93E92">
      <w:pPr>
        <w:autoSpaceDE w:val="0"/>
        <w:autoSpaceDN w:val="0"/>
        <w:adjustRightInd w:val="0"/>
        <w:ind w:firstLine="284"/>
        <w:jc w:val="both"/>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Në mbështetje të nenit 102, pika 4, të Kushtetutës, nenit 17, pikat 4 dhe 5, të ligjit nr. 79/2021, “Për të huajt”, me qëllim harmonizimin e procedurave ndërmjet institucioneve përgjegjëse për përcaktimin e procedurave për marrjen e vendimit për pajisjen me ftesë për të huajt që hyjnë pa vizë, si dhe formatin dhe përmbajtjen e ftesës së të huajit në Republikën e Shqipërisë,</w:t>
      </w:r>
    </w:p>
    <w:p w14:paraId="27479362" w14:textId="77777777" w:rsidR="00D93E92" w:rsidRPr="004F00CE" w:rsidRDefault="00D93E92" w:rsidP="00D93E92">
      <w:pPr>
        <w:autoSpaceDE w:val="0"/>
        <w:autoSpaceDN w:val="0"/>
        <w:adjustRightInd w:val="0"/>
        <w:ind w:firstLine="284"/>
        <w:rPr>
          <w:rFonts w:ascii="Garamond" w:eastAsiaTheme="minorHAnsi" w:hAnsi="Garamond" w:cs="Times New Roman"/>
          <w:color w:val="000000"/>
          <w:sz w:val="24"/>
          <w:szCs w:val="24"/>
          <w:lang w:val="sq-AL"/>
        </w:rPr>
      </w:pPr>
    </w:p>
    <w:p w14:paraId="2DBFB98B" w14:textId="77777777" w:rsidR="00D93E92" w:rsidRPr="004F00CE" w:rsidRDefault="00D93E92" w:rsidP="00D93E92">
      <w:pPr>
        <w:autoSpaceDE w:val="0"/>
        <w:autoSpaceDN w:val="0"/>
        <w:adjustRightInd w:val="0"/>
        <w:ind w:firstLine="284"/>
        <w:jc w:val="center"/>
        <w:rPr>
          <w:rFonts w:ascii="Garamond" w:eastAsiaTheme="minorHAnsi" w:hAnsi="Garamond" w:cs="Times New Roman"/>
          <w:bCs/>
          <w:color w:val="000000"/>
          <w:sz w:val="24"/>
          <w:szCs w:val="24"/>
          <w:lang w:val="sq-AL"/>
        </w:rPr>
      </w:pPr>
      <w:r w:rsidRPr="004F00CE">
        <w:rPr>
          <w:rFonts w:ascii="Garamond" w:eastAsiaTheme="minorHAnsi" w:hAnsi="Garamond" w:cs="Times New Roman"/>
          <w:bCs/>
          <w:color w:val="000000"/>
          <w:sz w:val="24"/>
          <w:szCs w:val="24"/>
          <w:lang w:val="sq-AL"/>
        </w:rPr>
        <w:t>UDHËZOJMË:</w:t>
      </w:r>
    </w:p>
    <w:p w14:paraId="7397D3CD" w14:textId="77777777" w:rsidR="00D93E92" w:rsidRPr="004F00CE" w:rsidRDefault="00D93E92" w:rsidP="00D93E92">
      <w:pPr>
        <w:autoSpaceDE w:val="0"/>
        <w:autoSpaceDN w:val="0"/>
        <w:adjustRightInd w:val="0"/>
        <w:ind w:firstLine="284"/>
        <w:rPr>
          <w:rFonts w:ascii="Garamond" w:eastAsiaTheme="minorHAnsi" w:hAnsi="Garamond" w:cs="Times New Roman"/>
          <w:b/>
          <w:bCs/>
          <w:color w:val="000000"/>
          <w:sz w:val="24"/>
          <w:szCs w:val="24"/>
          <w:lang w:val="sq-AL"/>
        </w:rPr>
      </w:pPr>
    </w:p>
    <w:p w14:paraId="22A54E12" w14:textId="452782AB" w:rsidR="00D93E92" w:rsidRPr="004F00CE" w:rsidRDefault="00D93E92" w:rsidP="00D93E92">
      <w:pPr>
        <w:autoSpaceDE w:val="0"/>
        <w:autoSpaceDN w:val="0"/>
        <w:adjustRightInd w:val="0"/>
        <w:ind w:firstLine="284"/>
        <w:jc w:val="both"/>
        <w:rPr>
          <w:rFonts w:ascii="Garamond" w:eastAsiaTheme="minorHAnsi" w:hAnsi="Garamond" w:cs="Times New Roman"/>
          <w:bCs/>
          <w:color w:val="000000"/>
          <w:sz w:val="24"/>
          <w:szCs w:val="24"/>
          <w:lang w:val="sq-AL"/>
        </w:rPr>
      </w:pPr>
      <w:r w:rsidRPr="004F00CE">
        <w:rPr>
          <w:rFonts w:ascii="Garamond" w:eastAsiaTheme="minorHAnsi" w:hAnsi="Garamond" w:cs="Times New Roman"/>
          <w:bCs/>
          <w:color w:val="000000"/>
          <w:sz w:val="24"/>
          <w:szCs w:val="24"/>
          <w:lang w:val="sq-AL"/>
        </w:rPr>
        <w:t xml:space="preserve">I. INSTITUCIONET DHE PROCEDURA E MARRJES SË VENDIMIT PËR PAJISJEN ME FTESË PËR TË HUAJT QË HYJNË PA VIZË NË REPUBLIKËN E SHQIPËRISË </w:t>
      </w:r>
    </w:p>
    <w:p w14:paraId="29BF3067" w14:textId="23AD8FB4" w:rsidR="00D93E92" w:rsidRPr="004F00CE" w:rsidRDefault="00D93E92" w:rsidP="00D93E92">
      <w:pPr>
        <w:tabs>
          <w:tab w:val="left" w:pos="760"/>
        </w:tabs>
        <w:autoSpaceDE w:val="0"/>
        <w:autoSpaceDN w:val="0"/>
        <w:adjustRightInd w:val="0"/>
        <w:ind w:firstLine="284"/>
        <w:jc w:val="both"/>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1. Autoritetet shtetërore përgjegjëse që bashkëpunojnë për procedurën e pajisjes me ftesë, janë:</w:t>
      </w:r>
    </w:p>
    <w:p w14:paraId="61505238" w14:textId="4F387FE6" w:rsidR="00D93E92" w:rsidRPr="004F00CE" w:rsidRDefault="00D93E92" w:rsidP="00D93E92">
      <w:pPr>
        <w:autoSpaceDE w:val="0"/>
        <w:autoSpaceDN w:val="0"/>
        <w:adjustRightInd w:val="0"/>
        <w:ind w:firstLine="284"/>
        <w:jc w:val="both"/>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 xml:space="preserve">a) </w:t>
      </w:r>
      <w:r w:rsidR="00B35A7D">
        <w:rPr>
          <w:rFonts w:ascii="Garamond" w:eastAsiaTheme="minorHAnsi" w:hAnsi="Garamond" w:cs="Times New Roman"/>
          <w:color w:val="000000"/>
          <w:sz w:val="24"/>
          <w:szCs w:val="24"/>
          <w:lang w:val="sq-AL"/>
        </w:rPr>
        <w:t>n</w:t>
      </w:r>
      <w:r w:rsidRPr="004F00CE">
        <w:rPr>
          <w:rFonts w:ascii="Garamond" w:eastAsiaTheme="minorHAnsi" w:hAnsi="Garamond" w:cs="Times New Roman"/>
          <w:color w:val="000000"/>
          <w:sz w:val="24"/>
          <w:szCs w:val="24"/>
          <w:lang w:val="sq-AL"/>
        </w:rPr>
        <w:t>ë Ministrinë për Evropën dhe Punët e Jashtme (më poshtë MEPJ) – Drejtoria e Çështjeve Konsullore (më poshtë “DÇK”) dhe Përfaqësia Diplomatike Konsullore (më poshtë “PDK”) të Republikës së Shqipërisë jashtë shtetit;</w:t>
      </w:r>
    </w:p>
    <w:p w14:paraId="008A8BD9" w14:textId="2EF1F004" w:rsidR="00D93E92" w:rsidRPr="004F00CE" w:rsidRDefault="00D93E92" w:rsidP="00D93E92">
      <w:pPr>
        <w:autoSpaceDE w:val="0"/>
        <w:autoSpaceDN w:val="0"/>
        <w:adjustRightInd w:val="0"/>
        <w:ind w:firstLine="284"/>
        <w:jc w:val="both"/>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 xml:space="preserve">b) </w:t>
      </w:r>
      <w:r w:rsidR="00B35A7D">
        <w:rPr>
          <w:rFonts w:ascii="Garamond" w:eastAsiaTheme="minorHAnsi" w:hAnsi="Garamond" w:cs="Times New Roman"/>
          <w:color w:val="000000"/>
          <w:sz w:val="24"/>
          <w:szCs w:val="24"/>
          <w:lang w:val="sq-AL"/>
        </w:rPr>
        <w:t>n</w:t>
      </w:r>
      <w:r w:rsidRPr="004F00CE">
        <w:rPr>
          <w:rFonts w:ascii="Garamond" w:eastAsiaTheme="minorHAnsi" w:hAnsi="Garamond" w:cs="Times New Roman"/>
          <w:color w:val="000000"/>
          <w:sz w:val="24"/>
          <w:szCs w:val="24"/>
          <w:lang w:val="sq-AL"/>
        </w:rPr>
        <w:t>ë Ministrinë e Brendshme (më poshtë “MB”) – Departamenti për Kufirin dhe Migracionin në Drejtorinë e Policisë së Shtetit (më poshtë “DKM”);</w:t>
      </w:r>
    </w:p>
    <w:p w14:paraId="19A3F5BD" w14:textId="1C83EE77" w:rsidR="00D93E92" w:rsidRPr="004F00CE" w:rsidRDefault="00D93E92" w:rsidP="00D93E92">
      <w:pPr>
        <w:autoSpaceDE w:val="0"/>
        <w:autoSpaceDN w:val="0"/>
        <w:adjustRightInd w:val="0"/>
        <w:ind w:firstLine="284"/>
        <w:jc w:val="both"/>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2. Me propozim të njërit prej autoriteteve përgjegjëse të përcaktuar në pikën 1, të këtij udhëzimi, në bazë të analizës së riskut së bërë nga autoriteti propozues, si dhe në interes të parandalimit të migracionit të paligjshëm, DKM-ja pas konsultimit me MEPJ</w:t>
      </w:r>
      <w:r w:rsidR="006C1AEC">
        <w:rPr>
          <w:rFonts w:ascii="Garamond" w:eastAsiaTheme="minorHAnsi" w:hAnsi="Garamond" w:cs="Times New Roman"/>
          <w:color w:val="000000"/>
          <w:sz w:val="24"/>
          <w:szCs w:val="24"/>
          <w:lang w:val="sq-AL"/>
        </w:rPr>
        <w:t>-në</w:t>
      </w:r>
      <w:r w:rsidRPr="004F00CE">
        <w:rPr>
          <w:rFonts w:ascii="Garamond" w:eastAsiaTheme="minorHAnsi" w:hAnsi="Garamond" w:cs="Times New Roman"/>
          <w:color w:val="000000"/>
          <w:sz w:val="24"/>
          <w:szCs w:val="24"/>
          <w:lang w:val="sq-AL"/>
        </w:rPr>
        <w:t xml:space="preserve"> merr vendimin për përcaktimin e një liste me shtetet, shtetasit e të cilëve duhet të pajisjen me ftesë përpara hyrjes në territorin e Republikës së Shqipërisë, kur shtetësia e tyre vlerësohet me risk për një periudhë të caktuar.</w:t>
      </w:r>
    </w:p>
    <w:p w14:paraId="0B95D791" w14:textId="34873498" w:rsidR="00D93E92" w:rsidRPr="004F00CE" w:rsidRDefault="00D93E92" w:rsidP="00D93E92">
      <w:pPr>
        <w:autoSpaceDE w:val="0"/>
        <w:autoSpaceDN w:val="0"/>
        <w:adjustRightInd w:val="0"/>
        <w:ind w:firstLine="284"/>
        <w:jc w:val="both"/>
        <w:rPr>
          <w:rFonts w:ascii="Garamond" w:eastAsiaTheme="minorHAnsi" w:hAnsi="Garamond" w:cs="Times New Roman"/>
          <w:sz w:val="24"/>
          <w:szCs w:val="24"/>
          <w:lang w:val="sq-AL"/>
        </w:rPr>
      </w:pPr>
      <w:r w:rsidRPr="004F00CE">
        <w:rPr>
          <w:rFonts w:ascii="Garamond" w:eastAsiaTheme="minorHAnsi" w:hAnsi="Garamond" w:cs="Times New Roman"/>
          <w:color w:val="000000"/>
          <w:sz w:val="24"/>
          <w:szCs w:val="24"/>
          <w:lang w:val="sq-AL"/>
        </w:rPr>
        <w:t>3. Vendimi i marrë për listën e shteteve të përcaktuara në pikën 2, të këtij udhëzimi, dërgohet zyrtarisht pranë MEPJ</w:t>
      </w:r>
      <w:r w:rsidR="005B0374">
        <w:rPr>
          <w:rFonts w:ascii="Garamond" w:eastAsiaTheme="minorHAnsi" w:hAnsi="Garamond" w:cs="Times New Roman"/>
          <w:color w:val="000000"/>
          <w:sz w:val="24"/>
          <w:szCs w:val="24"/>
          <w:lang w:val="sq-AL"/>
        </w:rPr>
        <w:t>-së</w:t>
      </w:r>
      <w:r w:rsidRPr="004F00CE">
        <w:rPr>
          <w:rFonts w:ascii="Garamond" w:eastAsiaTheme="minorHAnsi" w:hAnsi="Garamond" w:cs="Times New Roman"/>
          <w:color w:val="000000"/>
          <w:sz w:val="24"/>
          <w:szCs w:val="24"/>
          <w:lang w:val="sq-AL"/>
        </w:rPr>
        <w:t xml:space="preserve">, autoriteteve përgjegjëse vendore të kufirit dhe migracionit në </w:t>
      </w:r>
      <w:r w:rsidR="00744DE9" w:rsidRPr="004F00CE">
        <w:rPr>
          <w:rFonts w:ascii="Garamond" w:eastAsiaTheme="minorHAnsi" w:hAnsi="Garamond" w:cs="Times New Roman"/>
          <w:color w:val="000000"/>
          <w:sz w:val="24"/>
          <w:szCs w:val="24"/>
          <w:lang w:val="sq-AL"/>
        </w:rPr>
        <w:t xml:space="preserve">pikat e kalimit kufitar </w:t>
      </w:r>
      <w:r w:rsidRPr="004F00CE">
        <w:rPr>
          <w:rFonts w:ascii="Garamond" w:eastAsiaTheme="minorHAnsi" w:hAnsi="Garamond" w:cs="Times New Roman"/>
          <w:color w:val="000000"/>
          <w:sz w:val="24"/>
          <w:szCs w:val="24"/>
          <w:lang w:val="sq-AL"/>
        </w:rPr>
        <w:t>dhe autoriteteve përgjegjëse për trajtimin e të huajve në territor.</w:t>
      </w:r>
    </w:p>
    <w:p w14:paraId="359F7F73" w14:textId="41A18874" w:rsidR="00D93E92" w:rsidRPr="004F00CE" w:rsidRDefault="00D93E92" w:rsidP="00D93E92">
      <w:pPr>
        <w:autoSpaceDE w:val="0"/>
        <w:autoSpaceDN w:val="0"/>
        <w:adjustRightInd w:val="0"/>
        <w:ind w:firstLine="284"/>
        <w:jc w:val="both"/>
        <w:rPr>
          <w:rFonts w:ascii="Garamond" w:eastAsiaTheme="minorHAnsi" w:hAnsi="Garamond" w:cs="Times New Roman"/>
          <w:sz w:val="24"/>
          <w:szCs w:val="24"/>
          <w:lang w:val="sq-AL"/>
        </w:rPr>
      </w:pPr>
      <w:r w:rsidRPr="004F00CE">
        <w:rPr>
          <w:rFonts w:ascii="Garamond" w:eastAsiaTheme="minorHAnsi" w:hAnsi="Garamond" w:cs="Times New Roman"/>
          <w:color w:val="000000"/>
          <w:sz w:val="24"/>
          <w:szCs w:val="24"/>
          <w:lang w:val="sq-AL"/>
        </w:rPr>
        <w:t>4. Lista e shteteve publikohet në faqet zyrtare të institucioneve të përcaktuara në pikën 1, të këtij udhëzimi, u bëhet e njohur përfaqësive të posteve konsullore shqiptare, si dhe autoriteteve shtetërore të vendeve pjesë e kësaj liste.</w:t>
      </w:r>
    </w:p>
    <w:p w14:paraId="095BA97F" w14:textId="30CD2125" w:rsidR="00D93E92" w:rsidRPr="004F00CE" w:rsidRDefault="00D93E92" w:rsidP="00D93E92">
      <w:pPr>
        <w:autoSpaceDE w:val="0"/>
        <w:autoSpaceDN w:val="0"/>
        <w:adjustRightInd w:val="0"/>
        <w:ind w:firstLine="284"/>
        <w:jc w:val="both"/>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5. Ftuesi i dërgon një kopje të ftesës të huajit, si dhe depoziton fizikisht një kopje të saj, pranë autoritetit vendor përgjegjës për kufirin dhe migracionin ku ka vendbanimin apo vendqëndrimin.</w:t>
      </w:r>
    </w:p>
    <w:p w14:paraId="013B6F70" w14:textId="0B364C98" w:rsidR="00D93E92" w:rsidRPr="004F00CE" w:rsidRDefault="00D93E92" w:rsidP="00D93E92">
      <w:pPr>
        <w:autoSpaceDE w:val="0"/>
        <w:autoSpaceDN w:val="0"/>
        <w:adjustRightInd w:val="0"/>
        <w:ind w:firstLine="284"/>
        <w:jc w:val="both"/>
        <w:rPr>
          <w:rFonts w:ascii="Garamond" w:eastAsiaTheme="minorHAnsi" w:hAnsi="Garamond" w:cs="Times New Roman"/>
          <w:bCs/>
          <w:color w:val="000000"/>
          <w:sz w:val="24"/>
          <w:szCs w:val="24"/>
          <w:lang w:val="sq-AL"/>
        </w:rPr>
      </w:pPr>
      <w:r w:rsidRPr="004F00CE">
        <w:rPr>
          <w:rFonts w:ascii="Garamond" w:eastAsiaTheme="minorHAnsi" w:hAnsi="Garamond" w:cs="Times New Roman"/>
          <w:bCs/>
          <w:color w:val="000000"/>
          <w:sz w:val="24"/>
          <w:szCs w:val="24"/>
          <w:lang w:val="sq-AL"/>
        </w:rPr>
        <w:t xml:space="preserve">II. FORMA DHE PËRMBAJTJA E FTESËS </w:t>
      </w:r>
    </w:p>
    <w:p w14:paraId="0032BFE6" w14:textId="3BE477EF" w:rsidR="00D93E92" w:rsidRPr="004F00CE" w:rsidRDefault="00D93E92" w:rsidP="00D93E92">
      <w:pPr>
        <w:autoSpaceDE w:val="0"/>
        <w:autoSpaceDN w:val="0"/>
        <w:adjustRightInd w:val="0"/>
        <w:ind w:firstLine="284"/>
        <w:jc w:val="both"/>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1. Forma dhe përmbajtja e ftesës për të huajt që hyjnë në territorin e Republikës së Shqipërisë, sipas përcaktimeve të pikës 2 dhe pikës 4</w:t>
      </w:r>
      <w:r w:rsidR="002049F0">
        <w:rPr>
          <w:rFonts w:ascii="Garamond" w:eastAsiaTheme="minorHAnsi" w:hAnsi="Garamond" w:cs="Times New Roman"/>
          <w:color w:val="000000"/>
          <w:sz w:val="24"/>
          <w:szCs w:val="24"/>
          <w:lang w:val="sq-AL"/>
        </w:rPr>
        <w:t>,</w:t>
      </w:r>
      <w:r w:rsidRPr="004F00CE">
        <w:rPr>
          <w:rFonts w:ascii="Garamond" w:eastAsiaTheme="minorHAnsi" w:hAnsi="Garamond" w:cs="Times New Roman"/>
          <w:color w:val="000000"/>
          <w:sz w:val="24"/>
          <w:szCs w:val="24"/>
          <w:lang w:val="sq-AL"/>
        </w:rPr>
        <w:t xml:space="preserve"> të nenit 17, të ligjit nr. 79/2021</w:t>
      </w:r>
      <w:r w:rsidR="00E05E26">
        <w:rPr>
          <w:rFonts w:ascii="Garamond" w:eastAsiaTheme="minorHAnsi" w:hAnsi="Garamond" w:cs="Times New Roman"/>
          <w:color w:val="000000"/>
          <w:sz w:val="24"/>
          <w:szCs w:val="24"/>
          <w:lang w:val="sq-AL"/>
        </w:rPr>
        <w:t>,</w:t>
      </w:r>
      <w:r w:rsidRPr="004F00CE">
        <w:rPr>
          <w:rFonts w:ascii="Garamond" w:eastAsiaTheme="minorHAnsi" w:hAnsi="Garamond" w:cs="Times New Roman"/>
          <w:color w:val="000000"/>
          <w:sz w:val="24"/>
          <w:szCs w:val="24"/>
          <w:lang w:val="sq-AL"/>
        </w:rPr>
        <w:t xml:space="preserve"> “Për të huajt”, është sipas aneksit nr. 1.</w:t>
      </w:r>
    </w:p>
    <w:p w14:paraId="0422FF67" w14:textId="5C3ED220" w:rsidR="00D93E92" w:rsidRPr="004F00CE" w:rsidRDefault="00D93E92" w:rsidP="00D93E92">
      <w:pPr>
        <w:autoSpaceDE w:val="0"/>
        <w:autoSpaceDN w:val="0"/>
        <w:adjustRightInd w:val="0"/>
        <w:ind w:firstLine="284"/>
        <w:jc w:val="both"/>
        <w:rPr>
          <w:rFonts w:ascii="Garamond" w:eastAsiaTheme="minorHAnsi" w:hAnsi="Garamond" w:cs="Times New Roman"/>
          <w:bCs/>
          <w:color w:val="000000"/>
          <w:sz w:val="24"/>
          <w:szCs w:val="24"/>
          <w:lang w:val="sq-AL"/>
        </w:rPr>
      </w:pPr>
      <w:r w:rsidRPr="004F00CE">
        <w:rPr>
          <w:rFonts w:ascii="Garamond" w:eastAsiaTheme="minorHAnsi" w:hAnsi="Garamond" w:cs="Times New Roman"/>
          <w:bCs/>
          <w:color w:val="000000"/>
          <w:sz w:val="24"/>
          <w:szCs w:val="24"/>
          <w:lang w:val="sq-AL"/>
        </w:rPr>
        <w:t>III. DISPOZITA TË FUNDIT</w:t>
      </w:r>
    </w:p>
    <w:p w14:paraId="7A8698F6" w14:textId="0EC692D9" w:rsidR="00D93E92" w:rsidRPr="004F00CE" w:rsidRDefault="00D93E92" w:rsidP="00D93E92">
      <w:pPr>
        <w:autoSpaceDE w:val="0"/>
        <w:autoSpaceDN w:val="0"/>
        <w:adjustRightInd w:val="0"/>
        <w:ind w:firstLine="284"/>
        <w:jc w:val="both"/>
        <w:rPr>
          <w:rFonts w:ascii="Garamond" w:eastAsiaTheme="minorHAnsi" w:hAnsi="Garamond" w:cs="Times New Roman"/>
          <w:sz w:val="24"/>
          <w:szCs w:val="24"/>
          <w:lang w:val="sq-AL"/>
        </w:rPr>
      </w:pPr>
      <w:r w:rsidRPr="004F00CE">
        <w:rPr>
          <w:rFonts w:ascii="Garamond" w:eastAsiaTheme="minorHAnsi" w:hAnsi="Garamond" w:cs="Times New Roman"/>
          <w:sz w:val="24"/>
          <w:szCs w:val="24"/>
          <w:lang w:val="sq-AL"/>
        </w:rPr>
        <w:t>1. Për zbatimin e këtij udhëzimi ngarkohen Ministria për Evropën dhe Punët e Jashtme dhe Departamenti për Kufirin dhe Migracionin në Drejtorinë e Përgjithshme të Policisë së Shtetit.</w:t>
      </w:r>
    </w:p>
    <w:p w14:paraId="53C20A65" w14:textId="77777777" w:rsidR="009D71FA" w:rsidRDefault="00D93E92" w:rsidP="009D71FA">
      <w:pPr>
        <w:autoSpaceDE w:val="0"/>
        <w:autoSpaceDN w:val="0"/>
        <w:adjustRightInd w:val="0"/>
        <w:jc w:val="center"/>
        <w:rPr>
          <w:rFonts w:ascii="Garamond" w:eastAsiaTheme="minorHAnsi" w:hAnsi="Garamond" w:cs="Times New Roman"/>
          <w:color w:val="000000"/>
          <w:sz w:val="24"/>
          <w:szCs w:val="24"/>
          <w:lang w:val="sq-AL"/>
        </w:rPr>
      </w:pPr>
      <w:r w:rsidRPr="004F00CE">
        <w:rPr>
          <w:rFonts w:ascii="Garamond" w:eastAsiaTheme="minorHAnsi" w:hAnsi="Garamond" w:cs="Times New Roman"/>
          <w:color w:val="000000"/>
          <w:sz w:val="24"/>
          <w:szCs w:val="24"/>
          <w:lang w:val="sq-AL"/>
        </w:rPr>
        <w:t>2. Ky udhëzim hyn në fuqi menjëherë dhe botohet në Fletoren Zyrtare.</w:t>
      </w:r>
    </w:p>
    <w:p w14:paraId="2C71AAD2" w14:textId="5615B289" w:rsidR="009D71FA" w:rsidRPr="004F00CE" w:rsidRDefault="009D71FA" w:rsidP="009D71FA">
      <w:pPr>
        <w:autoSpaceDE w:val="0"/>
        <w:autoSpaceDN w:val="0"/>
        <w:adjustRightInd w:val="0"/>
        <w:jc w:val="right"/>
        <w:rPr>
          <w:rFonts w:ascii="Garamond" w:eastAsiaTheme="minorHAnsi" w:hAnsi="Garamond" w:cs="Times New Roman"/>
          <w:b/>
          <w:bCs/>
          <w:color w:val="000000"/>
          <w:sz w:val="24"/>
          <w:szCs w:val="24"/>
          <w:lang w:val="sq-AL"/>
        </w:rPr>
      </w:pPr>
      <w:r w:rsidRPr="009D71FA">
        <w:rPr>
          <w:rFonts w:ascii="Garamond" w:eastAsiaTheme="minorHAnsi" w:hAnsi="Garamond" w:cs="Times New Roman"/>
          <w:bCs/>
          <w:color w:val="000000"/>
          <w:sz w:val="24"/>
          <w:szCs w:val="24"/>
          <w:lang w:val="sq-AL"/>
        </w:rPr>
        <w:t xml:space="preserve"> </w:t>
      </w:r>
      <w:r w:rsidRPr="004F00CE">
        <w:rPr>
          <w:rFonts w:ascii="Garamond" w:eastAsiaTheme="minorHAnsi" w:hAnsi="Garamond" w:cs="Times New Roman"/>
          <w:bCs/>
          <w:color w:val="000000"/>
          <w:sz w:val="24"/>
          <w:szCs w:val="24"/>
          <w:lang w:val="sq-AL"/>
        </w:rPr>
        <w:t>MINISTËR I BRENDSHËM</w:t>
      </w:r>
      <w:r w:rsidRPr="004F00CE">
        <w:rPr>
          <w:rFonts w:ascii="Garamond" w:eastAsiaTheme="minorHAnsi" w:hAnsi="Garamond" w:cs="Times New Roman"/>
          <w:b/>
          <w:bCs/>
          <w:color w:val="000000"/>
          <w:sz w:val="24"/>
          <w:szCs w:val="24"/>
          <w:lang w:val="sq-AL"/>
        </w:rPr>
        <w:t xml:space="preserve"> </w:t>
      </w:r>
    </w:p>
    <w:p w14:paraId="196F168D" w14:textId="77777777" w:rsidR="009D71FA" w:rsidRDefault="009D71FA" w:rsidP="009D71FA">
      <w:pPr>
        <w:autoSpaceDE w:val="0"/>
        <w:autoSpaceDN w:val="0"/>
        <w:adjustRightInd w:val="0"/>
        <w:ind w:firstLine="284"/>
        <w:jc w:val="right"/>
        <w:rPr>
          <w:rFonts w:ascii="Garamond" w:eastAsiaTheme="minorHAnsi" w:hAnsi="Garamond" w:cs="Times New Roman"/>
          <w:bCs/>
          <w:color w:val="000000"/>
          <w:sz w:val="24"/>
          <w:szCs w:val="24"/>
          <w:lang w:val="sq-AL"/>
        </w:rPr>
      </w:pPr>
      <w:r w:rsidRPr="004F00CE">
        <w:rPr>
          <w:rFonts w:ascii="Garamond" w:eastAsiaTheme="minorHAnsi" w:hAnsi="Garamond" w:cs="Times New Roman"/>
          <w:b/>
          <w:bCs/>
          <w:color w:val="000000"/>
          <w:sz w:val="24"/>
          <w:szCs w:val="24"/>
          <w:lang w:val="sq-AL"/>
        </w:rPr>
        <w:t>Bledar Çuçi</w:t>
      </w:r>
      <w:r w:rsidRPr="009D71FA">
        <w:rPr>
          <w:rFonts w:ascii="Garamond" w:eastAsiaTheme="minorHAnsi" w:hAnsi="Garamond" w:cs="Times New Roman"/>
          <w:bCs/>
          <w:color w:val="000000"/>
          <w:sz w:val="24"/>
          <w:szCs w:val="24"/>
          <w:lang w:val="sq-AL"/>
        </w:rPr>
        <w:t xml:space="preserve"> </w:t>
      </w:r>
    </w:p>
    <w:p w14:paraId="63233A65" w14:textId="400A6CC4" w:rsidR="009D71FA" w:rsidRPr="009D71FA" w:rsidRDefault="009D71FA" w:rsidP="009D71FA">
      <w:pPr>
        <w:autoSpaceDE w:val="0"/>
        <w:autoSpaceDN w:val="0"/>
        <w:adjustRightInd w:val="0"/>
        <w:ind w:firstLine="284"/>
        <w:jc w:val="right"/>
        <w:rPr>
          <w:rFonts w:ascii="Garamond" w:eastAsiaTheme="minorHAnsi" w:hAnsi="Garamond" w:cs="Times New Roman"/>
          <w:bCs/>
          <w:color w:val="000000"/>
          <w:sz w:val="24"/>
          <w:szCs w:val="24"/>
          <w:lang w:val="sq-AL"/>
        </w:rPr>
      </w:pPr>
      <w:r w:rsidRPr="004F00CE">
        <w:rPr>
          <w:rFonts w:ascii="Garamond" w:eastAsiaTheme="minorHAnsi" w:hAnsi="Garamond" w:cs="Times New Roman"/>
          <w:bCs/>
          <w:color w:val="000000"/>
          <w:sz w:val="24"/>
          <w:szCs w:val="24"/>
          <w:lang w:val="sq-AL"/>
        </w:rPr>
        <w:t>MINISTËR PËR EVROPËN DHE</w:t>
      </w:r>
      <w:r>
        <w:rPr>
          <w:rFonts w:ascii="Garamond" w:eastAsiaTheme="minorHAnsi" w:hAnsi="Garamond" w:cs="Times New Roman"/>
          <w:bCs/>
          <w:color w:val="000000"/>
          <w:sz w:val="24"/>
          <w:szCs w:val="24"/>
          <w:lang w:val="sq-AL"/>
        </w:rPr>
        <w:t xml:space="preserve"> </w:t>
      </w:r>
      <w:r w:rsidRPr="004F00CE">
        <w:rPr>
          <w:rFonts w:ascii="Garamond" w:eastAsiaTheme="minorHAnsi" w:hAnsi="Garamond" w:cs="Times New Roman"/>
          <w:bCs/>
          <w:color w:val="000000"/>
          <w:sz w:val="24"/>
          <w:szCs w:val="24"/>
          <w:lang w:val="sq-AL"/>
        </w:rPr>
        <w:t>PUNËT E JASHTME</w:t>
      </w:r>
      <w:r w:rsidRPr="009D71FA">
        <w:rPr>
          <w:rFonts w:ascii="Garamond" w:eastAsiaTheme="minorHAnsi" w:hAnsi="Garamond" w:cs="Times New Roman"/>
          <w:b/>
          <w:bCs/>
          <w:color w:val="000000"/>
          <w:sz w:val="24"/>
          <w:szCs w:val="24"/>
          <w:lang w:val="sq-AL"/>
        </w:rPr>
        <w:t xml:space="preserve"> </w:t>
      </w:r>
    </w:p>
    <w:p w14:paraId="5AE82B52" w14:textId="59841340" w:rsidR="00D93E92" w:rsidRPr="004F00CE" w:rsidRDefault="009D71FA" w:rsidP="009D71FA">
      <w:pPr>
        <w:autoSpaceDE w:val="0"/>
        <w:autoSpaceDN w:val="0"/>
        <w:adjustRightInd w:val="0"/>
        <w:ind w:firstLine="284"/>
        <w:jc w:val="right"/>
        <w:rPr>
          <w:rFonts w:ascii="Garamond" w:eastAsiaTheme="minorHAnsi" w:hAnsi="Garamond" w:cs="Times New Roman"/>
          <w:sz w:val="24"/>
          <w:szCs w:val="24"/>
          <w:lang w:val="sq-AL"/>
        </w:rPr>
      </w:pPr>
      <w:r w:rsidRPr="004F00CE">
        <w:rPr>
          <w:rFonts w:ascii="Garamond" w:eastAsiaTheme="minorHAnsi" w:hAnsi="Garamond" w:cs="Times New Roman"/>
          <w:b/>
          <w:bCs/>
          <w:color w:val="000000"/>
          <w:sz w:val="24"/>
          <w:szCs w:val="24"/>
          <w:lang w:val="sq-AL"/>
        </w:rPr>
        <w:t>Olta Xhaçka</w:t>
      </w:r>
    </w:p>
    <w:p w14:paraId="17D2DE48" w14:textId="77777777" w:rsidR="00D93E92" w:rsidRPr="004F00CE" w:rsidRDefault="00D93E92" w:rsidP="00D93E92">
      <w:pPr>
        <w:autoSpaceDE w:val="0"/>
        <w:autoSpaceDN w:val="0"/>
        <w:adjustRightInd w:val="0"/>
        <w:ind w:firstLine="284"/>
        <w:jc w:val="both"/>
        <w:rPr>
          <w:rFonts w:ascii="Garamond" w:eastAsiaTheme="minorHAnsi" w:hAnsi="Garamond" w:cs="Times New Roman"/>
          <w:color w:val="000000"/>
          <w:sz w:val="24"/>
          <w:szCs w:val="24"/>
          <w:lang w:val="sq-AL"/>
        </w:rPr>
      </w:pPr>
      <w:bookmarkStart w:id="0" w:name="_GoBack"/>
      <w:bookmarkEnd w:id="0"/>
    </w:p>
    <w:p w14:paraId="178E281F" w14:textId="10510402" w:rsidR="001122C4" w:rsidRPr="004F00CE" w:rsidRDefault="00406A00" w:rsidP="00406A00">
      <w:pPr>
        <w:ind w:firstLine="284"/>
        <w:jc w:val="both"/>
        <w:rPr>
          <w:rFonts w:ascii="Garamond" w:eastAsia="Times New Roman" w:hAnsi="Garamond" w:cs="Times New Roman"/>
          <w:b/>
          <w:color w:val="000000"/>
          <w:sz w:val="24"/>
          <w:szCs w:val="24"/>
          <w:lang w:val="sq-AL"/>
        </w:rPr>
      </w:pPr>
      <w:r w:rsidRPr="004F00CE">
        <w:rPr>
          <w:rFonts w:ascii="Garamond" w:eastAsia="Times New Roman" w:hAnsi="Garamond" w:cs="Times New Roman"/>
          <w:b/>
          <w:noProof/>
          <w:color w:val="000000"/>
          <w:sz w:val="24"/>
          <w:szCs w:val="24"/>
        </w:rPr>
        <w:drawing>
          <wp:inline distT="0" distB="0" distL="0" distR="0" wp14:anchorId="0F137E3F" wp14:editId="3ADACB9D">
            <wp:extent cx="5940911" cy="7373722"/>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ëzim i përbashkët MEPJ dhe MB- Ftesa OK.jpg"/>
                    <pic:cNvPicPr/>
                  </pic:nvPicPr>
                  <pic:blipFill rotWithShape="1">
                    <a:blip r:embed="rId13" cstate="print">
                      <a:extLst>
                        <a:ext uri="{28A0092B-C50C-407E-A947-70E740481C1C}">
                          <a14:useLocalDpi xmlns:a14="http://schemas.microsoft.com/office/drawing/2010/main" val="0"/>
                        </a:ext>
                      </a:extLst>
                    </a:blip>
                    <a:srcRect t="4091"/>
                    <a:stretch/>
                  </pic:blipFill>
                  <pic:spPr bwMode="auto">
                    <a:xfrm>
                      <a:off x="0" y="0"/>
                      <a:ext cx="5943600" cy="7377060"/>
                    </a:xfrm>
                    <a:prstGeom prst="rect">
                      <a:avLst/>
                    </a:prstGeom>
                    <a:ln>
                      <a:noFill/>
                    </a:ln>
                    <a:extLst>
                      <a:ext uri="{53640926-AAD7-44D8-BBD7-CCE9431645EC}">
                        <a14:shadowObscured xmlns:a14="http://schemas.microsoft.com/office/drawing/2010/main"/>
                      </a:ext>
                    </a:extLst>
                  </pic:spPr>
                </pic:pic>
              </a:graphicData>
            </a:graphic>
          </wp:inline>
        </w:drawing>
      </w:r>
    </w:p>
    <w:sectPr w:rsidR="001122C4" w:rsidRPr="004F00CE" w:rsidSect="00815C1B">
      <w:footerReference w:type="default" r:id="rId14"/>
      <w:pgSz w:w="12240" w:h="15840"/>
      <w:pgMar w:top="1080" w:right="144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A0BB0" w14:textId="77777777" w:rsidR="009D71FA" w:rsidRDefault="009D71FA" w:rsidP="00CE5A5E">
      <w:r>
        <w:separator/>
      </w:r>
    </w:p>
  </w:endnote>
  <w:endnote w:type="continuationSeparator" w:id="0">
    <w:p w14:paraId="07119465" w14:textId="77777777" w:rsidR="009D71FA" w:rsidRDefault="009D71FA" w:rsidP="00CE5A5E">
      <w:r>
        <w:continuationSeparator/>
      </w:r>
    </w:p>
  </w:endnote>
  <w:endnote w:type="continuationNotice" w:id="1">
    <w:p w14:paraId="09B1AD89" w14:textId="77777777" w:rsidR="009D71FA" w:rsidRDefault="009D7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D5BC2" w14:textId="5CB145E3" w:rsidR="009D71FA" w:rsidRDefault="009D71FA">
    <w:pPr>
      <w:pStyle w:val="Footer"/>
      <w:jc w:val="right"/>
    </w:pPr>
  </w:p>
  <w:p w14:paraId="1788FCE1" w14:textId="77777777" w:rsidR="009D71FA" w:rsidRDefault="009D71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91DEFB" w14:textId="77777777" w:rsidR="009D71FA" w:rsidRDefault="009D71FA" w:rsidP="00CE5A5E">
      <w:r>
        <w:separator/>
      </w:r>
    </w:p>
  </w:footnote>
  <w:footnote w:type="continuationSeparator" w:id="0">
    <w:p w14:paraId="47FDCCDD" w14:textId="77777777" w:rsidR="009D71FA" w:rsidRDefault="009D71FA" w:rsidP="00CE5A5E">
      <w:r>
        <w:continuationSeparator/>
      </w:r>
    </w:p>
  </w:footnote>
  <w:footnote w:type="continuationNotice" w:id="1">
    <w:p w14:paraId="66566E3A" w14:textId="77777777" w:rsidR="009D71FA" w:rsidRDefault="009D71F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hybridMultilevel"/>
    <w:tmpl w:val="51B4E29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5096766"/>
    <w:multiLevelType w:val="hybridMultilevel"/>
    <w:tmpl w:val="A7A4C9A6"/>
    <w:lvl w:ilvl="0" w:tplc="283273A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F0292"/>
    <w:multiLevelType w:val="hybridMultilevel"/>
    <w:tmpl w:val="779C3B30"/>
    <w:lvl w:ilvl="0" w:tplc="6C2E8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E24817"/>
    <w:multiLevelType w:val="hybridMultilevel"/>
    <w:tmpl w:val="D52E04DE"/>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15:restartNumberingAfterBreak="0">
    <w:nsid w:val="2F5100F5"/>
    <w:multiLevelType w:val="hybridMultilevel"/>
    <w:tmpl w:val="E146F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DC5A04"/>
    <w:multiLevelType w:val="hybridMultilevel"/>
    <w:tmpl w:val="185A75C0"/>
    <w:lvl w:ilvl="0" w:tplc="04090011">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6" w15:restartNumberingAfterBreak="0">
    <w:nsid w:val="33411505"/>
    <w:multiLevelType w:val="hybridMultilevel"/>
    <w:tmpl w:val="12C8D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148CA"/>
    <w:multiLevelType w:val="hybridMultilevel"/>
    <w:tmpl w:val="3E8A8E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8AD0A03"/>
    <w:multiLevelType w:val="hybridMultilevel"/>
    <w:tmpl w:val="7450A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F02365"/>
    <w:multiLevelType w:val="hybridMultilevel"/>
    <w:tmpl w:val="037C16D0"/>
    <w:lvl w:ilvl="0" w:tplc="984C20F4">
      <w:start w:val="1"/>
      <w:numFmt w:val="upperRoman"/>
      <w:lvlText w:val="%1."/>
      <w:lvlJc w:val="left"/>
      <w:pPr>
        <w:ind w:left="1263" w:hanging="720"/>
      </w:pPr>
      <w:rPr>
        <w:rFonts w:hint="default"/>
      </w:rPr>
    </w:lvl>
    <w:lvl w:ilvl="1" w:tplc="04090019" w:tentative="1">
      <w:start w:val="1"/>
      <w:numFmt w:val="lowerLetter"/>
      <w:lvlText w:val="%2."/>
      <w:lvlJc w:val="left"/>
      <w:pPr>
        <w:ind w:left="1623" w:hanging="360"/>
      </w:pPr>
    </w:lvl>
    <w:lvl w:ilvl="2" w:tplc="0409001B" w:tentative="1">
      <w:start w:val="1"/>
      <w:numFmt w:val="lowerRoman"/>
      <w:lvlText w:val="%3."/>
      <w:lvlJc w:val="right"/>
      <w:pPr>
        <w:ind w:left="2343" w:hanging="180"/>
      </w:pPr>
    </w:lvl>
    <w:lvl w:ilvl="3" w:tplc="0409000F" w:tentative="1">
      <w:start w:val="1"/>
      <w:numFmt w:val="decimal"/>
      <w:lvlText w:val="%4."/>
      <w:lvlJc w:val="left"/>
      <w:pPr>
        <w:ind w:left="3063" w:hanging="360"/>
      </w:pPr>
    </w:lvl>
    <w:lvl w:ilvl="4" w:tplc="04090019" w:tentative="1">
      <w:start w:val="1"/>
      <w:numFmt w:val="lowerLetter"/>
      <w:lvlText w:val="%5."/>
      <w:lvlJc w:val="left"/>
      <w:pPr>
        <w:ind w:left="3783" w:hanging="360"/>
      </w:pPr>
    </w:lvl>
    <w:lvl w:ilvl="5" w:tplc="0409001B" w:tentative="1">
      <w:start w:val="1"/>
      <w:numFmt w:val="lowerRoman"/>
      <w:lvlText w:val="%6."/>
      <w:lvlJc w:val="right"/>
      <w:pPr>
        <w:ind w:left="4503" w:hanging="180"/>
      </w:pPr>
    </w:lvl>
    <w:lvl w:ilvl="6" w:tplc="0409000F" w:tentative="1">
      <w:start w:val="1"/>
      <w:numFmt w:val="decimal"/>
      <w:lvlText w:val="%7."/>
      <w:lvlJc w:val="left"/>
      <w:pPr>
        <w:ind w:left="5223" w:hanging="360"/>
      </w:pPr>
    </w:lvl>
    <w:lvl w:ilvl="7" w:tplc="04090019" w:tentative="1">
      <w:start w:val="1"/>
      <w:numFmt w:val="lowerLetter"/>
      <w:lvlText w:val="%8."/>
      <w:lvlJc w:val="left"/>
      <w:pPr>
        <w:ind w:left="5943" w:hanging="360"/>
      </w:pPr>
    </w:lvl>
    <w:lvl w:ilvl="8" w:tplc="0409001B" w:tentative="1">
      <w:start w:val="1"/>
      <w:numFmt w:val="lowerRoman"/>
      <w:lvlText w:val="%9."/>
      <w:lvlJc w:val="right"/>
      <w:pPr>
        <w:ind w:left="6663" w:hanging="180"/>
      </w:pPr>
    </w:lvl>
  </w:abstractNum>
  <w:abstractNum w:abstractNumId="10" w15:restartNumberingAfterBreak="0">
    <w:nsid w:val="64CF1436"/>
    <w:multiLevelType w:val="hybridMultilevel"/>
    <w:tmpl w:val="70D039C8"/>
    <w:lvl w:ilvl="0" w:tplc="3AF2A8E8">
      <w:start w:val="1"/>
      <w:numFmt w:val="decimal"/>
      <w:lvlText w:val="%1."/>
      <w:lvlJc w:val="left"/>
      <w:pPr>
        <w:ind w:left="903" w:hanging="360"/>
      </w:pPr>
      <w:rPr>
        <w:rFonts w:hint="default"/>
      </w:rPr>
    </w:lvl>
    <w:lvl w:ilvl="1" w:tplc="04090019" w:tentative="1">
      <w:start w:val="1"/>
      <w:numFmt w:val="lowerLetter"/>
      <w:lvlText w:val="%2."/>
      <w:lvlJc w:val="left"/>
      <w:pPr>
        <w:ind w:left="1623" w:hanging="360"/>
      </w:pPr>
    </w:lvl>
    <w:lvl w:ilvl="2" w:tplc="0409001B" w:tentative="1">
      <w:start w:val="1"/>
      <w:numFmt w:val="lowerRoman"/>
      <w:lvlText w:val="%3."/>
      <w:lvlJc w:val="right"/>
      <w:pPr>
        <w:ind w:left="2343" w:hanging="180"/>
      </w:pPr>
    </w:lvl>
    <w:lvl w:ilvl="3" w:tplc="0409000F" w:tentative="1">
      <w:start w:val="1"/>
      <w:numFmt w:val="decimal"/>
      <w:lvlText w:val="%4."/>
      <w:lvlJc w:val="left"/>
      <w:pPr>
        <w:ind w:left="3063" w:hanging="360"/>
      </w:pPr>
    </w:lvl>
    <w:lvl w:ilvl="4" w:tplc="04090019" w:tentative="1">
      <w:start w:val="1"/>
      <w:numFmt w:val="lowerLetter"/>
      <w:lvlText w:val="%5."/>
      <w:lvlJc w:val="left"/>
      <w:pPr>
        <w:ind w:left="3783" w:hanging="360"/>
      </w:pPr>
    </w:lvl>
    <w:lvl w:ilvl="5" w:tplc="0409001B" w:tentative="1">
      <w:start w:val="1"/>
      <w:numFmt w:val="lowerRoman"/>
      <w:lvlText w:val="%6."/>
      <w:lvlJc w:val="right"/>
      <w:pPr>
        <w:ind w:left="4503" w:hanging="180"/>
      </w:pPr>
    </w:lvl>
    <w:lvl w:ilvl="6" w:tplc="0409000F" w:tentative="1">
      <w:start w:val="1"/>
      <w:numFmt w:val="decimal"/>
      <w:lvlText w:val="%7."/>
      <w:lvlJc w:val="left"/>
      <w:pPr>
        <w:ind w:left="5223" w:hanging="360"/>
      </w:pPr>
    </w:lvl>
    <w:lvl w:ilvl="7" w:tplc="04090019" w:tentative="1">
      <w:start w:val="1"/>
      <w:numFmt w:val="lowerLetter"/>
      <w:lvlText w:val="%8."/>
      <w:lvlJc w:val="left"/>
      <w:pPr>
        <w:ind w:left="5943" w:hanging="360"/>
      </w:pPr>
    </w:lvl>
    <w:lvl w:ilvl="8" w:tplc="0409001B" w:tentative="1">
      <w:start w:val="1"/>
      <w:numFmt w:val="lowerRoman"/>
      <w:lvlText w:val="%9."/>
      <w:lvlJc w:val="right"/>
      <w:pPr>
        <w:ind w:left="6663" w:hanging="180"/>
      </w:pPr>
    </w:lvl>
  </w:abstractNum>
  <w:abstractNum w:abstractNumId="11" w15:restartNumberingAfterBreak="0">
    <w:nsid w:val="667308FB"/>
    <w:multiLevelType w:val="hybridMultilevel"/>
    <w:tmpl w:val="057E0716"/>
    <w:lvl w:ilvl="0" w:tplc="FFA27D30">
      <w:start w:val="1"/>
      <w:numFmt w:val="upperRoman"/>
      <w:lvlText w:val="%1."/>
      <w:lvlJc w:val="left"/>
      <w:pPr>
        <w:ind w:left="52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F137FE"/>
    <w:multiLevelType w:val="hybridMultilevel"/>
    <w:tmpl w:val="093C8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D94046"/>
    <w:multiLevelType w:val="hybridMultilevel"/>
    <w:tmpl w:val="C6788426"/>
    <w:lvl w:ilvl="0" w:tplc="FA287D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F72A57"/>
    <w:multiLevelType w:val="hybridMultilevel"/>
    <w:tmpl w:val="3154BC7C"/>
    <w:lvl w:ilvl="0" w:tplc="FFFFFFFF">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num w:numId="1">
    <w:abstractNumId w:val="0"/>
  </w:num>
  <w:num w:numId="2">
    <w:abstractNumId w:val="6"/>
  </w:num>
  <w:num w:numId="3">
    <w:abstractNumId w:val="9"/>
  </w:num>
  <w:num w:numId="4">
    <w:abstractNumId w:val="4"/>
  </w:num>
  <w:num w:numId="5">
    <w:abstractNumId w:val="7"/>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1"/>
  </w:num>
  <w:num w:numId="11">
    <w:abstractNumId w:val="2"/>
  </w:num>
  <w:num w:numId="12">
    <w:abstractNumId w:val="13"/>
  </w:num>
  <w:num w:numId="13">
    <w:abstractNumId w:val="12"/>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BF7"/>
    <w:rsid w:val="000222A4"/>
    <w:rsid w:val="000465D1"/>
    <w:rsid w:val="00074F2E"/>
    <w:rsid w:val="000A042A"/>
    <w:rsid w:val="000B3173"/>
    <w:rsid w:val="000B4507"/>
    <w:rsid w:val="00106CD0"/>
    <w:rsid w:val="00110685"/>
    <w:rsid w:val="001122C4"/>
    <w:rsid w:val="00120B66"/>
    <w:rsid w:val="001A1101"/>
    <w:rsid w:val="001B790A"/>
    <w:rsid w:val="002049F0"/>
    <w:rsid w:val="00207830"/>
    <w:rsid w:val="00266405"/>
    <w:rsid w:val="0031156F"/>
    <w:rsid w:val="00331B6E"/>
    <w:rsid w:val="00335ACD"/>
    <w:rsid w:val="0036398D"/>
    <w:rsid w:val="003A73B6"/>
    <w:rsid w:val="003F27F7"/>
    <w:rsid w:val="00406A00"/>
    <w:rsid w:val="004400ED"/>
    <w:rsid w:val="004611F8"/>
    <w:rsid w:val="00467F17"/>
    <w:rsid w:val="004A423D"/>
    <w:rsid w:val="004F00CE"/>
    <w:rsid w:val="00553BDD"/>
    <w:rsid w:val="00574DEE"/>
    <w:rsid w:val="00587D6D"/>
    <w:rsid w:val="005A79FA"/>
    <w:rsid w:val="005B0374"/>
    <w:rsid w:val="005B789E"/>
    <w:rsid w:val="006349A3"/>
    <w:rsid w:val="0066189A"/>
    <w:rsid w:val="0067105A"/>
    <w:rsid w:val="006A7B55"/>
    <w:rsid w:val="006B282B"/>
    <w:rsid w:val="006B7D9A"/>
    <w:rsid w:val="006C1AEC"/>
    <w:rsid w:val="00701E33"/>
    <w:rsid w:val="00717118"/>
    <w:rsid w:val="00743F9A"/>
    <w:rsid w:val="00744BC5"/>
    <w:rsid w:val="00744DE9"/>
    <w:rsid w:val="00782E89"/>
    <w:rsid w:val="007A4A25"/>
    <w:rsid w:val="007E4F05"/>
    <w:rsid w:val="00801522"/>
    <w:rsid w:val="00815C1B"/>
    <w:rsid w:val="00824A90"/>
    <w:rsid w:val="00837BF7"/>
    <w:rsid w:val="00841319"/>
    <w:rsid w:val="00870A7A"/>
    <w:rsid w:val="00873633"/>
    <w:rsid w:val="008D475A"/>
    <w:rsid w:val="008D570C"/>
    <w:rsid w:val="00924449"/>
    <w:rsid w:val="00957051"/>
    <w:rsid w:val="00991417"/>
    <w:rsid w:val="009D12E1"/>
    <w:rsid w:val="009D71FA"/>
    <w:rsid w:val="00A01152"/>
    <w:rsid w:val="00A66AAA"/>
    <w:rsid w:val="00AA09C4"/>
    <w:rsid w:val="00AC722E"/>
    <w:rsid w:val="00AD3376"/>
    <w:rsid w:val="00AD7EA8"/>
    <w:rsid w:val="00AE195C"/>
    <w:rsid w:val="00B35A7D"/>
    <w:rsid w:val="00B440A7"/>
    <w:rsid w:val="00B9458E"/>
    <w:rsid w:val="00BB4130"/>
    <w:rsid w:val="00BB75E7"/>
    <w:rsid w:val="00BC30F3"/>
    <w:rsid w:val="00C11649"/>
    <w:rsid w:val="00C13891"/>
    <w:rsid w:val="00C16902"/>
    <w:rsid w:val="00CA41CF"/>
    <w:rsid w:val="00CE41B6"/>
    <w:rsid w:val="00CE5A5E"/>
    <w:rsid w:val="00CF0D67"/>
    <w:rsid w:val="00D13BF1"/>
    <w:rsid w:val="00D207C2"/>
    <w:rsid w:val="00D367DA"/>
    <w:rsid w:val="00D509FA"/>
    <w:rsid w:val="00D5155E"/>
    <w:rsid w:val="00D52D13"/>
    <w:rsid w:val="00D7330F"/>
    <w:rsid w:val="00D80AD0"/>
    <w:rsid w:val="00D912EC"/>
    <w:rsid w:val="00D93E92"/>
    <w:rsid w:val="00D957ED"/>
    <w:rsid w:val="00DF2E5A"/>
    <w:rsid w:val="00E00180"/>
    <w:rsid w:val="00E02635"/>
    <w:rsid w:val="00E05E26"/>
    <w:rsid w:val="00EB083F"/>
    <w:rsid w:val="00EE7160"/>
    <w:rsid w:val="00F34882"/>
    <w:rsid w:val="00F36C4C"/>
    <w:rsid w:val="00F77500"/>
    <w:rsid w:val="00F823F7"/>
    <w:rsid w:val="00F8680E"/>
    <w:rsid w:val="00FA7016"/>
    <w:rsid w:val="00FD4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9FC0"/>
  <w15:docId w15:val="{21F21964-1C73-4B80-9D43-FC8396999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BF7"/>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BF7"/>
    <w:pPr>
      <w:ind w:left="720"/>
    </w:pPr>
  </w:style>
  <w:style w:type="character" w:styleId="Hyperlink">
    <w:name w:val="Hyperlink"/>
    <w:basedOn w:val="DefaultParagraphFont"/>
    <w:uiPriority w:val="99"/>
    <w:unhideWhenUsed/>
    <w:rsid w:val="001122C4"/>
    <w:rPr>
      <w:color w:val="0563C1" w:themeColor="hyperlink"/>
      <w:u w:val="single"/>
    </w:rPr>
  </w:style>
  <w:style w:type="character" w:styleId="CommentReference">
    <w:name w:val="annotation reference"/>
    <w:basedOn w:val="DefaultParagraphFont"/>
    <w:uiPriority w:val="99"/>
    <w:semiHidden/>
    <w:unhideWhenUsed/>
    <w:rsid w:val="00782E89"/>
    <w:rPr>
      <w:sz w:val="16"/>
      <w:szCs w:val="16"/>
    </w:rPr>
  </w:style>
  <w:style w:type="paragraph" w:styleId="CommentText">
    <w:name w:val="annotation text"/>
    <w:basedOn w:val="Normal"/>
    <w:link w:val="CommentTextChar"/>
    <w:uiPriority w:val="99"/>
    <w:semiHidden/>
    <w:unhideWhenUsed/>
    <w:rsid w:val="00782E89"/>
  </w:style>
  <w:style w:type="character" w:customStyle="1" w:styleId="CommentTextChar">
    <w:name w:val="Comment Text Char"/>
    <w:basedOn w:val="DefaultParagraphFont"/>
    <w:link w:val="CommentText"/>
    <w:uiPriority w:val="99"/>
    <w:semiHidden/>
    <w:rsid w:val="00782E89"/>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782E89"/>
    <w:rPr>
      <w:b/>
      <w:bCs/>
    </w:rPr>
  </w:style>
  <w:style w:type="character" w:customStyle="1" w:styleId="CommentSubjectChar">
    <w:name w:val="Comment Subject Char"/>
    <w:basedOn w:val="CommentTextChar"/>
    <w:link w:val="CommentSubject"/>
    <w:uiPriority w:val="99"/>
    <w:semiHidden/>
    <w:rsid w:val="00782E89"/>
    <w:rPr>
      <w:rFonts w:ascii="Calibri" w:eastAsia="Calibri" w:hAnsi="Calibri" w:cs="Arial"/>
      <w:b/>
      <w:bCs/>
      <w:sz w:val="20"/>
      <w:szCs w:val="20"/>
    </w:rPr>
  </w:style>
  <w:style w:type="paragraph" w:styleId="BalloonText">
    <w:name w:val="Balloon Text"/>
    <w:basedOn w:val="Normal"/>
    <w:link w:val="BalloonTextChar"/>
    <w:uiPriority w:val="99"/>
    <w:semiHidden/>
    <w:unhideWhenUsed/>
    <w:rsid w:val="00782E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E89"/>
    <w:rPr>
      <w:rFonts w:ascii="Segoe UI" w:eastAsia="Calibri" w:hAnsi="Segoe UI" w:cs="Segoe UI"/>
      <w:sz w:val="18"/>
      <w:szCs w:val="18"/>
    </w:rPr>
  </w:style>
  <w:style w:type="paragraph" w:styleId="Header">
    <w:name w:val="header"/>
    <w:basedOn w:val="Normal"/>
    <w:link w:val="HeaderChar"/>
    <w:uiPriority w:val="99"/>
    <w:unhideWhenUsed/>
    <w:rsid w:val="00CE5A5E"/>
    <w:pPr>
      <w:tabs>
        <w:tab w:val="center" w:pos="4680"/>
        <w:tab w:val="right" w:pos="9360"/>
      </w:tabs>
    </w:pPr>
  </w:style>
  <w:style w:type="character" w:customStyle="1" w:styleId="HeaderChar">
    <w:name w:val="Header Char"/>
    <w:basedOn w:val="DefaultParagraphFont"/>
    <w:link w:val="Header"/>
    <w:uiPriority w:val="99"/>
    <w:rsid w:val="00CE5A5E"/>
    <w:rPr>
      <w:rFonts w:ascii="Calibri" w:eastAsia="Calibri" w:hAnsi="Calibri" w:cs="Arial"/>
      <w:sz w:val="20"/>
      <w:szCs w:val="20"/>
    </w:rPr>
  </w:style>
  <w:style w:type="paragraph" w:styleId="Footer">
    <w:name w:val="footer"/>
    <w:basedOn w:val="Normal"/>
    <w:link w:val="FooterChar"/>
    <w:uiPriority w:val="99"/>
    <w:unhideWhenUsed/>
    <w:rsid w:val="00CE5A5E"/>
    <w:pPr>
      <w:tabs>
        <w:tab w:val="center" w:pos="4680"/>
        <w:tab w:val="right" w:pos="9360"/>
      </w:tabs>
    </w:pPr>
  </w:style>
  <w:style w:type="character" w:customStyle="1" w:styleId="FooterChar">
    <w:name w:val="Footer Char"/>
    <w:basedOn w:val="DefaultParagraphFont"/>
    <w:link w:val="Footer"/>
    <w:uiPriority w:val="99"/>
    <w:rsid w:val="00CE5A5E"/>
    <w:rPr>
      <w:rFonts w:ascii="Calibri" w:eastAsia="Calibri" w:hAnsi="Calibri" w:cs="Arial"/>
      <w:sz w:val="20"/>
      <w:szCs w:val="20"/>
    </w:rPr>
  </w:style>
  <w:style w:type="table" w:styleId="TableGrid">
    <w:name w:val="Table Grid"/>
    <w:basedOn w:val="TableNormal"/>
    <w:uiPriority w:val="39"/>
    <w:rsid w:val="00D93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9FC1127FC47419D8CE210F2C93030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227</Nr_x002e__x0020_akti>
    <Data_x0020_e_x0020_Krijimit xmlns="0e656187-b300-4fb0-8bf4-3a50f872073c">2022-12-19T14:57:26Z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2022-12-18T23:00:00Z</Date_x0020_protokolli>
    <Titulli xmlns="0e656187-b300-4fb0-8bf4-3a50f872073c">Mbi bashkëpunimin e strukturave të Ministrisë për Evropën dhe Punët e Jashtme dhe Ministrisë së Brendshme për procedurat e pajisjes me ftesë paraprake për të huajt</Titulli>
    <Modifikuesi xmlns="0e656187-b300-4fb0-8bf4-3a50f872073c">jorina.kryeziu</Modifikuesi>
    <Nr_x002e__x0020_prot_x0020_QBZ xmlns="0e656187-b300-4fb0-8bf4-3a50f872073c">1865/1</Nr_x002e__x0020_prot_x0020_QBZ>
    <Data_x0020_e_x0020_Modifikimit xmlns="0e656187-b300-4fb0-8bf4-3a50f872073c">2022-12-20T12:21:43Z</Data_x0020_e_x0020_Modifikimit>
    <Dekretuar xmlns="0e656187-b300-4fb0-8bf4-3a50f872073c">false</Dekretuar>
    <Data xmlns="0e656187-b300-4fb0-8bf4-3a50f872073c">2022-11-24T23:00:00Z</Data>
    <Nr_x002e__x0020_protokolli_x0020_i_x0020_aktit xmlns="0e656187-b300-4fb0-8bf4-3a50f872073c">7982/19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9FC1127FC47419D8CE210F2C93030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E99D4-F722-4045-9E8E-463C6613E36E}">
  <ds:schemaRefs>
    <ds:schemaRef ds:uri="http://schemas.microsoft.com/sharepoint/v3/contenttype/forms"/>
  </ds:schemaRefs>
</ds:datastoreItem>
</file>

<file path=customXml/itemProps2.xml><?xml version="1.0" encoding="utf-8"?>
<ds:datastoreItem xmlns:ds="http://schemas.openxmlformats.org/officeDocument/2006/customXml" ds:itemID="{807686AC-CBA6-4DCE-B429-FCD899FF7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ACE4CD-4145-4DA1-91A1-982D56DB86F5}">
  <ds:schemaRefs>
    <ds:schemaRef ds:uri="http://schemas.microsoft.com/office/2006/documentManagement/types"/>
    <ds:schemaRef ds:uri="http://purl.org/dc/dcmitype/"/>
    <ds:schemaRef ds:uri="http://schemas.openxmlformats.org/package/2006/metadata/core-properties"/>
    <ds:schemaRef ds:uri="http://purl.org/dc/elements/1.1/"/>
    <ds:schemaRef ds:uri="http://www.w3.org/XML/1998/namespace"/>
    <ds:schemaRef ds:uri="http://purl.org/dc/term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F35B6E28-C085-4782-BA2E-F71E3CF4A36D}">
  <ds:schemaRefs>
    <ds:schemaRef ds:uri="http://schemas.microsoft.com/sharepoint/v3/contenttype/forms"/>
  </ds:schemaRefs>
</ds:datastoreItem>
</file>

<file path=customXml/itemProps5.xml><?xml version="1.0" encoding="utf-8"?>
<ds:datastoreItem xmlns:ds="http://schemas.openxmlformats.org/officeDocument/2006/customXml" ds:itemID="{452B1975-7523-4DCB-B2B3-1ADEE6546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C55FEE-4BBD-443B-8BBD-4BAD21077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Mbi bashkëpunimin e strukturave të Ministrisë për Evropën dhe Punët e Jashtme dhe Ministrisë së Brendshme për procedurat e pajisjes me ftesë paraprake për të huajt</vt:lpstr>
    </vt:vector>
  </TitlesOfParts>
  <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bashkëpunimin e strukturave të Ministrisë për Evropën dhe Punët e Jashtme dhe Ministrisë së Brendshme për procedurat e pajisjes me ftesë paraprake për të huajt</dc:title>
  <dc:creator>Flutura Nikoçi</dc:creator>
  <cp:lastModifiedBy>Entela Suli</cp:lastModifiedBy>
  <cp:revision>12</cp:revision>
  <dcterms:created xsi:type="dcterms:W3CDTF">2022-12-20T11:07:00Z</dcterms:created>
  <dcterms:modified xsi:type="dcterms:W3CDTF">2022-12-21T08:58:00Z</dcterms:modified>
</cp:coreProperties>
</file>