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99F26" w14:textId="77777777" w:rsidR="007A753C" w:rsidRPr="0001424F" w:rsidRDefault="007A753C" w:rsidP="007A753C">
      <w:pPr>
        <w:spacing w:after="0" w:line="240" w:lineRule="auto"/>
        <w:ind w:firstLine="284"/>
        <w:jc w:val="center"/>
        <w:rPr>
          <w:rFonts w:ascii="Garamond" w:eastAsia="Calibri" w:hAnsi="Garamond" w:cs="Times New Roman"/>
          <w:b/>
          <w:sz w:val="24"/>
          <w:szCs w:val="24"/>
        </w:rPr>
      </w:pPr>
      <w:r w:rsidRPr="0001424F">
        <w:rPr>
          <w:rFonts w:ascii="Garamond" w:eastAsia="Calibri" w:hAnsi="Garamond" w:cs="Times New Roman"/>
          <w:b/>
          <w:sz w:val="24"/>
          <w:szCs w:val="24"/>
        </w:rPr>
        <w:t>UDHËZIM</w:t>
      </w:r>
    </w:p>
    <w:p w14:paraId="20446B18" w14:textId="289B5B88" w:rsidR="007A753C" w:rsidRPr="0001424F" w:rsidRDefault="007A753C" w:rsidP="007A753C">
      <w:pPr>
        <w:spacing w:after="0" w:line="240" w:lineRule="auto"/>
        <w:ind w:firstLine="284"/>
        <w:jc w:val="center"/>
        <w:rPr>
          <w:rFonts w:ascii="Garamond" w:eastAsia="Calibri" w:hAnsi="Garamond" w:cs="Times New Roman"/>
          <w:b/>
          <w:sz w:val="24"/>
          <w:szCs w:val="24"/>
        </w:rPr>
      </w:pPr>
      <w:r w:rsidRPr="0001424F">
        <w:rPr>
          <w:rFonts w:ascii="Garamond" w:eastAsia="Calibri" w:hAnsi="Garamond" w:cs="Times New Roman"/>
          <w:b/>
          <w:sz w:val="24"/>
          <w:szCs w:val="24"/>
        </w:rPr>
        <w:t xml:space="preserve">Nr. </w:t>
      </w:r>
      <w:r>
        <w:rPr>
          <w:rFonts w:ascii="Garamond" w:eastAsia="Calibri" w:hAnsi="Garamond" w:cs="Times New Roman"/>
          <w:b/>
          <w:sz w:val="24"/>
          <w:szCs w:val="24"/>
        </w:rPr>
        <w:t>95</w:t>
      </w:r>
      <w:r w:rsidRPr="0001424F">
        <w:rPr>
          <w:rFonts w:ascii="Garamond" w:eastAsia="Calibri" w:hAnsi="Garamond" w:cs="Times New Roman"/>
          <w:b/>
          <w:sz w:val="24"/>
          <w:szCs w:val="24"/>
        </w:rPr>
        <w:t xml:space="preserve">, </w:t>
      </w:r>
      <w:r>
        <w:rPr>
          <w:rFonts w:ascii="Garamond" w:eastAsia="Calibri" w:hAnsi="Garamond" w:cs="Times New Roman"/>
          <w:b/>
          <w:sz w:val="24"/>
          <w:szCs w:val="24"/>
        </w:rPr>
        <w:t>d</w:t>
      </w:r>
      <w:r w:rsidRPr="0001424F">
        <w:rPr>
          <w:rFonts w:ascii="Garamond" w:eastAsia="Calibri" w:hAnsi="Garamond" w:cs="Times New Roman"/>
          <w:b/>
          <w:sz w:val="24"/>
          <w:szCs w:val="24"/>
        </w:rPr>
        <w:t xml:space="preserve">atë </w:t>
      </w:r>
      <w:r>
        <w:rPr>
          <w:rFonts w:ascii="Garamond" w:eastAsia="Calibri" w:hAnsi="Garamond" w:cs="Times New Roman"/>
          <w:b/>
          <w:sz w:val="24"/>
          <w:szCs w:val="24"/>
        </w:rPr>
        <w:t>30.5.</w:t>
      </w:r>
      <w:r w:rsidRPr="0001424F">
        <w:rPr>
          <w:rFonts w:ascii="Garamond" w:eastAsia="Calibri" w:hAnsi="Garamond" w:cs="Times New Roman"/>
          <w:b/>
          <w:sz w:val="24"/>
          <w:szCs w:val="24"/>
        </w:rPr>
        <w:t>2024</w:t>
      </w:r>
    </w:p>
    <w:p w14:paraId="6B134B5E" w14:textId="77777777" w:rsidR="007A753C" w:rsidRPr="0001424F" w:rsidRDefault="007A753C" w:rsidP="007A753C">
      <w:pPr>
        <w:spacing w:after="0" w:line="240" w:lineRule="auto"/>
        <w:ind w:firstLine="284"/>
        <w:jc w:val="center"/>
        <w:rPr>
          <w:rFonts w:ascii="Garamond" w:eastAsia="Calibri" w:hAnsi="Garamond" w:cs="Times New Roman"/>
          <w:b/>
          <w:sz w:val="24"/>
          <w:szCs w:val="24"/>
        </w:rPr>
      </w:pPr>
    </w:p>
    <w:p w14:paraId="5E3F429E" w14:textId="77777777" w:rsidR="007A753C" w:rsidRPr="0001424F" w:rsidRDefault="007A753C" w:rsidP="007A753C">
      <w:pPr>
        <w:spacing w:after="0" w:line="240" w:lineRule="auto"/>
        <w:ind w:firstLine="284"/>
        <w:jc w:val="center"/>
        <w:rPr>
          <w:rFonts w:ascii="Garamond" w:eastAsia="Calibri" w:hAnsi="Garamond" w:cs="Times New Roman"/>
          <w:b/>
          <w:sz w:val="24"/>
          <w:szCs w:val="24"/>
        </w:rPr>
      </w:pPr>
      <w:r w:rsidRPr="0001424F">
        <w:rPr>
          <w:rFonts w:ascii="Garamond" w:eastAsia="Calibri" w:hAnsi="Garamond" w:cs="Times New Roman"/>
          <w:b/>
          <w:sz w:val="24"/>
          <w:szCs w:val="24"/>
        </w:rPr>
        <w:t>PËR</w:t>
      </w:r>
      <w:r>
        <w:rPr>
          <w:rFonts w:ascii="Garamond" w:eastAsia="Calibri" w:hAnsi="Garamond" w:cs="Times New Roman"/>
          <w:b/>
          <w:sz w:val="24"/>
          <w:szCs w:val="24"/>
        </w:rPr>
        <w:t xml:space="preserve"> </w:t>
      </w:r>
      <w:r w:rsidRPr="0001424F">
        <w:rPr>
          <w:rFonts w:ascii="Garamond" w:hAnsi="Garamond" w:cs="Times New Roman"/>
          <w:b/>
          <w:sz w:val="24"/>
          <w:szCs w:val="24"/>
        </w:rPr>
        <w:t>PËRCAKTIMIN E RREGULLAVE DHE PROCEDURAVE PËR PËRDORIMIN E KARTËS SË POSAÇME NË NJËSITË TREGTARE USHQIMORE OSE RRJETET E TYRE NGA PUNONJËSIT E POLICISË SË SHTETIT</w:t>
      </w:r>
    </w:p>
    <w:p w14:paraId="3BEB8FC6" w14:textId="77777777" w:rsidR="007A753C" w:rsidRPr="0001424F" w:rsidRDefault="007A753C" w:rsidP="007A753C">
      <w:pPr>
        <w:spacing w:after="0" w:line="240" w:lineRule="auto"/>
        <w:ind w:firstLine="284"/>
        <w:jc w:val="center"/>
        <w:rPr>
          <w:rFonts w:ascii="Garamond" w:hAnsi="Garamond" w:cs="Times New Roman"/>
          <w:b/>
          <w:sz w:val="24"/>
          <w:szCs w:val="24"/>
        </w:rPr>
      </w:pPr>
      <w:r w:rsidRPr="0001424F">
        <w:rPr>
          <w:rFonts w:ascii="Garamond" w:hAnsi="Garamond" w:cs="Times New Roman"/>
          <w:b/>
          <w:sz w:val="24"/>
          <w:szCs w:val="24"/>
        </w:rPr>
        <w:t xml:space="preserve"> </w:t>
      </w:r>
    </w:p>
    <w:p w14:paraId="56F779BE" w14:textId="4AFEB54A" w:rsidR="007A753C" w:rsidRPr="0001424F" w:rsidRDefault="007A753C" w:rsidP="007A753C">
      <w:pPr>
        <w:spacing w:after="0" w:line="240" w:lineRule="auto"/>
        <w:ind w:firstLine="284"/>
        <w:jc w:val="both"/>
        <w:rPr>
          <w:rFonts w:ascii="Garamond" w:eastAsia="Calibri" w:hAnsi="Garamond" w:cs="Times New Roman"/>
          <w:sz w:val="24"/>
          <w:szCs w:val="24"/>
        </w:rPr>
      </w:pPr>
      <w:r w:rsidRPr="0001424F">
        <w:rPr>
          <w:rFonts w:ascii="Garamond" w:hAnsi="Garamond" w:cs="Times New Roman"/>
          <w:sz w:val="24"/>
          <w:szCs w:val="24"/>
        </w:rPr>
        <w:t>Në mbështetje të nenit 102, pika 4, të Kushtetutës së Republikës së Shqipërisë dhe të pikës 4, të vendimit të Këshillit të ministrave nr. 189, datë 15.3.2017</w:t>
      </w:r>
      <w:r w:rsidR="007B1F58">
        <w:rPr>
          <w:rFonts w:ascii="Garamond" w:hAnsi="Garamond" w:cs="Times New Roman"/>
          <w:sz w:val="24"/>
          <w:szCs w:val="24"/>
        </w:rPr>
        <w:t>,</w:t>
      </w:r>
      <w:r w:rsidRPr="0001424F">
        <w:rPr>
          <w:rFonts w:ascii="Garamond" w:hAnsi="Garamond" w:cs="Times New Roman"/>
          <w:sz w:val="24"/>
          <w:szCs w:val="24"/>
        </w:rPr>
        <w:t xml:space="preserve"> “Për trajtimin me ushqim të punonjësve të Policisë së Shtetit, të studentëve dhe kursantëve në institucionet arsimore të Policisë së Shtetit, si dhe shtetasve të ndaluar ose të arrestuar, deri në sqarimin e pozitës së tyre”, të ndryshuar</w:t>
      </w:r>
      <w:r w:rsidRPr="0001424F">
        <w:rPr>
          <w:rFonts w:ascii="Garamond" w:eastAsia="Calibri" w:hAnsi="Garamond" w:cs="Times New Roman"/>
          <w:sz w:val="24"/>
          <w:szCs w:val="24"/>
        </w:rPr>
        <w:t>,</w:t>
      </w:r>
    </w:p>
    <w:p w14:paraId="6F064D8E" w14:textId="77777777" w:rsidR="007A753C" w:rsidRPr="0001424F" w:rsidRDefault="007A753C" w:rsidP="007A753C">
      <w:pPr>
        <w:spacing w:after="0" w:line="240" w:lineRule="auto"/>
        <w:ind w:firstLine="284"/>
        <w:jc w:val="center"/>
        <w:rPr>
          <w:rFonts w:ascii="Garamond" w:eastAsia="Calibri" w:hAnsi="Garamond" w:cs="Times New Roman"/>
          <w:b/>
          <w:sz w:val="24"/>
          <w:szCs w:val="24"/>
        </w:rPr>
      </w:pPr>
    </w:p>
    <w:p w14:paraId="5FDA3120" w14:textId="77777777" w:rsidR="007A753C" w:rsidRPr="0001424F" w:rsidRDefault="007A753C" w:rsidP="007A753C">
      <w:pPr>
        <w:spacing w:after="0" w:line="240" w:lineRule="auto"/>
        <w:ind w:firstLine="284"/>
        <w:jc w:val="center"/>
        <w:rPr>
          <w:rFonts w:ascii="Garamond" w:eastAsia="Calibri" w:hAnsi="Garamond" w:cs="Times New Roman"/>
          <w:sz w:val="24"/>
          <w:szCs w:val="24"/>
        </w:rPr>
      </w:pPr>
      <w:r w:rsidRPr="0001424F">
        <w:rPr>
          <w:rFonts w:ascii="Garamond" w:eastAsia="Calibri" w:hAnsi="Garamond" w:cs="Times New Roman"/>
          <w:sz w:val="24"/>
          <w:szCs w:val="24"/>
        </w:rPr>
        <w:t>UDHËZOJ:</w:t>
      </w:r>
    </w:p>
    <w:p w14:paraId="509B923C" w14:textId="77777777" w:rsidR="007A753C" w:rsidRPr="0001424F" w:rsidRDefault="007A753C" w:rsidP="007A753C">
      <w:pPr>
        <w:pStyle w:val="ListParagraph"/>
        <w:spacing w:after="0" w:line="240" w:lineRule="auto"/>
        <w:ind w:left="0" w:firstLine="284"/>
        <w:jc w:val="both"/>
        <w:rPr>
          <w:rFonts w:ascii="Garamond" w:eastAsia="Calibri" w:hAnsi="Garamond" w:cs="Times New Roman"/>
          <w:sz w:val="24"/>
          <w:szCs w:val="24"/>
        </w:rPr>
      </w:pPr>
    </w:p>
    <w:p w14:paraId="7B45DA11" w14:textId="29C47241"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 xml:space="preserve">1. Të drejtën e pajisjes me kartë të posaçme, e ka çdo punonjës i Policisë së Shtetit i cili përfiton kompensim financiar, në rastet e përcaktuara në vendimin nr. 189, datë 15.3.2017, të Këshillit të Ministrave, </w:t>
      </w:r>
      <w:r w:rsidRPr="0001424F">
        <w:rPr>
          <w:rFonts w:ascii="Garamond" w:eastAsia="Calibri" w:hAnsi="Garamond" w:cs="Times New Roman"/>
          <w:bCs/>
          <w:iCs/>
          <w:sz w:val="24"/>
          <w:szCs w:val="24"/>
        </w:rPr>
        <w:t>“Për trajtimin me ushqim të punonjësve të Policisë së Shtetit, të studentëve dhe kursantëve në institucionet arsimore të Policisë së Shtetit, si dhe të shtetasve të ndaluar ose të arrestuar, deri në sqarimin e pozitës së tyre”</w:t>
      </w:r>
      <w:r w:rsidRPr="0001424F">
        <w:rPr>
          <w:rFonts w:ascii="Garamond" w:eastAsia="Calibri" w:hAnsi="Garamond" w:cs="Times New Roman"/>
          <w:bCs/>
          <w:sz w:val="24"/>
          <w:szCs w:val="24"/>
        </w:rPr>
        <w:t xml:space="preserve">, </w:t>
      </w:r>
      <w:r w:rsidR="007B1F58" w:rsidRPr="0001424F">
        <w:rPr>
          <w:rFonts w:ascii="Garamond" w:eastAsia="Calibri" w:hAnsi="Garamond" w:cs="Times New Roman"/>
          <w:bCs/>
          <w:sz w:val="24"/>
          <w:szCs w:val="24"/>
        </w:rPr>
        <w:t>të</w:t>
      </w:r>
      <w:r w:rsidRPr="0001424F">
        <w:rPr>
          <w:rFonts w:ascii="Garamond" w:eastAsia="Calibri" w:hAnsi="Garamond" w:cs="Times New Roman"/>
          <w:bCs/>
          <w:sz w:val="24"/>
          <w:szCs w:val="24"/>
        </w:rPr>
        <w:t xml:space="preserve"> ndryshuar.</w:t>
      </w:r>
    </w:p>
    <w:p w14:paraId="41CBA8F3" w14:textId="77777777"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2. Kompensimi financiar i jepet punonjësit të Policisë së Shtetit në llogarinë e posaçme të hapur në një nga bankat e nivelit të dytë, sipas zgjedhjes së tij, që në përputhje me rregullat dhe kriteret e këtij udhëzimi, mund të lëshojnë një kartë të posaçme për përdorimin vetëm në njësitë tregtare ose rrjetet tregtare të tyre dhe që mund të përdoret vetëm për blerjen e produkteve ushqimore. Për qëllime të këtij udhëzimi, me produkt ushqimor kuptohet çdo produkt i tregtuar nga njësia tregtare ose rrjetet e tyre, që përmban ushqim, që shërben si ushqim ose që përdoret për përgatitjen e ushqimit.</w:t>
      </w:r>
    </w:p>
    <w:p w14:paraId="3D1D45F9" w14:textId="68E1C256"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3. Karta e posaçme duhet të jetë e lidhur me një llogari bankare të posaçme që nuk lejon kryerjen e veprimeve të tjera bankare përveç se kreditimin e kompensimit financiar, në masën e përllogaritur nga strukturat përgjegjëse të Policisë së Shtetit</w:t>
      </w:r>
      <w:r w:rsidR="007B1F58">
        <w:rPr>
          <w:rFonts w:ascii="Garamond" w:eastAsia="Calibri" w:hAnsi="Garamond" w:cs="Times New Roman"/>
          <w:bCs/>
          <w:sz w:val="24"/>
          <w:szCs w:val="24"/>
        </w:rPr>
        <w:t>,</w:t>
      </w:r>
      <w:r w:rsidRPr="0001424F">
        <w:rPr>
          <w:rFonts w:ascii="Garamond" w:eastAsia="Calibri" w:hAnsi="Garamond" w:cs="Times New Roman"/>
          <w:bCs/>
          <w:sz w:val="24"/>
          <w:szCs w:val="24"/>
        </w:rPr>
        <w:t xml:space="preserve"> si dhe debitimin e saj nga njësitë tregtare ushqimore ose rrjetet e tyre, nëpërmjet përdorimit të pajisjeve të pikave të shitjes (</w:t>
      </w:r>
      <w:r w:rsidRPr="0001424F">
        <w:rPr>
          <w:rFonts w:ascii="Garamond" w:eastAsia="Calibri" w:hAnsi="Garamond" w:cs="Times New Roman"/>
          <w:bCs/>
          <w:i/>
          <w:sz w:val="24"/>
          <w:szCs w:val="24"/>
        </w:rPr>
        <w:t xml:space="preserve">POS – </w:t>
      </w:r>
      <w:proofErr w:type="spellStart"/>
      <w:r w:rsidRPr="0001424F">
        <w:rPr>
          <w:rFonts w:ascii="Garamond" w:eastAsia="Calibri" w:hAnsi="Garamond" w:cs="Times New Roman"/>
          <w:bCs/>
          <w:i/>
          <w:sz w:val="24"/>
          <w:szCs w:val="24"/>
        </w:rPr>
        <w:t>Point</w:t>
      </w:r>
      <w:proofErr w:type="spellEnd"/>
      <w:r w:rsidRPr="0001424F">
        <w:rPr>
          <w:rFonts w:ascii="Garamond" w:eastAsia="Calibri" w:hAnsi="Garamond" w:cs="Times New Roman"/>
          <w:bCs/>
          <w:i/>
          <w:sz w:val="24"/>
          <w:szCs w:val="24"/>
        </w:rPr>
        <w:t xml:space="preserve"> </w:t>
      </w:r>
      <w:proofErr w:type="spellStart"/>
      <w:r w:rsidRPr="0001424F">
        <w:rPr>
          <w:rFonts w:ascii="Garamond" w:eastAsia="Calibri" w:hAnsi="Garamond" w:cs="Times New Roman"/>
          <w:bCs/>
          <w:i/>
          <w:sz w:val="24"/>
          <w:szCs w:val="24"/>
        </w:rPr>
        <w:t>of</w:t>
      </w:r>
      <w:proofErr w:type="spellEnd"/>
      <w:r w:rsidRPr="0001424F">
        <w:rPr>
          <w:rFonts w:ascii="Garamond" w:eastAsia="Calibri" w:hAnsi="Garamond" w:cs="Times New Roman"/>
          <w:bCs/>
          <w:i/>
          <w:sz w:val="24"/>
          <w:szCs w:val="24"/>
        </w:rPr>
        <w:t xml:space="preserve"> </w:t>
      </w:r>
      <w:proofErr w:type="spellStart"/>
      <w:r w:rsidRPr="0001424F">
        <w:rPr>
          <w:rFonts w:ascii="Garamond" w:eastAsia="Calibri" w:hAnsi="Garamond" w:cs="Times New Roman"/>
          <w:bCs/>
          <w:i/>
          <w:sz w:val="24"/>
          <w:szCs w:val="24"/>
        </w:rPr>
        <w:t>Sale</w:t>
      </w:r>
      <w:proofErr w:type="spellEnd"/>
      <w:r w:rsidRPr="0001424F">
        <w:rPr>
          <w:rFonts w:ascii="Garamond" w:eastAsia="Calibri" w:hAnsi="Garamond" w:cs="Times New Roman"/>
          <w:bCs/>
          <w:sz w:val="24"/>
          <w:szCs w:val="24"/>
        </w:rPr>
        <w:t xml:space="preserve">), ose nëpërmjet përdorimit të sistemeve </w:t>
      </w:r>
      <w:proofErr w:type="spellStart"/>
      <w:r w:rsidRPr="007B1F58">
        <w:rPr>
          <w:rFonts w:ascii="Garamond" w:eastAsia="Calibri" w:hAnsi="Garamond" w:cs="Times New Roman"/>
          <w:bCs/>
          <w:i/>
          <w:sz w:val="24"/>
          <w:szCs w:val="24"/>
        </w:rPr>
        <w:t>online</w:t>
      </w:r>
      <w:proofErr w:type="spellEnd"/>
      <w:r w:rsidRPr="0001424F">
        <w:rPr>
          <w:rFonts w:ascii="Garamond" w:eastAsia="Calibri" w:hAnsi="Garamond" w:cs="Times New Roman"/>
          <w:bCs/>
          <w:sz w:val="24"/>
          <w:szCs w:val="24"/>
        </w:rPr>
        <w:t xml:space="preserve"> të blerjes, vetëm për produktet ushqimore. Për këtë qëllim, llogaria e posaçme ose karta e posaçme nuk duhet të lejojë tërheqjen e parave fizike, në sportelet e bankës ose nëpërmjet </w:t>
      </w:r>
      <w:proofErr w:type="spellStart"/>
      <w:r w:rsidRPr="0001424F">
        <w:rPr>
          <w:rFonts w:ascii="Garamond" w:eastAsia="Calibri" w:hAnsi="Garamond" w:cs="Times New Roman"/>
          <w:bCs/>
          <w:sz w:val="24"/>
          <w:szCs w:val="24"/>
        </w:rPr>
        <w:t>bankomateve</w:t>
      </w:r>
      <w:proofErr w:type="spellEnd"/>
      <w:r w:rsidRPr="0001424F">
        <w:rPr>
          <w:rFonts w:ascii="Garamond" w:eastAsia="Calibri" w:hAnsi="Garamond" w:cs="Times New Roman"/>
          <w:bCs/>
          <w:sz w:val="24"/>
          <w:szCs w:val="24"/>
        </w:rPr>
        <w:t xml:space="preserve"> (</w:t>
      </w:r>
      <w:proofErr w:type="spellStart"/>
      <w:r w:rsidRPr="0001424F">
        <w:rPr>
          <w:rFonts w:ascii="Garamond" w:eastAsia="Calibri" w:hAnsi="Garamond" w:cs="Times New Roman"/>
          <w:bCs/>
          <w:i/>
          <w:sz w:val="24"/>
          <w:szCs w:val="24"/>
        </w:rPr>
        <w:t>ATM</w:t>
      </w:r>
      <w:proofErr w:type="spellEnd"/>
      <w:r w:rsidRPr="0001424F">
        <w:rPr>
          <w:rFonts w:ascii="Garamond" w:eastAsia="Calibri" w:hAnsi="Garamond" w:cs="Times New Roman"/>
          <w:bCs/>
          <w:i/>
          <w:sz w:val="24"/>
          <w:szCs w:val="24"/>
        </w:rPr>
        <w:t xml:space="preserve"> – </w:t>
      </w:r>
      <w:proofErr w:type="spellStart"/>
      <w:r w:rsidRPr="0001424F">
        <w:rPr>
          <w:rFonts w:ascii="Garamond" w:eastAsia="Calibri" w:hAnsi="Garamond" w:cs="Times New Roman"/>
          <w:bCs/>
          <w:i/>
          <w:sz w:val="24"/>
          <w:szCs w:val="24"/>
        </w:rPr>
        <w:t>Automatic</w:t>
      </w:r>
      <w:proofErr w:type="spellEnd"/>
      <w:r w:rsidRPr="0001424F">
        <w:rPr>
          <w:rFonts w:ascii="Garamond" w:eastAsia="Calibri" w:hAnsi="Garamond" w:cs="Times New Roman"/>
          <w:bCs/>
          <w:i/>
          <w:sz w:val="24"/>
          <w:szCs w:val="24"/>
        </w:rPr>
        <w:t xml:space="preserve"> </w:t>
      </w:r>
      <w:proofErr w:type="spellStart"/>
      <w:r w:rsidRPr="0001424F">
        <w:rPr>
          <w:rFonts w:ascii="Garamond" w:eastAsia="Calibri" w:hAnsi="Garamond" w:cs="Times New Roman"/>
          <w:bCs/>
          <w:i/>
          <w:sz w:val="24"/>
          <w:szCs w:val="24"/>
        </w:rPr>
        <w:t>Teller</w:t>
      </w:r>
      <w:proofErr w:type="spellEnd"/>
      <w:r w:rsidRPr="0001424F">
        <w:rPr>
          <w:rFonts w:ascii="Garamond" w:eastAsia="Calibri" w:hAnsi="Garamond" w:cs="Times New Roman"/>
          <w:bCs/>
          <w:i/>
          <w:sz w:val="24"/>
          <w:szCs w:val="24"/>
        </w:rPr>
        <w:t xml:space="preserve"> </w:t>
      </w:r>
      <w:proofErr w:type="spellStart"/>
      <w:r w:rsidRPr="0001424F">
        <w:rPr>
          <w:rFonts w:ascii="Garamond" w:eastAsia="Calibri" w:hAnsi="Garamond" w:cs="Times New Roman"/>
          <w:bCs/>
          <w:i/>
          <w:sz w:val="24"/>
          <w:szCs w:val="24"/>
        </w:rPr>
        <w:t>Machine</w:t>
      </w:r>
      <w:proofErr w:type="spellEnd"/>
      <w:r w:rsidRPr="0001424F">
        <w:rPr>
          <w:rFonts w:ascii="Garamond" w:eastAsia="Calibri" w:hAnsi="Garamond" w:cs="Times New Roman"/>
          <w:bCs/>
          <w:sz w:val="24"/>
          <w:szCs w:val="24"/>
        </w:rPr>
        <w:t xml:space="preserve">), </w:t>
      </w:r>
      <w:proofErr w:type="spellStart"/>
      <w:r w:rsidRPr="0001424F">
        <w:rPr>
          <w:rFonts w:ascii="Garamond" w:eastAsia="Calibri" w:hAnsi="Garamond" w:cs="Times New Roman"/>
          <w:bCs/>
          <w:sz w:val="24"/>
          <w:szCs w:val="24"/>
        </w:rPr>
        <w:t>transfertat</w:t>
      </w:r>
      <w:proofErr w:type="spellEnd"/>
      <w:r w:rsidRPr="0001424F">
        <w:rPr>
          <w:rFonts w:ascii="Garamond" w:eastAsia="Calibri" w:hAnsi="Garamond" w:cs="Times New Roman"/>
          <w:bCs/>
          <w:sz w:val="24"/>
          <w:szCs w:val="24"/>
        </w:rPr>
        <w:t xml:space="preserve"> dalëse në llogari të tjera ose çdo lloj veprimi tjetër bankar që transferon fondet nga llogaria</w:t>
      </w:r>
      <w:r w:rsidR="00D757AA">
        <w:rPr>
          <w:rFonts w:ascii="Garamond" w:eastAsia="Calibri" w:hAnsi="Garamond" w:cs="Times New Roman"/>
          <w:bCs/>
          <w:sz w:val="24"/>
          <w:szCs w:val="24"/>
        </w:rPr>
        <w:t>,</w:t>
      </w:r>
      <w:r w:rsidRPr="0001424F">
        <w:rPr>
          <w:rFonts w:ascii="Garamond" w:eastAsia="Calibri" w:hAnsi="Garamond" w:cs="Times New Roman"/>
          <w:bCs/>
          <w:sz w:val="24"/>
          <w:szCs w:val="24"/>
        </w:rPr>
        <w:t xml:space="preserve"> me qëllim kryerjen e transaksioneve bankare të ndryshme nga blerja e produkteve ushqimore.</w:t>
      </w:r>
    </w:p>
    <w:p w14:paraId="2712372D" w14:textId="77777777"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4. Punonjësi i Policisë së Shtetit hap llogarinë e posaçme në ato banka të nivelit të dytë që:</w:t>
      </w:r>
    </w:p>
    <w:p w14:paraId="00DB8B66" w14:textId="37E942D9"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 xml:space="preserve">a) nuk aplikojnë komisione për hapjen e llogarisë së posaçme, pajisjen me kartën e posaçme apo </w:t>
      </w:r>
      <w:proofErr w:type="spellStart"/>
      <w:r w:rsidRPr="0001424F">
        <w:rPr>
          <w:rFonts w:ascii="Garamond" w:eastAsia="Calibri" w:hAnsi="Garamond" w:cs="Times New Roman"/>
          <w:bCs/>
          <w:sz w:val="24"/>
          <w:szCs w:val="24"/>
        </w:rPr>
        <w:t>ripajisjen</w:t>
      </w:r>
      <w:proofErr w:type="spellEnd"/>
      <w:r w:rsidRPr="0001424F">
        <w:rPr>
          <w:rFonts w:ascii="Garamond" w:eastAsia="Calibri" w:hAnsi="Garamond" w:cs="Times New Roman"/>
          <w:bCs/>
          <w:sz w:val="24"/>
          <w:szCs w:val="24"/>
        </w:rPr>
        <w:t xml:space="preserve"> me të, në rastet e humbjes, vjedhjes ose dëmtimit</w:t>
      </w:r>
      <w:r w:rsidR="00D757AA">
        <w:rPr>
          <w:rFonts w:ascii="Garamond" w:eastAsia="Calibri" w:hAnsi="Garamond" w:cs="Times New Roman"/>
          <w:bCs/>
          <w:sz w:val="24"/>
          <w:szCs w:val="24"/>
        </w:rPr>
        <w:t>,</w:t>
      </w:r>
      <w:r w:rsidRPr="0001424F">
        <w:rPr>
          <w:rFonts w:ascii="Garamond" w:eastAsia="Calibri" w:hAnsi="Garamond" w:cs="Times New Roman"/>
          <w:bCs/>
          <w:sz w:val="24"/>
          <w:szCs w:val="24"/>
        </w:rPr>
        <w:t xml:space="preserve"> si edhe gjatë përdorimit të kartës së posaçme për çdo transaksion;</w:t>
      </w:r>
    </w:p>
    <w:p w14:paraId="017F7790" w14:textId="77777777"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b) garantojnë të drejtën e përdorimit të gjendjes së llogarisë së posaçme pa kufizime në kohë, ose në limitin e blerjeve;</w:t>
      </w:r>
    </w:p>
    <w:p w14:paraId="121A88F0" w14:textId="0AB63E00"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c) të sigurojë kontrollin e gjendjes së llogarisë së posaçme</w:t>
      </w:r>
      <w:r w:rsidR="00D757AA">
        <w:rPr>
          <w:rFonts w:ascii="Garamond" w:eastAsia="Calibri" w:hAnsi="Garamond" w:cs="Times New Roman"/>
          <w:bCs/>
          <w:sz w:val="24"/>
          <w:szCs w:val="24"/>
        </w:rPr>
        <w:t>,</w:t>
      </w:r>
      <w:r w:rsidRPr="0001424F">
        <w:rPr>
          <w:rFonts w:ascii="Garamond" w:eastAsia="Calibri" w:hAnsi="Garamond" w:cs="Times New Roman"/>
          <w:bCs/>
          <w:sz w:val="24"/>
          <w:szCs w:val="24"/>
        </w:rPr>
        <w:t xml:space="preserve"> si dhe transaksioneve që janë kryer prej saj, nëpërmjet platformës digjitale (</w:t>
      </w:r>
      <w:r w:rsidRPr="007B1F58">
        <w:rPr>
          <w:rFonts w:ascii="Garamond" w:eastAsia="Calibri" w:hAnsi="Garamond" w:cs="Times New Roman"/>
          <w:bCs/>
          <w:i/>
          <w:sz w:val="24"/>
          <w:szCs w:val="24"/>
        </w:rPr>
        <w:t>e-</w:t>
      </w:r>
      <w:proofErr w:type="spellStart"/>
      <w:r w:rsidRPr="007B1F58">
        <w:rPr>
          <w:rFonts w:ascii="Garamond" w:eastAsia="Calibri" w:hAnsi="Garamond" w:cs="Times New Roman"/>
          <w:bCs/>
          <w:i/>
          <w:sz w:val="24"/>
          <w:szCs w:val="24"/>
        </w:rPr>
        <w:t>banking</w:t>
      </w:r>
      <w:proofErr w:type="spellEnd"/>
      <w:r w:rsidRPr="0001424F">
        <w:rPr>
          <w:rFonts w:ascii="Garamond" w:eastAsia="Calibri" w:hAnsi="Garamond" w:cs="Times New Roman"/>
          <w:bCs/>
          <w:sz w:val="24"/>
          <w:szCs w:val="24"/>
        </w:rPr>
        <w:t>) të bankës së nivelit të dytë;</w:t>
      </w:r>
    </w:p>
    <w:p w14:paraId="1F0411F4" w14:textId="77777777"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ç) të garantojë ekzekutimin e fondeve brenda të njëjtës ditë pune, sipas veprimeve të kryera nga strukturat përkatëse të Policisë së Shtetit;</w:t>
      </w:r>
    </w:p>
    <w:p w14:paraId="7A316FA7" w14:textId="10A7CEC7"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5. Bankat e nivelit të dytë, që punonjësi i Policisë së Shtetit ka përzgjedhur për të hapur llogarinë bankare</w:t>
      </w:r>
      <w:r w:rsidR="00D757AA">
        <w:rPr>
          <w:rFonts w:ascii="Garamond" w:eastAsia="Calibri" w:hAnsi="Garamond" w:cs="Times New Roman"/>
          <w:bCs/>
          <w:sz w:val="24"/>
          <w:szCs w:val="24"/>
        </w:rPr>
        <w:t>,</w:t>
      </w:r>
      <w:r w:rsidRPr="0001424F">
        <w:rPr>
          <w:rFonts w:ascii="Garamond" w:eastAsia="Calibri" w:hAnsi="Garamond" w:cs="Times New Roman"/>
          <w:bCs/>
          <w:sz w:val="24"/>
          <w:szCs w:val="24"/>
        </w:rPr>
        <w:t xml:space="preserve"> duhet t’i sigurojë Drejtorisë së Përgjithshme të Policisë së Shtetit ose Ministrisë së Brendshme raporte periodike, ose me kërkesë mbi:</w:t>
      </w:r>
    </w:p>
    <w:p w14:paraId="55955017" w14:textId="10B467C3"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a) masën e fondeve të përdorur</w:t>
      </w:r>
      <w:r w:rsidR="00D757AA">
        <w:rPr>
          <w:rFonts w:ascii="Garamond" w:eastAsia="Calibri" w:hAnsi="Garamond" w:cs="Times New Roman"/>
          <w:bCs/>
          <w:sz w:val="24"/>
          <w:szCs w:val="24"/>
        </w:rPr>
        <w:t>a</w:t>
      </w:r>
      <w:r w:rsidRPr="0001424F">
        <w:rPr>
          <w:rFonts w:ascii="Garamond" w:eastAsia="Calibri" w:hAnsi="Garamond" w:cs="Times New Roman"/>
          <w:bCs/>
          <w:sz w:val="24"/>
          <w:szCs w:val="24"/>
        </w:rPr>
        <w:t xml:space="preserve"> nga punonjësit e policisë së shtetit, përkundrejt fondit total të kredituar tek punonjësit e policisë së shtetit që kanë përzgjedhur bankën përkatëse për hapjen e llogarisë së posaçme;</w:t>
      </w:r>
    </w:p>
    <w:p w14:paraId="5C2E72AC" w14:textId="73FD518B"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b) në bashkëpunim me njësitë tregtare ushqimore, ose rrjetet e tyre, raporte të detajuara për përdorimin e fondit sipas qëllimit të përcaktuar, përfshirë edhe kategorinë e produkteve ushqimore të blera dhe sasinë e tyre</w:t>
      </w:r>
      <w:r w:rsidR="00D757AA">
        <w:rPr>
          <w:rFonts w:ascii="Garamond" w:eastAsia="Calibri" w:hAnsi="Garamond" w:cs="Times New Roman"/>
          <w:bCs/>
          <w:sz w:val="24"/>
          <w:szCs w:val="24"/>
        </w:rPr>
        <w:t>.</w:t>
      </w:r>
    </w:p>
    <w:p w14:paraId="7CF21509" w14:textId="00760EF8"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lastRenderedPageBreak/>
        <w:t>6. Banka e nivelit të dytë, që përzgjidhet nga punonjësi i Policisë për të hapur llogarinë bankare</w:t>
      </w:r>
      <w:r w:rsidR="00D757AA">
        <w:rPr>
          <w:rFonts w:ascii="Garamond" w:eastAsia="Calibri" w:hAnsi="Garamond" w:cs="Times New Roman"/>
          <w:bCs/>
          <w:sz w:val="24"/>
          <w:szCs w:val="24"/>
        </w:rPr>
        <w:t>,</w:t>
      </w:r>
      <w:r w:rsidRPr="0001424F">
        <w:rPr>
          <w:rFonts w:ascii="Garamond" w:eastAsia="Calibri" w:hAnsi="Garamond" w:cs="Times New Roman"/>
          <w:bCs/>
          <w:sz w:val="24"/>
          <w:szCs w:val="24"/>
        </w:rPr>
        <w:t xml:space="preserve"> duhet të sigurojë që karta e posaçme të funksionojë me çdo njësitë tregtare ushqimore, ose rrjetet e tyre që plotëson kushtet teknike për përdorimin e kartës së posaçme. Në çdo rast, në krijimin e kushteve teknike për ndërlidhjen e sistemit të pajisjeve të pikave të shitjes (</w:t>
      </w:r>
      <w:r w:rsidRPr="0001424F">
        <w:rPr>
          <w:rFonts w:ascii="Garamond" w:eastAsia="Calibri" w:hAnsi="Garamond" w:cs="Times New Roman"/>
          <w:bCs/>
          <w:i/>
          <w:sz w:val="24"/>
          <w:szCs w:val="24"/>
        </w:rPr>
        <w:t xml:space="preserve">POS – </w:t>
      </w:r>
      <w:proofErr w:type="spellStart"/>
      <w:r w:rsidRPr="0001424F">
        <w:rPr>
          <w:rFonts w:ascii="Garamond" w:eastAsia="Calibri" w:hAnsi="Garamond" w:cs="Times New Roman"/>
          <w:bCs/>
          <w:i/>
          <w:sz w:val="24"/>
          <w:szCs w:val="24"/>
        </w:rPr>
        <w:t>Point</w:t>
      </w:r>
      <w:proofErr w:type="spellEnd"/>
      <w:r w:rsidRPr="0001424F">
        <w:rPr>
          <w:rFonts w:ascii="Garamond" w:eastAsia="Calibri" w:hAnsi="Garamond" w:cs="Times New Roman"/>
          <w:bCs/>
          <w:i/>
          <w:sz w:val="24"/>
          <w:szCs w:val="24"/>
        </w:rPr>
        <w:t xml:space="preserve"> </w:t>
      </w:r>
      <w:proofErr w:type="spellStart"/>
      <w:r w:rsidRPr="0001424F">
        <w:rPr>
          <w:rFonts w:ascii="Garamond" w:eastAsia="Calibri" w:hAnsi="Garamond" w:cs="Times New Roman"/>
          <w:bCs/>
          <w:i/>
          <w:sz w:val="24"/>
          <w:szCs w:val="24"/>
        </w:rPr>
        <w:t>of</w:t>
      </w:r>
      <w:proofErr w:type="spellEnd"/>
      <w:r w:rsidRPr="0001424F">
        <w:rPr>
          <w:rFonts w:ascii="Garamond" w:eastAsia="Calibri" w:hAnsi="Garamond" w:cs="Times New Roman"/>
          <w:bCs/>
          <w:i/>
          <w:sz w:val="24"/>
          <w:szCs w:val="24"/>
        </w:rPr>
        <w:t xml:space="preserve"> </w:t>
      </w:r>
      <w:proofErr w:type="spellStart"/>
      <w:r w:rsidRPr="0001424F">
        <w:rPr>
          <w:rFonts w:ascii="Garamond" w:eastAsia="Calibri" w:hAnsi="Garamond" w:cs="Times New Roman"/>
          <w:bCs/>
          <w:i/>
          <w:sz w:val="24"/>
          <w:szCs w:val="24"/>
        </w:rPr>
        <w:t>Sale</w:t>
      </w:r>
      <w:proofErr w:type="spellEnd"/>
      <w:r w:rsidRPr="0001424F">
        <w:rPr>
          <w:rFonts w:ascii="Garamond" w:eastAsia="Calibri" w:hAnsi="Garamond" w:cs="Times New Roman"/>
          <w:bCs/>
          <w:sz w:val="24"/>
          <w:szCs w:val="24"/>
        </w:rPr>
        <w:t xml:space="preserve">), ose nëpërmjet përdorimit të sistemeve </w:t>
      </w:r>
      <w:proofErr w:type="spellStart"/>
      <w:r w:rsidRPr="00D757AA">
        <w:rPr>
          <w:rFonts w:ascii="Garamond" w:eastAsia="Calibri" w:hAnsi="Garamond" w:cs="Times New Roman"/>
          <w:bCs/>
          <w:i/>
          <w:sz w:val="24"/>
          <w:szCs w:val="24"/>
        </w:rPr>
        <w:t>online</w:t>
      </w:r>
      <w:proofErr w:type="spellEnd"/>
      <w:r w:rsidRPr="0001424F">
        <w:rPr>
          <w:rFonts w:ascii="Garamond" w:eastAsia="Calibri" w:hAnsi="Garamond" w:cs="Times New Roman"/>
          <w:bCs/>
          <w:sz w:val="24"/>
          <w:szCs w:val="24"/>
        </w:rPr>
        <w:t xml:space="preserve"> të blerjes të njësisë tregtare ushqimore, ose rrjeteve të tyre, me llogarinë e posaçme bankat e nivelit të dytë i japin përparësi njësive tregtare ushqimore, ose rrjeteve të tyre që sigurojnë ulje jo më pak se 5 </w:t>
      </w:r>
      <w:proofErr w:type="spellStart"/>
      <w:r w:rsidRPr="0001424F">
        <w:rPr>
          <w:rFonts w:ascii="Garamond" w:eastAsia="Calibri" w:hAnsi="Garamond" w:cs="Times New Roman"/>
          <w:bCs/>
          <w:sz w:val="24"/>
          <w:szCs w:val="24"/>
        </w:rPr>
        <w:t>përqind</w:t>
      </w:r>
      <w:proofErr w:type="spellEnd"/>
      <w:r w:rsidRPr="0001424F">
        <w:rPr>
          <w:rFonts w:ascii="Garamond" w:eastAsia="Calibri" w:hAnsi="Garamond" w:cs="Times New Roman"/>
          <w:bCs/>
          <w:sz w:val="24"/>
          <w:szCs w:val="24"/>
        </w:rPr>
        <w:t xml:space="preserve"> të </w:t>
      </w:r>
      <w:proofErr w:type="spellStart"/>
      <w:r w:rsidRPr="0001424F">
        <w:rPr>
          <w:rFonts w:ascii="Garamond" w:eastAsia="Calibri" w:hAnsi="Garamond" w:cs="Times New Roman"/>
          <w:bCs/>
          <w:sz w:val="24"/>
          <w:szCs w:val="24"/>
        </w:rPr>
        <w:t>të</w:t>
      </w:r>
      <w:proofErr w:type="spellEnd"/>
      <w:r w:rsidRPr="0001424F">
        <w:rPr>
          <w:rFonts w:ascii="Garamond" w:eastAsia="Calibri" w:hAnsi="Garamond" w:cs="Times New Roman"/>
          <w:bCs/>
          <w:sz w:val="24"/>
          <w:szCs w:val="24"/>
        </w:rPr>
        <w:t xml:space="preserve"> gjitha kategorive të produkteve ushqimore, në raport me çmimin e zakonshëm të shitjes së tyre për konsumatorët e tjerë</w:t>
      </w:r>
      <w:r w:rsidR="00D757AA">
        <w:rPr>
          <w:rFonts w:ascii="Garamond" w:eastAsia="Calibri" w:hAnsi="Garamond" w:cs="Times New Roman"/>
          <w:bCs/>
          <w:sz w:val="24"/>
          <w:szCs w:val="24"/>
        </w:rPr>
        <w:t>,</w:t>
      </w:r>
      <w:r w:rsidRPr="0001424F">
        <w:rPr>
          <w:rFonts w:ascii="Garamond" w:eastAsia="Calibri" w:hAnsi="Garamond" w:cs="Times New Roman"/>
          <w:bCs/>
          <w:sz w:val="24"/>
          <w:szCs w:val="24"/>
        </w:rPr>
        <w:t xml:space="preserve"> si dhe uljen jo më pak se 10 </w:t>
      </w:r>
      <w:proofErr w:type="spellStart"/>
      <w:r w:rsidRPr="0001424F">
        <w:rPr>
          <w:rFonts w:ascii="Garamond" w:eastAsia="Calibri" w:hAnsi="Garamond" w:cs="Times New Roman"/>
          <w:bCs/>
          <w:sz w:val="24"/>
          <w:szCs w:val="24"/>
        </w:rPr>
        <w:t>përqind</w:t>
      </w:r>
      <w:proofErr w:type="spellEnd"/>
      <w:r w:rsidRPr="0001424F">
        <w:rPr>
          <w:rFonts w:ascii="Garamond" w:eastAsia="Calibri" w:hAnsi="Garamond" w:cs="Times New Roman"/>
          <w:bCs/>
          <w:sz w:val="24"/>
          <w:szCs w:val="24"/>
        </w:rPr>
        <w:t xml:space="preserve"> të produkteve të shportës.</w:t>
      </w:r>
    </w:p>
    <w:p w14:paraId="6E1DF154" w14:textId="4227BB8D"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7. Njësitë tregtare ushqimore ose rrjetet e tyre i paraqesin kërkesë Drejtorisë së Përgjithshme të Policisë së Shtetit dhe bankave të nivelit të dytë</w:t>
      </w:r>
      <w:r w:rsidR="00D757AA">
        <w:rPr>
          <w:rFonts w:ascii="Garamond" w:eastAsia="Calibri" w:hAnsi="Garamond" w:cs="Times New Roman"/>
          <w:bCs/>
          <w:sz w:val="24"/>
          <w:szCs w:val="24"/>
        </w:rPr>
        <w:t>,</w:t>
      </w:r>
      <w:r w:rsidRPr="0001424F">
        <w:rPr>
          <w:rFonts w:ascii="Garamond" w:eastAsia="Calibri" w:hAnsi="Garamond" w:cs="Times New Roman"/>
          <w:bCs/>
          <w:sz w:val="24"/>
          <w:szCs w:val="24"/>
        </w:rPr>
        <w:t xml:space="preserve"> që punonjësit e policisë së shtetit kanë hapur llogari të posaçme sipas këtij udhëzimi, për përdorimin e kartës së posaçme në njësitë e tyre tregtare ushqimore, </w:t>
      </w:r>
      <w:r w:rsidR="007B1F58" w:rsidRPr="0001424F">
        <w:rPr>
          <w:rFonts w:ascii="Garamond" w:eastAsia="Calibri" w:hAnsi="Garamond" w:cs="Times New Roman"/>
          <w:bCs/>
          <w:sz w:val="24"/>
          <w:szCs w:val="24"/>
        </w:rPr>
        <w:t>bashkërisht</w:t>
      </w:r>
      <w:r w:rsidRPr="0001424F">
        <w:rPr>
          <w:rFonts w:ascii="Garamond" w:eastAsia="Calibri" w:hAnsi="Garamond" w:cs="Times New Roman"/>
          <w:bCs/>
          <w:sz w:val="24"/>
          <w:szCs w:val="24"/>
        </w:rPr>
        <w:t xml:space="preserve"> me uljet e propozuara për çmimet e artikujve të produkteve ushqimore. Bankat e nivelit të dytë sigurojnë që të krijojnë kushtet teknike për përdorimin e kartës së posaçme nëpërmjet POS</w:t>
      </w:r>
      <w:r w:rsidR="00D757AA">
        <w:rPr>
          <w:rFonts w:ascii="Garamond" w:eastAsia="Calibri" w:hAnsi="Garamond" w:cs="Times New Roman"/>
          <w:bCs/>
          <w:sz w:val="24"/>
          <w:szCs w:val="24"/>
        </w:rPr>
        <w:t>-it</w:t>
      </w:r>
      <w:r w:rsidRPr="0001424F">
        <w:rPr>
          <w:rFonts w:ascii="Garamond" w:eastAsia="Calibri" w:hAnsi="Garamond" w:cs="Times New Roman"/>
          <w:bCs/>
          <w:sz w:val="24"/>
          <w:szCs w:val="24"/>
        </w:rPr>
        <w:t xml:space="preserve"> ose sistemit të blerjeve </w:t>
      </w:r>
      <w:proofErr w:type="spellStart"/>
      <w:r w:rsidRPr="007B1F58">
        <w:rPr>
          <w:rFonts w:ascii="Garamond" w:eastAsia="Calibri" w:hAnsi="Garamond" w:cs="Times New Roman"/>
          <w:bCs/>
          <w:i/>
          <w:sz w:val="24"/>
          <w:szCs w:val="24"/>
        </w:rPr>
        <w:t>online</w:t>
      </w:r>
      <w:proofErr w:type="spellEnd"/>
      <w:r w:rsidRPr="0001424F">
        <w:rPr>
          <w:rFonts w:ascii="Garamond" w:eastAsia="Calibri" w:hAnsi="Garamond" w:cs="Times New Roman"/>
          <w:bCs/>
          <w:sz w:val="24"/>
          <w:szCs w:val="24"/>
        </w:rPr>
        <w:t xml:space="preserve"> të njësisë tregtare ushqimore, jo më vonë se 30 ditë nga data e marrjes së miratimit nga Drejtoria e Përgjithshme e Policisë së Shtetit. Drejtoria e Përgjithshme e Policisë së Shtetit jep miratimin për krijimin e kushteve teknike për përdorimin e kartës</w:t>
      </w:r>
      <w:r w:rsidR="00D757AA">
        <w:rPr>
          <w:rFonts w:ascii="Garamond" w:eastAsia="Calibri" w:hAnsi="Garamond" w:cs="Times New Roman"/>
          <w:bCs/>
          <w:sz w:val="24"/>
          <w:szCs w:val="24"/>
        </w:rPr>
        <w:t>,</w:t>
      </w:r>
      <w:r w:rsidRPr="0001424F">
        <w:rPr>
          <w:rFonts w:ascii="Garamond" w:eastAsia="Calibri" w:hAnsi="Garamond" w:cs="Times New Roman"/>
          <w:bCs/>
          <w:sz w:val="24"/>
          <w:szCs w:val="24"/>
        </w:rPr>
        <w:t xml:space="preserve"> jo më vonë se 30 ditë nga data e marrjes së kërkesës, duke u bazuar në plotësimin e kushteve ligjore nga njësia tregtare ushqimore përkatëse, për ushtrimin e veprimtarisë, si dhe duke siguruar që të ketë njësi tregtare ushqimore që janë të ndërlidhura me bankat e nivelit të dytë në të gjithë territorin e Republikës së Shqipërisë.</w:t>
      </w:r>
    </w:p>
    <w:p w14:paraId="0DC0157C" w14:textId="77777777"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8. Në rast se një nga bankat e nivelit të dytë nuk përmbushin detyrimet e përcaktuara në këtë udhëzim, Drejtoria e Përgjithshme e Policisë së Shtetit nuk transferon fondet në llogarinë e posaçme të punonjësit të policisë, por i kërkon hapjen e llogarisë së posaçme në një nga bankat e nivelit të dytë që përmbushin kushtet e përcaktuara në këtë udhëzim.</w:t>
      </w:r>
    </w:p>
    <w:p w14:paraId="1D04F42A" w14:textId="0952E259"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9. Me ndërprerjen e marrëdhënieve të punës së punonjësit të Policisë së Shtetit, Drejtoria e Përgjithshme e Policisë së Shtetit njofton bankën e nivelit të dytë se llogaria e punonjësit të Policisë së Shtetit nuk do të kreditohet në vazhdimësi për efekt të kompensimit financiar të trajtimit me ushqim.</w:t>
      </w:r>
    </w:p>
    <w:p w14:paraId="6217B8FC" w14:textId="4BC226CE"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10. Punonjësi, të cilit i janë ndërprerë marrëdhëniet e punës në Policinë e Shtetit, ka të drejtë të vendosë nëse llogaria e hapur do të mbahet aktive për kryerjen e transaksioneve financiare për qëllime të ndryshme nga ato të përcaktuara në këtë udhëzim ose të disponojë për mbylljen e saj.</w:t>
      </w:r>
    </w:p>
    <w:p w14:paraId="4320918F" w14:textId="725788B2"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11. Karta e posaçme është e vlefshme për aq sa zgjasin marrëdhëniet e punës të punonjësit në Policinë e Shtetit.</w:t>
      </w:r>
    </w:p>
    <w:p w14:paraId="537CF802" w14:textId="02BE6BED"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12. Efektet financiare që rrjedhin nga zbatimi i këtij udhëzimi përballohen nga buxheti i policisë së shtetit.</w:t>
      </w:r>
    </w:p>
    <w:p w14:paraId="7C43557E" w14:textId="33E1E7A2" w:rsidR="007A753C" w:rsidRPr="0001424F" w:rsidRDefault="007A753C" w:rsidP="007A753C">
      <w:pPr>
        <w:pStyle w:val="ListParagraph"/>
        <w:tabs>
          <w:tab w:val="left" w:pos="270"/>
        </w:tabs>
        <w:spacing w:after="0" w:line="240" w:lineRule="auto"/>
        <w:ind w:left="0" w:firstLine="284"/>
        <w:jc w:val="both"/>
        <w:rPr>
          <w:rFonts w:ascii="Garamond" w:eastAsia="Calibri" w:hAnsi="Garamond" w:cs="Times New Roman"/>
          <w:bCs/>
          <w:sz w:val="24"/>
          <w:szCs w:val="24"/>
        </w:rPr>
      </w:pPr>
      <w:r w:rsidRPr="0001424F">
        <w:rPr>
          <w:rFonts w:ascii="Garamond" w:eastAsia="Calibri" w:hAnsi="Garamond" w:cs="Times New Roman"/>
          <w:bCs/>
          <w:sz w:val="24"/>
          <w:szCs w:val="24"/>
        </w:rPr>
        <w:t>13. Ngarkohet për zbatimin e këtij udhëzimi Drejtoria e Përgjithshme e Policisë së Shtetit.</w:t>
      </w:r>
    </w:p>
    <w:p w14:paraId="3E33AAC6" w14:textId="77777777" w:rsidR="007A753C" w:rsidRPr="0001424F" w:rsidRDefault="007A753C" w:rsidP="007A753C">
      <w:pPr>
        <w:tabs>
          <w:tab w:val="left" w:pos="0"/>
          <w:tab w:val="left" w:pos="900"/>
        </w:tabs>
        <w:spacing w:after="0" w:line="240" w:lineRule="auto"/>
        <w:ind w:firstLine="284"/>
        <w:jc w:val="both"/>
        <w:rPr>
          <w:rFonts w:ascii="Garamond" w:eastAsia="Calibri" w:hAnsi="Garamond" w:cs="Times New Roman"/>
          <w:sz w:val="24"/>
          <w:szCs w:val="24"/>
        </w:rPr>
      </w:pPr>
      <w:r w:rsidRPr="0001424F">
        <w:rPr>
          <w:rFonts w:ascii="Garamond" w:eastAsia="Calibri" w:hAnsi="Garamond" w:cs="Times New Roman"/>
          <w:sz w:val="24"/>
          <w:szCs w:val="24"/>
        </w:rPr>
        <w:t>Ky udhëzim hyn në fuqi pas botimit në Fletoren Zyrtare.</w:t>
      </w:r>
    </w:p>
    <w:p w14:paraId="5F2B4C43" w14:textId="77777777" w:rsidR="007A753C" w:rsidRPr="0001424F" w:rsidRDefault="007A753C" w:rsidP="007A753C">
      <w:pPr>
        <w:spacing w:after="0" w:line="240" w:lineRule="auto"/>
        <w:ind w:firstLine="284"/>
        <w:jc w:val="center"/>
        <w:rPr>
          <w:rFonts w:ascii="Garamond" w:eastAsia="Calibri" w:hAnsi="Garamond" w:cs="Times New Roman"/>
          <w:b/>
          <w:sz w:val="24"/>
          <w:szCs w:val="24"/>
        </w:rPr>
      </w:pPr>
    </w:p>
    <w:p w14:paraId="1B199A7B" w14:textId="77777777" w:rsidR="007A753C" w:rsidRPr="00CA3C16" w:rsidRDefault="007A753C" w:rsidP="007A753C">
      <w:pPr>
        <w:spacing w:after="0" w:line="240" w:lineRule="auto"/>
        <w:ind w:firstLine="284"/>
        <w:jc w:val="right"/>
        <w:rPr>
          <w:rFonts w:ascii="Garamond" w:eastAsia="Calibri" w:hAnsi="Garamond" w:cs="Times New Roman"/>
          <w:sz w:val="24"/>
          <w:szCs w:val="24"/>
        </w:rPr>
      </w:pPr>
      <w:r w:rsidRPr="00CA3C16">
        <w:rPr>
          <w:rFonts w:ascii="Garamond" w:eastAsia="Calibri" w:hAnsi="Garamond" w:cs="Times New Roman"/>
          <w:sz w:val="24"/>
          <w:szCs w:val="24"/>
        </w:rPr>
        <w:t>MINISTËR I BREN</w:t>
      </w:r>
      <w:bookmarkStart w:id="0" w:name="_GoBack"/>
      <w:bookmarkEnd w:id="0"/>
      <w:r w:rsidRPr="00CA3C16">
        <w:rPr>
          <w:rFonts w:ascii="Garamond" w:eastAsia="Calibri" w:hAnsi="Garamond" w:cs="Times New Roman"/>
          <w:sz w:val="24"/>
          <w:szCs w:val="24"/>
        </w:rPr>
        <w:t>DSHËM</w:t>
      </w:r>
    </w:p>
    <w:p w14:paraId="404828FD" w14:textId="77777777" w:rsidR="007A753C" w:rsidRPr="0001424F" w:rsidRDefault="007A753C" w:rsidP="007A753C">
      <w:pPr>
        <w:spacing w:after="0" w:line="240" w:lineRule="auto"/>
        <w:ind w:firstLine="284"/>
        <w:jc w:val="right"/>
        <w:rPr>
          <w:rFonts w:ascii="Garamond" w:eastAsia="Calibri" w:hAnsi="Garamond" w:cs="Times New Roman"/>
          <w:b/>
          <w:sz w:val="24"/>
          <w:szCs w:val="24"/>
        </w:rPr>
      </w:pPr>
      <w:r w:rsidRPr="0001424F">
        <w:rPr>
          <w:rFonts w:ascii="Garamond" w:eastAsia="Calibri" w:hAnsi="Garamond" w:cs="Times New Roman"/>
          <w:b/>
          <w:sz w:val="24"/>
          <w:szCs w:val="24"/>
        </w:rPr>
        <w:t>Taulant Balla</w:t>
      </w:r>
    </w:p>
    <w:p w14:paraId="2B59569E" w14:textId="77777777" w:rsidR="007A753C" w:rsidRPr="0001424F" w:rsidRDefault="007A753C" w:rsidP="007A753C">
      <w:pPr>
        <w:spacing w:after="0" w:line="240" w:lineRule="auto"/>
        <w:ind w:firstLine="284"/>
        <w:jc w:val="right"/>
        <w:rPr>
          <w:rFonts w:ascii="Garamond" w:eastAsia="Calibri" w:hAnsi="Garamond" w:cs="Times New Roman"/>
          <w:b/>
          <w:sz w:val="24"/>
          <w:szCs w:val="24"/>
        </w:rPr>
      </w:pPr>
    </w:p>
    <w:p w14:paraId="1D5CA3AC" w14:textId="77777777" w:rsidR="000F74B6" w:rsidRPr="007A753C" w:rsidRDefault="000F74B6" w:rsidP="007A753C">
      <w:pPr>
        <w:spacing w:after="0" w:line="240" w:lineRule="auto"/>
        <w:ind w:firstLine="284"/>
      </w:pPr>
    </w:p>
    <w:sectPr w:rsidR="000F74B6" w:rsidRPr="007A753C" w:rsidSect="007A753C">
      <w:pgSz w:w="12240" w:h="15840"/>
      <w:pgMar w:top="576" w:right="1584" w:bottom="576" w:left="1584"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592D6" w14:textId="77777777" w:rsidR="00D757AA" w:rsidRDefault="00D757AA" w:rsidP="00532F17">
      <w:pPr>
        <w:spacing w:after="0" w:line="240" w:lineRule="auto"/>
      </w:pPr>
      <w:r>
        <w:separator/>
      </w:r>
    </w:p>
  </w:endnote>
  <w:endnote w:type="continuationSeparator" w:id="0">
    <w:p w14:paraId="3FD5DA51" w14:textId="77777777" w:rsidR="00D757AA" w:rsidRDefault="00D757AA" w:rsidP="00532F17">
      <w:pPr>
        <w:spacing w:after="0" w:line="240" w:lineRule="auto"/>
      </w:pPr>
      <w:r>
        <w:continuationSeparator/>
      </w:r>
    </w:p>
  </w:endnote>
  <w:endnote w:type="continuationNotice" w:id="1">
    <w:p w14:paraId="4D235170" w14:textId="77777777" w:rsidR="00D757AA" w:rsidRDefault="00D757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579AF" w14:textId="77777777" w:rsidR="00D757AA" w:rsidRDefault="00D757AA" w:rsidP="00532F17">
      <w:pPr>
        <w:spacing w:after="0" w:line="240" w:lineRule="auto"/>
      </w:pPr>
      <w:r>
        <w:separator/>
      </w:r>
    </w:p>
  </w:footnote>
  <w:footnote w:type="continuationSeparator" w:id="0">
    <w:p w14:paraId="291FA66A" w14:textId="77777777" w:rsidR="00D757AA" w:rsidRDefault="00D757AA" w:rsidP="00532F17">
      <w:pPr>
        <w:spacing w:after="0" w:line="240" w:lineRule="auto"/>
      </w:pPr>
      <w:r>
        <w:continuationSeparator/>
      </w:r>
    </w:p>
  </w:footnote>
  <w:footnote w:type="continuationNotice" w:id="1">
    <w:p w14:paraId="37D46149" w14:textId="77777777" w:rsidR="00D757AA" w:rsidRDefault="00D757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6D5"/>
    <w:rsid w:val="00011946"/>
    <w:rsid w:val="000435FF"/>
    <w:rsid w:val="00070A54"/>
    <w:rsid w:val="00071F73"/>
    <w:rsid w:val="000D3C91"/>
    <w:rsid w:val="000F47C3"/>
    <w:rsid w:val="000F74B6"/>
    <w:rsid w:val="001236D5"/>
    <w:rsid w:val="00145B3A"/>
    <w:rsid w:val="00153FFB"/>
    <w:rsid w:val="00172CC8"/>
    <w:rsid w:val="001D4AF7"/>
    <w:rsid w:val="001E1D08"/>
    <w:rsid w:val="001F5F26"/>
    <w:rsid w:val="00263571"/>
    <w:rsid w:val="0027245A"/>
    <w:rsid w:val="0028150E"/>
    <w:rsid w:val="0028295D"/>
    <w:rsid w:val="002C349A"/>
    <w:rsid w:val="00321841"/>
    <w:rsid w:val="00380C32"/>
    <w:rsid w:val="00382642"/>
    <w:rsid w:val="00420FCC"/>
    <w:rsid w:val="00443583"/>
    <w:rsid w:val="00470875"/>
    <w:rsid w:val="00474D0C"/>
    <w:rsid w:val="00490618"/>
    <w:rsid w:val="00495544"/>
    <w:rsid w:val="004D1DEF"/>
    <w:rsid w:val="004F1AF4"/>
    <w:rsid w:val="00512A61"/>
    <w:rsid w:val="00512D63"/>
    <w:rsid w:val="00532251"/>
    <w:rsid w:val="00532F17"/>
    <w:rsid w:val="00535427"/>
    <w:rsid w:val="005558B0"/>
    <w:rsid w:val="0056723B"/>
    <w:rsid w:val="0057291F"/>
    <w:rsid w:val="005914B3"/>
    <w:rsid w:val="005B5F43"/>
    <w:rsid w:val="00602CF9"/>
    <w:rsid w:val="006079CE"/>
    <w:rsid w:val="00647675"/>
    <w:rsid w:val="006A5B08"/>
    <w:rsid w:val="006C081E"/>
    <w:rsid w:val="006E1134"/>
    <w:rsid w:val="006F7FBD"/>
    <w:rsid w:val="00735007"/>
    <w:rsid w:val="007815F7"/>
    <w:rsid w:val="00787DC7"/>
    <w:rsid w:val="007A461B"/>
    <w:rsid w:val="007A753C"/>
    <w:rsid w:val="007B1F58"/>
    <w:rsid w:val="007C2E5E"/>
    <w:rsid w:val="007C334C"/>
    <w:rsid w:val="007F61B1"/>
    <w:rsid w:val="00817614"/>
    <w:rsid w:val="00821A7C"/>
    <w:rsid w:val="008277B6"/>
    <w:rsid w:val="008921F2"/>
    <w:rsid w:val="008A6CDC"/>
    <w:rsid w:val="008C0E1E"/>
    <w:rsid w:val="008C7EE7"/>
    <w:rsid w:val="008E204D"/>
    <w:rsid w:val="008F3F44"/>
    <w:rsid w:val="00923B6D"/>
    <w:rsid w:val="00936226"/>
    <w:rsid w:val="0096534E"/>
    <w:rsid w:val="00973DBB"/>
    <w:rsid w:val="00985397"/>
    <w:rsid w:val="009E6E86"/>
    <w:rsid w:val="00A237F7"/>
    <w:rsid w:val="00A70C47"/>
    <w:rsid w:val="00A72D63"/>
    <w:rsid w:val="00A83192"/>
    <w:rsid w:val="00A94482"/>
    <w:rsid w:val="00AD6F91"/>
    <w:rsid w:val="00AF2158"/>
    <w:rsid w:val="00B001B3"/>
    <w:rsid w:val="00B1350A"/>
    <w:rsid w:val="00B336C9"/>
    <w:rsid w:val="00B6695A"/>
    <w:rsid w:val="00B66E86"/>
    <w:rsid w:val="00B816FA"/>
    <w:rsid w:val="00B87060"/>
    <w:rsid w:val="00BA2AE5"/>
    <w:rsid w:val="00BA50A3"/>
    <w:rsid w:val="00BB68C0"/>
    <w:rsid w:val="00BC0901"/>
    <w:rsid w:val="00BE5BF2"/>
    <w:rsid w:val="00BE7531"/>
    <w:rsid w:val="00BF0C24"/>
    <w:rsid w:val="00BF1F5A"/>
    <w:rsid w:val="00C02D7F"/>
    <w:rsid w:val="00C06DFE"/>
    <w:rsid w:val="00C14AD9"/>
    <w:rsid w:val="00C345CA"/>
    <w:rsid w:val="00C45863"/>
    <w:rsid w:val="00C6189E"/>
    <w:rsid w:val="00C62A55"/>
    <w:rsid w:val="00C82337"/>
    <w:rsid w:val="00CA4911"/>
    <w:rsid w:val="00D25DAA"/>
    <w:rsid w:val="00D337A3"/>
    <w:rsid w:val="00D55CA8"/>
    <w:rsid w:val="00D62BC1"/>
    <w:rsid w:val="00D73E71"/>
    <w:rsid w:val="00D757AA"/>
    <w:rsid w:val="00DA1A4D"/>
    <w:rsid w:val="00DA6E2C"/>
    <w:rsid w:val="00DB6B82"/>
    <w:rsid w:val="00DC2795"/>
    <w:rsid w:val="00DD32B0"/>
    <w:rsid w:val="00DE3DC0"/>
    <w:rsid w:val="00E36531"/>
    <w:rsid w:val="00E83467"/>
    <w:rsid w:val="00EE17F4"/>
    <w:rsid w:val="00EF621D"/>
    <w:rsid w:val="00F0152D"/>
    <w:rsid w:val="00F01C68"/>
    <w:rsid w:val="00F23FBB"/>
    <w:rsid w:val="00FA39D1"/>
    <w:rsid w:val="00FB6F2F"/>
    <w:rsid w:val="00FC3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46B18"/>
  <w15:chartTrackingRefBased/>
  <w15:docId w15:val="{D3085F1C-084F-4464-A5EC-9CD9DEF1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753C"/>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753C"/>
    <w:pPr>
      <w:ind w:left="720"/>
      <w:contextualSpacing/>
    </w:pPr>
  </w:style>
  <w:style w:type="paragraph" w:styleId="Header">
    <w:name w:val="header"/>
    <w:basedOn w:val="Normal"/>
    <w:link w:val="HeaderChar"/>
    <w:uiPriority w:val="99"/>
    <w:semiHidden/>
    <w:unhideWhenUsed/>
    <w:rsid w:val="00532F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32F17"/>
  </w:style>
  <w:style w:type="paragraph" w:styleId="Footer">
    <w:name w:val="footer"/>
    <w:basedOn w:val="Normal"/>
    <w:link w:val="FooterChar"/>
    <w:uiPriority w:val="99"/>
    <w:semiHidden/>
    <w:unhideWhenUsed/>
    <w:rsid w:val="00532F1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2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A6BCC58D6A04502A12FB5FCB41E36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Nr_x002e__x0020_akti>
    <Data_x0020_e_x0020_Krijimit xmlns="0e656187-b300-4fb0-8bf4-3a50f872073c">2024-06-07T13:38:42Z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2024-06-07T00:00:00Z</Date_x0020_protokolli>
    <Titulli xmlns="0e656187-b300-4fb0-8bf4-3a50f872073c">Për përcaktimin e rregullave dhe procedurave për përdorimin e kartës së posaçme në njësitë tregtare ushqimore ose rrjetet e tyre nga punonjësit e Policisë së Shtetit</Titulli>
    <Modifikuesi xmlns="0e656187-b300-4fb0-8bf4-3a50f872073c">Suada.Daci</Modifikuesi>
    <Nr_x002e__x0020_prot_x0020_QBZ xmlns="0e656187-b300-4fb0-8bf4-3a50f872073c">1056/1</Nr_x002e__x0020_prot_x0020_QBZ>
    <Data_x0020_e_x0020_Modifikimit xmlns="0e656187-b300-4fb0-8bf4-3a50f872073c">2024-06-10T09:34:09Z</Data_x0020_e_x0020_Modifikimit>
    <Dekretuar xmlns="0e656187-b300-4fb0-8bf4-3a50f872073c">false</Dekretuar>
    <Data xmlns="0e656187-b300-4fb0-8bf4-3a50f872073c">2024-05-30T00:00:00Z</Data>
    <Nr_x002e__x0020_protokolli_x0020_i_x0020_aktit xmlns="0e656187-b300-4fb0-8bf4-3a50f872073c">4445/6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A6BCC58D6A04502A12FB5FCB41E36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E6B5C55-20C5-4D99-8228-853F34829E5B}">
  <ds:schemaRefs>
    <ds:schemaRef ds:uri="http://schemas.microsoft.com/sharepoint/v3/contenttype/forms"/>
  </ds:schemaRefs>
</ds:datastoreItem>
</file>

<file path=customXml/itemProps2.xml><?xml version="1.0" encoding="utf-8"?>
<ds:datastoreItem xmlns:ds="http://schemas.openxmlformats.org/officeDocument/2006/customXml" ds:itemID="{2CBF5D99-C085-40DE-8433-5AC3BF841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15E7AD4-1D84-447D-835A-A334B188B7F0}">
  <ds:schemaRefs>
    <ds:schemaRef ds:uri="0e656187-b300-4fb0-8bf4-3a50f872073c"/>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dcmitype/"/>
    <ds:schemaRef ds:uri="http://www.w3.org/XML/1998/namespace"/>
    <ds:schemaRef ds:uri="http://purl.org/dc/terms/"/>
  </ds:schemaRefs>
</ds:datastoreItem>
</file>

<file path=customXml/itemProps4.xml><?xml version="1.0" encoding="utf-8"?>
<ds:datastoreItem xmlns:ds="http://schemas.openxmlformats.org/officeDocument/2006/customXml" ds:itemID="{356D1856-F4A8-4838-B8F7-90777308E643}">
  <ds:schemaRefs>
    <ds:schemaRef ds:uri="http://schemas.microsoft.com/sharepoint/v3/contenttype/forms"/>
  </ds:schemaRefs>
</ds:datastoreItem>
</file>

<file path=customXml/itemProps5.xml><?xml version="1.0" encoding="utf-8"?>
<ds:datastoreItem xmlns:ds="http://schemas.openxmlformats.org/officeDocument/2006/customXml" ds:itemID="{D20B3C56-ADBB-42F4-B292-4AE92C60B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përcaktimin e rregullave dhe procedurave për përdorimin e kartës së posaçme në njësitë tregtare ushqimore ose rrjetet e tyre nga punonjësit e Policisë së Shtetit</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dhe procedurave për përdorimin e kartës së posaçme në njësitë tregtare ushqimore ose rrjetet e tyre nga punonjësit e Policisë së Shtetit</dc:title>
  <dc:creator>Entela Suli</dc:creator>
  <cp:lastModifiedBy>Fjora Cahani</cp:lastModifiedBy>
  <cp:revision>4</cp:revision>
  <dcterms:created xsi:type="dcterms:W3CDTF">2024-06-07T12:37:00Z</dcterms:created>
  <dcterms:modified xsi:type="dcterms:W3CDTF">2024-06-10T09:39:00Z</dcterms:modified>
</cp:coreProperties>
</file>