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478BF" w14:textId="404C42F1" w:rsidR="00F211B9" w:rsidRPr="00867B11" w:rsidRDefault="00744E18" w:rsidP="00744E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7B1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1940D47" w14:textId="4EB4B1C6" w:rsidR="000F74B6" w:rsidRPr="00867B11" w:rsidRDefault="00744E18" w:rsidP="00744E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7B11">
        <w:rPr>
          <w:rFonts w:ascii="Garamond" w:hAnsi="Garamond"/>
          <w:b/>
          <w:sz w:val="24"/>
          <w:szCs w:val="24"/>
          <w:lang w:val="sq-AL"/>
        </w:rPr>
        <w:t>Nr</w:t>
      </w:r>
      <w:r w:rsidR="00F617FF" w:rsidRPr="00867B11">
        <w:rPr>
          <w:rFonts w:ascii="Garamond" w:hAnsi="Garamond"/>
          <w:b/>
          <w:sz w:val="24"/>
          <w:szCs w:val="24"/>
          <w:lang w:val="sq-AL"/>
        </w:rPr>
        <w:t>.</w:t>
      </w:r>
      <w:r w:rsidR="00867B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1E13" w:rsidRPr="00867B11">
        <w:rPr>
          <w:rFonts w:ascii="Garamond" w:hAnsi="Garamond"/>
          <w:b/>
          <w:sz w:val="24"/>
          <w:szCs w:val="24"/>
          <w:lang w:val="sq-AL"/>
        </w:rPr>
        <w:t>20</w:t>
      </w:r>
      <w:r w:rsidR="003A125E" w:rsidRPr="00867B11">
        <w:rPr>
          <w:rFonts w:ascii="Garamond" w:hAnsi="Garamond"/>
          <w:b/>
          <w:sz w:val="24"/>
          <w:szCs w:val="24"/>
          <w:lang w:val="sq-AL"/>
        </w:rPr>
        <w:t>, dat</w:t>
      </w:r>
      <w:r w:rsidR="00E11E13" w:rsidRPr="00867B11">
        <w:rPr>
          <w:rFonts w:ascii="Garamond" w:hAnsi="Garamond"/>
          <w:b/>
          <w:sz w:val="24"/>
          <w:szCs w:val="24"/>
          <w:lang w:val="sq-AL"/>
        </w:rPr>
        <w:t>ë 28</w:t>
      </w:r>
      <w:r w:rsidR="00F617FF" w:rsidRPr="00867B11">
        <w:rPr>
          <w:rFonts w:ascii="Garamond" w:hAnsi="Garamond"/>
          <w:b/>
          <w:sz w:val="24"/>
          <w:szCs w:val="24"/>
          <w:lang w:val="sq-AL"/>
        </w:rPr>
        <w:t>.1.2025</w:t>
      </w:r>
    </w:p>
    <w:p w14:paraId="575F760D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4C7C9C3" w14:textId="7517BA7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PËRCAKTIMIN E FORMËS SË REGJISTRAVE DHE MODULARËVE, SI DHE MËNYRËN E MBAJTJES DHE </w:t>
      </w:r>
      <w:r w:rsidR="00FC16D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</w:t>
      </w: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RAPORTIMIT TË DHËNAVE STATISTIKORE NGA STRUKTURAT E SHËRBIMIT TË MBROJTJES NGA ZJARRI DHE SHPËTIMIT </w:t>
      </w:r>
    </w:p>
    <w:p w14:paraId="6F941966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FF0000"/>
          <w:sz w:val="24"/>
          <w:szCs w:val="24"/>
          <w:lang w:val="sq-AL"/>
        </w:rPr>
        <w:t xml:space="preserve"> </w:t>
      </w:r>
    </w:p>
    <w:p w14:paraId="1F9F5CE9" w14:textId="610CB52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Në mbështetje të pikës 4</w:t>
      </w:r>
      <w:r w:rsidR="00322D31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të nenit 102</w:t>
      </w:r>
      <w:r w:rsidR="00322D31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</w:t>
      </w:r>
      <w:r w:rsidR="00DA70BB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70B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67B11">
        <w:rPr>
          <w:rFonts w:ascii="Garamond" w:hAnsi="Garamond" w:cs="Times New Roman"/>
          <w:sz w:val="24"/>
          <w:szCs w:val="24"/>
          <w:lang w:val="sq-AL"/>
        </w:rPr>
        <w:t>ligjit nr. 17/2018</w:t>
      </w:r>
      <w:r w:rsidR="00DA70B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DA70BB" w:rsidRPr="00867B11">
        <w:rPr>
          <w:rFonts w:ascii="Garamond" w:hAnsi="Garamond" w:cs="Times New Roman"/>
          <w:sz w:val="24"/>
          <w:szCs w:val="24"/>
          <w:lang w:val="sq-AL"/>
        </w:rPr>
        <w:t>statistikat zyrtare</w:t>
      </w:r>
      <w:r w:rsidRPr="00867B11">
        <w:rPr>
          <w:rFonts w:ascii="Garamond" w:hAnsi="Garamond" w:cs="Times New Roman"/>
          <w:sz w:val="24"/>
          <w:szCs w:val="24"/>
          <w:lang w:val="sq-AL"/>
        </w:rPr>
        <w:t>”</w:t>
      </w:r>
      <w:r w:rsidR="00DA70BB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70B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67B11">
        <w:rPr>
          <w:rFonts w:ascii="Garamond" w:hAnsi="Garamond" w:cs="Times New Roman"/>
          <w:sz w:val="24"/>
          <w:szCs w:val="24"/>
          <w:lang w:val="sq-AL"/>
        </w:rPr>
        <w:t>pik</w:t>
      </w:r>
      <w:r w:rsidR="00DA70BB">
        <w:rPr>
          <w:rFonts w:ascii="Garamond" w:hAnsi="Garamond" w:cs="Times New Roman"/>
          <w:sz w:val="24"/>
          <w:szCs w:val="24"/>
          <w:lang w:val="sq-AL"/>
        </w:rPr>
        <w:t>ës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2</w:t>
      </w:r>
      <w:r w:rsidR="00322D31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70B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67B11">
        <w:rPr>
          <w:rFonts w:ascii="Garamond" w:hAnsi="Garamond" w:cs="Times New Roman"/>
          <w:sz w:val="24"/>
          <w:szCs w:val="24"/>
          <w:lang w:val="sq-AL"/>
        </w:rPr>
        <w:t>nenit 8, germa “dh”</w:t>
      </w:r>
      <w:r w:rsidR="00DA70B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të nenit 10, germa “d”</w:t>
      </w:r>
      <w:r w:rsidR="00DA70B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70B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67B11">
        <w:rPr>
          <w:rFonts w:ascii="Garamond" w:hAnsi="Garamond" w:cs="Times New Roman"/>
          <w:sz w:val="24"/>
          <w:szCs w:val="24"/>
          <w:lang w:val="sq-AL"/>
        </w:rPr>
        <w:t>nenit 11, germa “ë”</w:t>
      </w:r>
      <w:r w:rsidR="00DA70B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70BB">
        <w:rPr>
          <w:rFonts w:ascii="Garamond" w:hAnsi="Garamond" w:cs="Times New Roman"/>
          <w:sz w:val="24"/>
          <w:szCs w:val="24"/>
          <w:lang w:val="sq-AL"/>
        </w:rPr>
        <w:t>të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nenit 48</w:t>
      </w:r>
      <w:r w:rsidR="00DA70B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të ligjit nr. 152/2015</w:t>
      </w:r>
      <w:r w:rsidR="00DA70B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DA70BB" w:rsidRPr="00867B11">
        <w:rPr>
          <w:rFonts w:ascii="Garamond" w:hAnsi="Garamond" w:cs="Times New Roman"/>
          <w:sz w:val="24"/>
          <w:szCs w:val="24"/>
          <w:lang w:val="sq-AL"/>
        </w:rPr>
        <w:t>shërbimin e mbrojtjes nga zjarri dhe shpëtimin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E122EB">
        <w:rPr>
          <w:rFonts w:ascii="Garamond" w:hAnsi="Garamond" w:cs="Times New Roman"/>
          <w:sz w:val="24"/>
          <w:szCs w:val="24"/>
          <w:lang w:val="sq-AL"/>
        </w:rPr>
        <w:t>të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E122EB">
        <w:rPr>
          <w:rFonts w:ascii="Garamond" w:hAnsi="Garamond" w:cs="Times New Roman"/>
          <w:sz w:val="24"/>
          <w:szCs w:val="24"/>
          <w:lang w:val="sq-AL"/>
        </w:rPr>
        <w:t xml:space="preserve">; të </w:t>
      </w:r>
      <w:r w:rsidRPr="00867B11">
        <w:rPr>
          <w:rFonts w:ascii="Garamond" w:hAnsi="Garamond" w:cs="Times New Roman"/>
          <w:sz w:val="24"/>
          <w:szCs w:val="24"/>
          <w:lang w:val="sq-AL"/>
        </w:rPr>
        <w:t>pik</w:t>
      </w:r>
      <w:r w:rsidR="00E122EB">
        <w:rPr>
          <w:rFonts w:ascii="Garamond" w:hAnsi="Garamond" w:cs="Times New Roman"/>
          <w:sz w:val="24"/>
          <w:szCs w:val="24"/>
          <w:lang w:val="sq-AL"/>
        </w:rPr>
        <w:t>ës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2</w:t>
      </w:r>
      <w:r w:rsidR="00E122E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122EB">
        <w:rPr>
          <w:rFonts w:ascii="Garamond" w:hAnsi="Garamond" w:cs="Times New Roman"/>
          <w:sz w:val="24"/>
          <w:szCs w:val="24"/>
          <w:lang w:val="sq-AL"/>
        </w:rPr>
        <w:t>të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nenit 107</w:t>
      </w:r>
      <w:r w:rsidR="00E122E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E122EB" w:rsidRPr="00867B11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867B11">
        <w:rPr>
          <w:rFonts w:ascii="Garamond" w:hAnsi="Garamond" w:cs="Times New Roman"/>
          <w:sz w:val="24"/>
          <w:szCs w:val="24"/>
          <w:lang w:val="sq-AL"/>
        </w:rPr>
        <w:t>nr. 520, datë 25.7.2019</w:t>
      </w:r>
      <w:r w:rsidR="00E122E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E122EB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“Për miratimin e </w:t>
      </w:r>
      <w:r w:rsidR="00E122EB" w:rsidRPr="00867B11">
        <w:rPr>
          <w:rFonts w:ascii="Garamond" w:hAnsi="Garamond" w:cs="Times New Roman"/>
          <w:sz w:val="24"/>
          <w:szCs w:val="24"/>
          <w:lang w:val="sq-AL"/>
        </w:rPr>
        <w:t xml:space="preserve">rregullores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E122EB" w:rsidRPr="00867B11">
        <w:rPr>
          <w:rFonts w:ascii="Garamond" w:hAnsi="Garamond" w:cs="Times New Roman"/>
          <w:sz w:val="24"/>
          <w:szCs w:val="24"/>
          <w:lang w:val="sq-AL"/>
        </w:rPr>
        <w:t>mbrojtjen nga zjarri dhe shpëtimin</w:t>
      </w:r>
      <w:r w:rsidRPr="00867B11">
        <w:rPr>
          <w:rFonts w:ascii="Garamond" w:hAnsi="Garamond" w:cs="Times New Roman"/>
          <w:sz w:val="24"/>
          <w:szCs w:val="24"/>
          <w:lang w:val="sq-AL"/>
        </w:rPr>
        <w:t>”,</w:t>
      </w:r>
    </w:p>
    <w:p w14:paraId="3FBC1E0D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ED9B689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Cs/>
          <w:sz w:val="24"/>
          <w:szCs w:val="24"/>
          <w:lang w:val="sq-AL"/>
        </w:rPr>
        <w:t xml:space="preserve">UDHËZOJ: </w:t>
      </w:r>
    </w:p>
    <w:p w14:paraId="713C6921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599FC24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6F6AD34E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>Qëllimi</w:t>
      </w:r>
    </w:p>
    <w:p w14:paraId="70395C8E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3A0B24A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Ky udhëzim ka për qëllim përcaktimin e rregullave për mënyrën e mbajtjes dhe raportimit të dhënave statistikore në fushën e mbrojtjes nga zjarri dhe shpëtimin, si dhe përcaktimin e formës së regjistrave dhe modularëve, për këtë qëllim.</w:t>
      </w:r>
    </w:p>
    <w:p w14:paraId="26E4A0B8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BF67289" w14:textId="1C34C522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Neni 2</w:t>
      </w:r>
      <w:r w:rsidR="00867B1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894B462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Përkufizime </w:t>
      </w:r>
    </w:p>
    <w:p w14:paraId="6BD8D96F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791A5C40" w14:textId="6E56BA7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1E48E6">
        <w:rPr>
          <w:rFonts w:ascii="Garamond" w:hAnsi="Garamond" w:cs="Times New Roman"/>
          <w:sz w:val="24"/>
          <w:szCs w:val="24"/>
          <w:lang w:val="sq-AL"/>
        </w:rPr>
        <w:t>“</w:t>
      </w:r>
      <w:r w:rsidRPr="00867B11">
        <w:rPr>
          <w:rFonts w:ascii="Garamond" w:hAnsi="Garamond" w:cs="Times New Roman"/>
          <w:sz w:val="24"/>
          <w:szCs w:val="24"/>
          <w:lang w:val="sq-AL"/>
        </w:rPr>
        <w:t>Statistika</w:t>
      </w:r>
      <w:r w:rsidR="001E48E6">
        <w:rPr>
          <w:rFonts w:ascii="Garamond" w:hAnsi="Garamond" w:cs="Times New Roman"/>
          <w:sz w:val="24"/>
          <w:szCs w:val="24"/>
          <w:lang w:val="sq-AL"/>
        </w:rPr>
        <w:t>”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janë të dhëna apo informacione sasiore dhe cilësore, të përmbledhura dhe përfaqësuese që karakterizojnë një veprim, ngjarje apo dukuri brenda fushës së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="001E48E6">
        <w:rPr>
          <w:rFonts w:ascii="Garamond" w:hAnsi="Garamond" w:cs="Times New Roman"/>
          <w:sz w:val="24"/>
          <w:szCs w:val="24"/>
          <w:lang w:val="sq-AL"/>
        </w:rPr>
        <w:t>-së</w:t>
      </w:r>
      <w:r w:rsidRPr="00867B1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351F6DE" w14:textId="0B24A56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1E48E6">
        <w:rPr>
          <w:rFonts w:ascii="Garamond" w:hAnsi="Garamond" w:cs="Times New Roman"/>
          <w:sz w:val="24"/>
          <w:szCs w:val="24"/>
          <w:lang w:val="sq-AL"/>
        </w:rPr>
        <w:t>“</w:t>
      </w:r>
      <w:r w:rsidRPr="00867B11">
        <w:rPr>
          <w:rFonts w:ascii="Garamond" w:hAnsi="Garamond" w:cs="Times New Roman"/>
          <w:sz w:val="24"/>
          <w:szCs w:val="24"/>
          <w:lang w:val="sq-AL"/>
        </w:rPr>
        <w:t>Prodhim i statistikave</w:t>
      </w:r>
      <w:r w:rsidR="001E48E6">
        <w:rPr>
          <w:rFonts w:ascii="Garamond" w:hAnsi="Garamond" w:cs="Times New Roman"/>
          <w:sz w:val="24"/>
          <w:szCs w:val="24"/>
          <w:lang w:val="sq-AL"/>
        </w:rPr>
        <w:t>”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janë të gjitha veprimtaritë e strukturave të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për përgatitjen, mbledhjen, ruajtjen, përpunimin, përmbledhjen, analizën, interpretimin dhe shpërndarjen e të dhënave statistikore. </w:t>
      </w:r>
    </w:p>
    <w:p w14:paraId="7A78609C" w14:textId="274A8BFA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3. Modularët dhe </w:t>
      </w:r>
      <w:r w:rsidR="001E48E6" w:rsidRPr="00867B11">
        <w:rPr>
          <w:rFonts w:ascii="Garamond" w:hAnsi="Garamond" w:cs="Times New Roman"/>
          <w:sz w:val="24"/>
          <w:szCs w:val="24"/>
          <w:lang w:val="sq-AL"/>
        </w:rPr>
        <w:t xml:space="preserve">regjistrat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statistikorë janë bazat e të dhënave të mbledhura nga punonjësit e autorizuar të strukturës së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të përdorura për qëllime statistikore. </w:t>
      </w:r>
    </w:p>
    <w:p w14:paraId="771F4931" w14:textId="70B2DEA5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4. Aktivitet statistikor</w:t>
      </w:r>
      <w:r w:rsidR="009208EC">
        <w:rPr>
          <w:rFonts w:ascii="Garamond" w:hAnsi="Garamond" w:cs="Times New Roman"/>
          <w:sz w:val="24"/>
          <w:szCs w:val="24"/>
          <w:lang w:val="sq-AL"/>
        </w:rPr>
        <w:t>e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është çdo aktivitet që kryen shërbimi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-së, për të cilin prodhohen të dhëna sasiore dhe cilësore statistikore.</w:t>
      </w:r>
    </w:p>
    <w:p w14:paraId="0647CBC6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B611EDC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Neni 3 </w:t>
      </w:r>
    </w:p>
    <w:p w14:paraId="27E98CAE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>Regjistrat dhe modularët e aktivitetit statistikor</w:t>
      </w:r>
    </w:p>
    <w:p w14:paraId="45C6AFE0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255F4D8" w14:textId="7222EEA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1. Në strukturën e Drejtorisë së Përgjithshme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dhe strukturat vendore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krijohen regjistra dhe modularë për administrimin, përpunimin dhe analizimin e të dhënave të aktivitetit statistikor inspektues/parandalues, ndërhyrës, trajnues dhe të kapaciteteve logjistike, sipas modeleve bashkëlidhur këtij udhëzimi. </w:t>
      </w:r>
    </w:p>
    <w:p w14:paraId="669F05D1" w14:textId="55AE76A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2. Regjistrat dhe modularët mbahen në mënyrë elektronike dhe fizike. Të dhënat që përmbajnë regjistrat, modularët elektronikë dhe fizikë janë të njëjta. Drejtuesi i strukturës </w:t>
      </w:r>
      <w:r w:rsidR="007A5BF5">
        <w:rPr>
          <w:rFonts w:ascii="Garamond" w:hAnsi="Garamond" w:cs="Times New Roman"/>
          <w:sz w:val="24"/>
          <w:szCs w:val="24"/>
          <w:lang w:val="sq-AL"/>
        </w:rPr>
        <w:t>s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</w:t>
      </w:r>
      <w:r w:rsidR="00D87C0A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si në nivel qendror dhe vendor</w:t>
      </w:r>
      <w:r w:rsidR="00D87C0A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është përgjegjës për mbajtjen dhe administrimin e tyre. </w:t>
      </w:r>
    </w:p>
    <w:p w14:paraId="7DAF0CCC" w14:textId="42C7497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3. Çdo veprim që lidhet me ruajtjen modularëve dhe regjistrave kryhet nga personi i ngarkuar për të mbajtur modularët dhe regjistrat. </w:t>
      </w:r>
    </w:p>
    <w:p w14:paraId="3F8AE133" w14:textId="282DD495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4. Shërbimi vendor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krahas regjistrave të përcaktuar në akte të tjera ligjore dhe nënligjore mban edhe kët</w:t>
      </w:r>
      <w:r w:rsidR="00D87C0A">
        <w:rPr>
          <w:rFonts w:ascii="Garamond" w:hAnsi="Garamond" w:cs="Times New Roman"/>
          <w:sz w:val="24"/>
          <w:szCs w:val="24"/>
          <w:lang w:val="sq-AL"/>
        </w:rPr>
        <w:t>a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regjistra:</w:t>
      </w:r>
    </w:p>
    <w:p w14:paraId="4DEE3B5E" w14:textId="22B5D19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a) Regjistri i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>ndërhyrjeve operacionale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A3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D87C0A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1); </w:t>
      </w:r>
    </w:p>
    <w:p w14:paraId="476856D2" w14:textId="343634BF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b) Regjistri i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>inspektimeve të kundërvajtjeve administrative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A3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D87C0A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2); </w:t>
      </w:r>
    </w:p>
    <w:p w14:paraId="08D78FAF" w14:textId="1E924148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c) Regjistri i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>kapaciteteve operacionale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A3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D87C0A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3). </w:t>
      </w:r>
    </w:p>
    <w:p w14:paraId="50AFD46F" w14:textId="6E07907F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5. Shërbimi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qendror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krahas regjistrave të përcaktuara në akte të tjera nënligjore mban edhe kët</w:t>
      </w:r>
      <w:r w:rsidR="00D87C0A">
        <w:rPr>
          <w:rFonts w:ascii="Garamond" w:hAnsi="Garamond" w:cs="Times New Roman"/>
          <w:sz w:val="24"/>
          <w:szCs w:val="24"/>
          <w:lang w:val="sq-AL"/>
        </w:rPr>
        <w:t>a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regjistra: </w:t>
      </w:r>
    </w:p>
    <w:p w14:paraId="04759872" w14:textId="053AF46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a) Regjistrin e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>kualifikimeve dhe trajnimeve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</w:t>
      </w:r>
      <w:r w:rsidRPr="00867B11">
        <w:rPr>
          <w:rFonts w:ascii="Garamond" w:hAnsi="Garamond" w:cs="Times New Roman"/>
          <w:sz w:val="24"/>
          <w:szCs w:val="24"/>
          <w:lang w:val="sq-AL"/>
        </w:rPr>
        <w:t>A 3 (</w:t>
      </w:r>
      <w:r w:rsidR="00D87C0A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4); </w:t>
      </w:r>
    </w:p>
    <w:p w14:paraId="2E65F308" w14:textId="5D2DE57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b) Regjistrin e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menaxhimit dhe </w:t>
      </w:r>
      <w:r w:rsidR="00D02981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administrimit të dokumentacionit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burimeve njerëzore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strukturat vendore të shërbimit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-së, në formatin A 3 (</w:t>
      </w:r>
      <w:r w:rsidR="001A25A4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5). </w:t>
      </w:r>
    </w:p>
    <w:p w14:paraId="1829346E" w14:textId="53BA7ED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6. Shërbimi vendor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krahas modularëve të përcaktuara në akte të tjera ligjore dhe nënligjore mban edhe modularët: </w:t>
      </w:r>
    </w:p>
    <w:p w14:paraId="78A36A8A" w14:textId="41BF5F99" w:rsidR="00744E18" w:rsidRPr="00867B11" w:rsidRDefault="00744E18" w:rsidP="001A25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a) Modulari i planëzimit mujor të shërbimit, për caktimin e personelit operues për çdo turn (shërbim)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A 4</w:t>
      </w:r>
      <w:r w:rsidR="001A25A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>(</w:t>
      </w:r>
      <w:r w:rsidR="001A25A4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6); </w:t>
      </w:r>
    </w:p>
    <w:p w14:paraId="6786BE56" w14:textId="65C3494C" w:rsidR="00744E18" w:rsidRPr="00867B11" w:rsidRDefault="00744E18" w:rsidP="001A25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b) Modulari i planëzimit ditor të shërbimit, për caktimin e personelit operues për çdo turn (shërbim)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A 4</w:t>
      </w:r>
      <w:r w:rsidR="001A25A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>(</w:t>
      </w:r>
      <w:r w:rsidR="001A25A4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7); </w:t>
      </w:r>
    </w:p>
    <w:p w14:paraId="3740CBB3" w14:textId="0FDFC4D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c) Modulari i pasqyrimit të konsumit të karburanteve dhe lubrifikanteve të automjeteve dhe pajisjeve, gjatë aktivitetit operacional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A 4 (</w:t>
      </w:r>
      <w:r w:rsidR="001A25A4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8); </w:t>
      </w:r>
    </w:p>
    <w:p w14:paraId="0700CACB" w14:textId="7B83AB5E" w:rsidR="00744E18" w:rsidRPr="00867B11" w:rsidRDefault="00744E18" w:rsidP="001A25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ç) Modulari i marrjes dhe dorëzimit të shërbimit, mjeteve dhe pajisjeve, 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A4</w:t>
      </w:r>
      <w:proofErr w:type="spellEnd"/>
      <w:r w:rsidR="001A25A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>(</w:t>
      </w:r>
      <w:r w:rsidR="001A25A4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9); </w:t>
      </w:r>
    </w:p>
    <w:p w14:paraId="44707A54" w14:textId="005AFDC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d) Modulari i raportimit të emërimeve/lirimeve/pezullimeve/përjashtimeve të punonjësve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të nivelit bazë, në formatin A 4 (</w:t>
      </w:r>
      <w:r w:rsidR="001A25A4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10). </w:t>
      </w:r>
    </w:p>
    <w:p w14:paraId="2A11C547" w14:textId="01916768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7. Shërbimi vendor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dërgon në Drejtorinë e Përgjithshme të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modularët:</w:t>
      </w:r>
    </w:p>
    <w:p w14:paraId="06CA09B1" w14:textId="168F835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a) Modularin e pasqyrimit të ndërhyrjeve operacionale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A4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, shkresërisht dhe elektronikisht deri në datën 3 (tre) të muajit pasardhës (</w:t>
      </w:r>
      <w:r w:rsidR="00D02981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11); </w:t>
      </w:r>
    </w:p>
    <w:p w14:paraId="0FE27710" w14:textId="486CD04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b) Modularin e pasqyrimit të konsumit të karburanteve dhe lubrifikanteve të automjeteve dhe pajisjeve, 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A4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, sh</w:t>
      </w:r>
      <w:r w:rsidR="00777D74">
        <w:rPr>
          <w:rFonts w:ascii="Garamond" w:hAnsi="Garamond" w:cs="Times New Roman"/>
          <w:sz w:val="24"/>
          <w:szCs w:val="24"/>
          <w:lang w:val="sq-AL"/>
        </w:rPr>
        <w:t>k</w:t>
      </w:r>
      <w:r w:rsidRPr="00867B11">
        <w:rPr>
          <w:rFonts w:ascii="Garamond" w:hAnsi="Garamond" w:cs="Times New Roman"/>
          <w:sz w:val="24"/>
          <w:szCs w:val="24"/>
          <w:lang w:val="sq-AL"/>
        </w:rPr>
        <w:t>resërisht dhe elektronikisht deri në datën 3 (tre) të muajit pasardhës (</w:t>
      </w:r>
      <w:r w:rsidR="00B92339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12); </w:t>
      </w:r>
    </w:p>
    <w:p w14:paraId="7DFE5748" w14:textId="13017A6C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c) Modularin e kapaciteteve të burimeve njerëzore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A4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, sh</w:t>
      </w:r>
      <w:r w:rsidR="00777D74">
        <w:rPr>
          <w:rFonts w:ascii="Garamond" w:hAnsi="Garamond" w:cs="Times New Roman"/>
          <w:sz w:val="24"/>
          <w:szCs w:val="24"/>
          <w:lang w:val="sq-AL"/>
        </w:rPr>
        <w:t>k</w:t>
      </w:r>
      <w:r w:rsidRPr="00867B11">
        <w:rPr>
          <w:rFonts w:ascii="Garamond" w:hAnsi="Garamond" w:cs="Times New Roman"/>
          <w:sz w:val="24"/>
          <w:szCs w:val="24"/>
          <w:lang w:val="sq-AL"/>
        </w:rPr>
        <w:t>resërisht dhe elektronikisht deri në datën 3 (tre) të muajit pasardhës (</w:t>
      </w:r>
      <w:r w:rsidR="00B92339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13); </w:t>
      </w:r>
    </w:p>
    <w:p w14:paraId="21676762" w14:textId="3AC23B6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ç) Modularin e kapaciteteve operacionale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A 4, sh</w:t>
      </w:r>
      <w:r w:rsidR="00777D74">
        <w:rPr>
          <w:rFonts w:ascii="Garamond" w:hAnsi="Garamond" w:cs="Times New Roman"/>
          <w:sz w:val="24"/>
          <w:szCs w:val="24"/>
          <w:lang w:val="sq-AL"/>
        </w:rPr>
        <w:t>k</w:t>
      </w:r>
      <w:r w:rsidRPr="00867B11">
        <w:rPr>
          <w:rFonts w:ascii="Garamond" w:hAnsi="Garamond" w:cs="Times New Roman"/>
          <w:sz w:val="24"/>
          <w:szCs w:val="24"/>
          <w:lang w:val="sq-AL"/>
        </w:rPr>
        <w:t>resërisht dhe elektronikisht deri në datën 3 (tre) të muajit pasardhës (</w:t>
      </w:r>
      <w:r w:rsidR="00B92339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14); </w:t>
      </w:r>
    </w:p>
    <w:p w14:paraId="16F5E8C1" w14:textId="4C41CA7A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d) Modularin e aktivitetit parandalues dhe inspektues</w:t>
      </w:r>
      <w:r w:rsidR="00777D74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formatin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A4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, sh</w:t>
      </w:r>
      <w:r w:rsidR="00777D74">
        <w:rPr>
          <w:rFonts w:ascii="Garamond" w:hAnsi="Garamond" w:cs="Times New Roman"/>
          <w:sz w:val="24"/>
          <w:szCs w:val="24"/>
          <w:lang w:val="sq-AL"/>
        </w:rPr>
        <w:t>k</w:t>
      </w:r>
      <w:r w:rsidRPr="00867B11">
        <w:rPr>
          <w:rFonts w:ascii="Garamond" w:hAnsi="Garamond" w:cs="Times New Roman"/>
          <w:sz w:val="24"/>
          <w:szCs w:val="24"/>
          <w:lang w:val="sq-AL"/>
        </w:rPr>
        <w:t>resërisht dhe elektronikisht deri në datën 3 (tre) të muajit pasardhës (</w:t>
      </w:r>
      <w:r w:rsidR="00B92339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15); </w:t>
      </w:r>
    </w:p>
    <w:p w14:paraId="72EEF8E5" w14:textId="117F1E0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dh) Modularin e raportimit të emërimeve/lirimeve/pezullimeve/përjashtimeve të punonjësve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të nivelit bazë, në formatin A 4, sh</w:t>
      </w:r>
      <w:r w:rsidR="00777D74">
        <w:rPr>
          <w:rFonts w:ascii="Garamond" w:hAnsi="Garamond" w:cs="Times New Roman"/>
          <w:sz w:val="24"/>
          <w:szCs w:val="24"/>
          <w:lang w:val="sq-AL"/>
        </w:rPr>
        <w:t>k</w:t>
      </w:r>
      <w:r w:rsidRPr="00867B11">
        <w:rPr>
          <w:rFonts w:ascii="Garamond" w:hAnsi="Garamond" w:cs="Times New Roman"/>
          <w:sz w:val="24"/>
          <w:szCs w:val="24"/>
          <w:lang w:val="sq-AL"/>
        </w:rPr>
        <w:t>resërisht dhe elektronikisht deri në datën 3 (tre) të muajit pasardhës (</w:t>
      </w:r>
      <w:r w:rsidR="00B92339" w:rsidRPr="00867B11">
        <w:rPr>
          <w:rFonts w:ascii="Garamond" w:hAnsi="Garamond" w:cs="Times New Roman"/>
          <w:sz w:val="24"/>
          <w:szCs w:val="24"/>
          <w:lang w:val="sq-AL"/>
        </w:rPr>
        <w:t xml:space="preserve">lidhja </w:t>
      </w:r>
      <w:r w:rsidRPr="00867B11">
        <w:rPr>
          <w:rFonts w:ascii="Garamond" w:hAnsi="Garamond" w:cs="Times New Roman"/>
          <w:sz w:val="24"/>
          <w:szCs w:val="24"/>
          <w:lang w:val="sq-AL"/>
        </w:rPr>
        <w:t>nr. 10).</w:t>
      </w:r>
    </w:p>
    <w:p w14:paraId="54CF5FA7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2956A40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Neni 4</w:t>
      </w:r>
    </w:p>
    <w:p w14:paraId="2919F843" w14:textId="565A3CB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Administrimi i modularëve dhe </w:t>
      </w:r>
      <w:r w:rsidR="00B9233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i </w:t>
      </w: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regjistrave </w:t>
      </w:r>
    </w:p>
    <w:p w14:paraId="6455E21A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4DCFEF63" w14:textId="340DFD2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1. Për ruajtjen, përpunimin dhe administrimin e regjistrave dhe modularëve</w:t>
      </w: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të përcaktuar në nenin 2 të këtij udhëzimi zbatohen rregullat dhe procedurat e parashikuara nga legjislacioni në fuqi për arkivat, në përputhje me normat tekniko-profesionale dhe metodologjike të shërbimit arkivor në Republikën e Shqipërisë dhe mbikëqyret nga drejtuesi i strukturës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-së. </w:t>
      </w:r>
    </w:p>
    <w:p w14:paraId="3D1F910A" w14:textId="08E36DB4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2. Përdorimi,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aksesimi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dhe shfrytëzimi i të dhënave inspektuese/parandaluese, ndërhyrëse, trajnuese dhe të kapaciteteve logjistike që mbahen në modularë dhe regjistra, kryhet në përputhje me legjislacionin në fuqi për statistikat. </w:t>
      </w:r>
    </w:p>
    <w:p w14:paraId="7F0C11EF" w14:textId="0FE455F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3. Gabimet në regjistrin fizik korrigjohen me një vijë të drejtë me stilolaps të thjeshtë mbi tekstin e regjistruar gabimisht, duke siguruar që teksti të mbetet i lexueshëm. Informacioni i saktë më pas shënohet në po atë fushë pa mbuluar tekstin që përmban gabimin. </w:t>
      </w:r>
    </w:p>
    <w:p w14:paraId="0D18EDD8" w14:textId="2F8D2A2C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4. Regjistrat mbyllen në fund të vitit kalendarik. Mbyllja e librave të regjistrimit bëhet në atë mënyrë që në mbarim të vitit, në numrin e fundit të lëndës së regjistruar, bëhet një shënim që përmban, datën, muajin, vitin e mbylljes së regjistrit, numrin rendor të lëndës së fundit të regjistruar për atë vit.</w:t>
      </w:r>
      <w:r w:rsidR="00867B1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069403A" w14:textId="5390231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5. Regjistrat e emërtuar sipas nenit 3 të këtij udhëzimi prodhohen pranë Shtypshkronjës së Letrave me Vlerë, sipas legjislacionit për prokurimin publik.</w:t>
      </w:r>
    </w:p>
    <w:p w14:paraId="30D1B2DC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C767D4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Neni 5</w:t>
      </w:r>
    </w:p>
    <w:p w14:paraId="37E71BEA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Mbajtja dhe raportimi i evidencave statistikore </w:t>
      </w:r>
    </w:p>
    <w:p w14:paraId="3826A910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E30A879" w14:textId="47F299F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1. Drejtoritë/sektorët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mbajnë të dhënat për aktivitetin statistikor inspektues/parandalues, ndërhyrës, trajnues dhe të kapaciteteve logjistike, për periudha 1</w:t>
      </w:r>
      <w:r w:rsidR="00B92339">
        <w:rPr>
          <w:rFonts w:ascii="Garamond" w:hAnsi="Garamond" w:cs="Times New Roman"/>
          <w:sz w:val="24"/>
          <w:szCs w:val="24"/>
          <w:lang w:val="sq-AL"/>
        </w:rPr>
        <w:t>-</w:t>
      </w:r>
      <w:r w:rsidRPr="00867B11">
        <w:rPr>
          <w:rFonts w:ascii="Garamond" w:hAnsi="Garamond" w:cs="Times New Roman"/>
          <w:sz w:val="24"/>
          <w:szCs w:val="24"/>
          <w:lang w:val="sq-AL"/>
        </w:rPr>
        <w:t>mujore, 6</w:t>
      </w:r>
      <w:r w:rsidR="00B92339">
        <w:rPr>
          <w:rFonts w:ascii="Garamond" w:hAnsi="Garamond" w:cs="Times New Roman"/>
          <w:sz w:val="24"/>
          <w:szCs w:val="24"/>
          <w:lang w:val="sq-AL"/>
        </w:rPr>
        <w:t>-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mujore dhe 1</w:t>
      </w:r>
      <w:r w:rsidR="00B92339">
        <w:rPr>
          <w:rFonts w:ascii="Garamond" w:hAnsi="Garamond" w:cs="Times New Roman"/>
          <w:sz w:val="24"/>
          <w:szCs w:val="24"/>
          <w:lang w:val="sq-AL"/>
        </w:rPr>
        <w:t>-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vjeçare. </w:t>
      </w:r>
    </w:p>
    <w:p w14:paraId="6BBC05BE" w14:textId="6AE5005A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2. Për mbajtjen, plotësimin dhe raportimin e të dhënave statistikore, në strukturën e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në bashkitë qendër qarku ngarkohen shefi i sektorit të ndërhyrjes, shefi i sektorit të inspektimit/inspektori i parandalimit, ndërsa në strukturën e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në bashkitë jo qendër qarku ngarkohet shefi i sektorit, inspektori i parandalimit, drejtuesi i shuarjes së zjarrit. </w:t>
      </w:r>
    </w:p>
    <w:p w14:paraId="2735376C" w14:textId="5D296195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3. Procesi i mbajtjes dhe raportimit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dhënave statistikore për aktivitetin statistikor inspektues/parandalues, ndërhyrës, trajnues dhe të kapaciteteve logjistike mbikëqyret nga drejtuesi i strukturës së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-së. </w:t>
      </w:r>
    </w:p>
    <w:p w14:paraId="3F9BE534" w14:textId="458FC66A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4. Brenda datës 3 (tre) të çdo muaji pasardhës, drejtoritë/sektorët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në nivel vendor dërgojnë në Drejtorinë e Përgjithshme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me </w:t>
      </w:r>
      <w:r w:rsidRPr="00B92339">
        <w:rPr>
          <w:rFonts w:ascii="Garamond" w:hAnsi="Garamond" w:cs="Times New Roman"/>
          <w:i/>
          <w:iCs/>
          <w:sz w:val="24"/>
          <w:szCs w:val="24"/>
          <w:lang w:val="sq-AL"/>
        </w:rPr>
        <w:t>e-</w:t>
      </w:r>
      <w:proofErr w:type="spellStart"/>
      <w:r w:rsidRPr="00B92339">
        <w:rPr>
          <w:rFonts w:ascii="Garamond" w:hAnsi="Garamond" w:cs="Times New Roman"/>
          <w:i/>
          <w:iCs/>
          <w:sz w:val="24"/>
          <w:szCs w:val="24"/>
          <w:lang w:val="sq-AL"/>
        </w:rPr>
        <w:t>mail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dhe shkresë zyrtare, evidencat me të dhënat statistikore, për modularët e përcaktuar në pikën 7 të nenit 3 të këtij udhëzimi. </w:t>
      </w:r>
    </w:p>
    <w:p w14:paraId="5AB4D3DB" w14:textId="3594293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5. Evidencat shoqërohen me një relacion/analizë të hollësishme për veprimtarinë mujore të drejtorisë/sektorit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në zbatim të ligjit sektorial për mbrojtjen nga zjarri dhe shpëtimin. </w:t>
      </w:r>
    </w:p>
    <w:p w14:paraId="66305BD6" w14:textId="41087D8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6. Punonjësit e ngarkuar për mbajtjen, plotësimin dhe raportimin e të dhënave statistikore, gjatë hedhjes dhe përpunimit në formë elektronike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dhënave statistikore, duhet të verifikojnë dhe kontrollojnë saktësinë matematikore të tyre, duke bërë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rakordimin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e kryqëzuar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dhënave dhe treguesve statistikorë dhe për</w:t>
      </w:r>
      <w:r w:rsidR="00B923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sa është e mundur edhe vlerësimin logjik të tyre. Për çdo problematikë/shkelje të konstatuar informojnë drejtuesit përkatës. </w:t>
      </w:r>
    </w:p>
    <w:p w14:paraId="6840146E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7D5CAB2E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Neni 6 </w:t>
      </w:r>
    </w:p>
    <w:p w14:paraId="67200124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Mënyra e plotësimit të statistikave </w:t>
      </w:r>
    </w:p>
    <w:p w14:paraId="51D89E9D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7E49D362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Drejtoritë/sektorët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në plotësimin e të dhënave statistikore, respektojnë rregullat si më poshtë: </w:t>
      </w:r>
    </w:p>
    <w:p w14:paraId="713F5B72" w14:textId="5B1596D6" w:rsidR="00744E18" w:rsidRPr="00867B11" w:rsidRDefault="00744E18" w:rsidP="00744E1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1. Lidhur me mbledhjen e të dhënave statistikore për aktivitetin vendor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në fushën e aktivitetit operacional: </w:t>
      </w:r>
    </w:p>
    <w:p w14:paraId="26A42691" w14:textId="621BC9F2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a) Hartimi i raportit të ndërhyrjes (</w:t>
      </w:r>
      <w:r w:rsidR="006B26E7" w:rsidRPr="00867B11">
        <w:rPr>
          <w:rFonts w:ascii="Garamond" w:hAnsi="Garamond" w:cs="Times New Roman"/>
          <w:sz w:val="24"/>
          <w:szCs w:val="24"/>
          <w:lang w:val="sq-AL"/>
        </w:rPr>
        <w:t xml:space="preserve">formularit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nr. 15 pjesë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nr.</w:t>
      </w:r>
      <w:r w:rsidR="006B26E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>520, datë 25.7.2019</w:t>
      </w:r>
      <w:r w:rsidR="006B26E7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6B26E7" w:rsidRPr="00867B11">
        <w:rPr>
          <w:rFonts w:ascii="Garamond" w:hAnsi="Garamond" w:cs="Times New Roman"/>
          <w:sz w:val="24"/>
          <w:szCs w:val="24"/>
          <w:lang w:val="sq-AL"/>
        </w:rPr>
        <w:t>mbrojtjen nga zjarri dhe shpëtimin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”) bëhet në mënyrë elektronike nga shefi i sektorit të ndërhyrjes në bashkitë qendër qarku, nga shefi i sektorit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 në bashkitë jo qendër qarku dhe pas nënshkrimit dhe vulosjes një kopje dorëzohet në protokoll/arkiv</w:t>
      </w:r>
      <w:r w:rsidR="006B26E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ndërsa një kopje administrohet dhe </w:t>
      </w:r>
      <w:r w:rsidRPr="00867B11">
        <w:rPr>
          <w:rFonts w:ascii="Garamond" w:hAnsi="Garamond" w:cs="Times New Roman"/>
          <w:sz w:val="24"/>
          <w:szCs w:val="24"/>
          <w:lang w:val="sq-AL"/>
        </w:rPr>
        <w:lastRenderedPageBreak/>
        <w:t>ruhet në Dosjen e Raporteve të Ndërhyrjes</w:t>
      </w:r>
      <w:r w:rsidR="00D804B9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përputhje me afatet e parashikuara nga legjislacioni për arkivat. </w:t>
      </w:r>
    </w:p>
    <w:p w14:paraId="02684FC9" w14:textId="0E9F24F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b) Raporti i ndërhyrjes është një skedar që plotësohet elektronikisht që përmban të dhënat kryesore në lidhje me ndërhyrjen e kryer nga struktura operacionale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ku përfshihen data, ora, adresa, koha e njoftimit, të dhënat e njoftuesit, përshkrim të objektit të ndërhyrjes, ekzaminim vizual i skenës së ndërhyrjes, kronologjia e ngjarjeve taktika e përdorur, pozicionimi i mjeteve dhe shtrirja e formacioneve, përcaktimi i origjinës, shkakut të përafërt të zjarrit, përshkrim i përafërt i dëmeve të shkaktuara. </w:t>
      </w:r>
    </w:p>
    <w:p w14:paraId="76C993F4" w14:textId="55ACE51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c) Shërbimi vendor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ka për detyrë mbajtjen dhe administrimin e dokumentacionit të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si dhe përpilimin e statistikave për aktivitetin operacional, në përputhje me legjislacionin në fuqi dhe dërgohen në Drejtorinë e Përgjithshme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sipas modularit të përcaktuar në lidhjen nr. 11, bashkëlidhur këtij udhëzimi. </w:t>
      </w:r>
    </w:p>
    <w:p w14:paraId="2E3DF1DA" w14:textId="5789F43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ç) Të dhënat e ndërhyrjeve operacionale plotësohen në regjistrin e ndërhyrjeve operacionale, sipas lidhjes nr.</w:t>
      </w:r>
      <w:r w:rsidR="00D804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1, bashkëlidhur këtij udhëzimi. </w:t>
      </w:r>
    </w:p>
    <w:p w14:paraId="19740C7E" w14:textId="31D03E6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d) Personi fizik ose juridik, mund të kërkojë një kopje të raportit të ndërhyrjes, pasi ka provuar një interes legjitim lidhur me ngjarjen ose është i pajisur me prokurë, autorizim, dhe ka paraqitur kërkesë të motivuar pranë institucionit të bashkisë. </w:t>
      </w:r>
    </w:p>
    <w:p w14:paraId="140FFE84" w14:textId="6BF7564C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dh) Raporti i ndërhyrjes lëshohet nga struktura vendore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brenda 30 ditëve nga paraqitja e kërkesës. Në rastet kur ka një kërkesë për kryerje të aktit të ekspertimit nga organet e hetimit, raporti i ndërhyrjes lëshohet vetëm pas kalimit të 90 ditëve pas regjistrimit të ngjarjes. </w:t>
      </w:r>
    </w:p>
    <w:p w14:paraId="44A3BF08" w14:textId="381C945A" w:rsidR="00744E18" w:rsidRPr="00867B11" w:rsidRDefault="00867B11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44E18" w:rsidRPr="00867B11">
        <w:rPr>
          <w:rFonts w:ascii="Garamond" w:hAnsi="Garamond" w:cs="Times New Roman"/>
          <w:sz w:val="24"/>
          <w:szCs w:val="24"/>
          <w:lang w:val="sq-AL"/>
        </w:rPr>
        <w:t xml:space="preserve">e) Statistikat operacionale të ndërhyrjeve në zjarre të shërbimit vendor të </w:t>
      </w:r>
      <w:proofErr w:type="spellStart"/>
      <w:r w:rsidR="00744E18"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="00744E18" w:rsidRPr="00867B11">
        <w:rPr>
          <w:rFonts w:ascii="Garamond" w:hAnsi="Garamond" w:cs="Times New Roman"/>
          <w:sz w:val="24"/>
          <w:szCs w:val="24"/>
          <w:lang w:val="sq-AL"/>
        </w:rPr>
        <w:t xml:space="preserve">-së për efekt statistikor përfshijnë një gamë të gjerë të dhënave dhe përdoren për të analizuar </w:t>
      </w:r>
      <w:proofErr w:type="spellStart"/>
      <w:r w:rsidR="00744E18" w:rsidRPr="00867B11">
        <w:rPr>
          <w:rFonts w:ascii="Garamond" w:hAnsi="Garamond" w:cs="Times New Roman"/>
          <w:sz w:val="24"/>
          <w:szCs w:val="24"/>
          <w:lang w:val="sq-AL"/>
        </w:rPr>
        <w:t>performancën</w:t>
      </w:r>
      <w:proofErr w:type="spellEnd"/>
      <w:r w:rsidR="00744E18" w:rsidRPr="00867B11">
        <w:rPr>
          <w:rFonts w:ascii="Garamond" w:hAnsi="Garamond" w:cs="Times New Roman"/>
          <w:sz w:val="24"/>
          <w:szCs w:val="24"/>
          <w:lang w:val="sq-AL"/>
        </w:rPr>
        <w:t xml:space="preserve"> dhe efektivitetin e shërbimit. Disa nga treguesit kryesorë përfshijnë:</w:t>
      </w:r>
    </w:p>
    <w:p w14:paraId="58E46EC5" w14:textId="19429324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i. Numrin e ndërhyrjeve: </w:t>
      </w:r>
    </w:p>
    <w:p w14:paraId="4E7A65BD" w14:textId="2E8C50A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>Ndërhyrjet për zjarret rezidenciale (banesa private, apartamente, shtëpi)</w:t>
      </w:r>
      <w:r w:rsidR="00BE3E8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89DEC43" w14:textId="003FE0D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>-</w:t>
      </w:r>
      <w:r w:rsidR="00BE3E88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Ndërhyrje në zjarre industriale dhe komerciale (zjarre në ndërtesa dhe objekte, si fabrika, magazina, dyqane etj.); </w:t>
      </w:r>
    </w:p>
    <w:p w14:paraId="6D7D8FB1" w14:textId="7E2DB28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në automjete (veturë, kamionë, autobusë); </w:t>
      </w:r>
    </w:p>
    <w:p w14:paraId="04FE72D7" w14:textId="095F35B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>Ndërhyrjet në aksidentet rrugore;</w:t>
      </w: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0884732" w14:textId="2932195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>Ndërhyrjet për shpëtim</w:t>
      </w:r>
      <w:r w:rsidR="00BE3E8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7201FA1" w14:textId="3C0F5D2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>Ndërhyrje për zjarret në pyje dhe zona të hapura (zjarre në zona pyjore, fusha, parqe dhe zona të tjera të hapura)</w:t>
      </w:r>
      <w:r w:rsidR="00BE3E8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66A54DB" w14:textId="760CFFFA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në ndërtesa publike (shkolla, spitale, qendra tregtare, ndërtesa administrative etj.). </w:t>
      </w:r>
    </w:p>
    <w:p w14:paraId="584628A7" w14:textId="0C9FCE5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. Sipas shkallës së shuarjes së zjarrit</w:t>
      </w:r>
      <w:r w:rsidR="006F6061">
        <w:rPr>
          <w:rFonts w:ascii="Garamond" w:hAnsi="Garamond" w:cs="Times New Roman"/>
          <w:sz w:val="24"/>
          <w:szCs w:val="24"/>
          <w:lang w:val="sq-AL"/>
        </w:rPr>
        <w:t>: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692795E" w14:textId="6338F1F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të vogla (zjarre të kontrollueshme me dëme minimale); </w:t>
      </w:r>
    </w:p>
    <w:p w14:paraId="0C46D7CE" w14:textId="4F27601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të mesme (zjarre që kërkojnë ndërhyrje të konsiderueshme për t’u shuar dhe shkaktojnë dëme më të mëdha); </w:t>
      </w:r>
    </w:p>
    <w:p w14:paraId="14D1A659" w14:textId="33FB215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të mëdha (zjarre që kërkojnë një reagim të gjerë dhe shkaktojnë dëme të konsiderueshme në pronë, ose rrezikojnë jetën e njerëzve dhe gjësë së gjallë). </w:t>
      </w:r>
    </w:p>
    <w:p w14:paraId="49E753C3" w14:textId="7CDA1AD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. Kohën e reagimit të njësive operacionale</w:t>
      </w:r>
      <w:r w:rsidR="0084331C">
        <w:rPr>
          <w:rFonts w:ascii="Garamond" w:hAnsi="Garamond" w:cs="Times New Roman"/>
          <w:sz w:val="24"/>
          <w:szCs w:val="24"/>
          <w:lang w:val="sq-AL"/>
        </w:rPr>
        <w:t>: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A8538DB" w14:textId="6096C2B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Koha mesatare e mbërritjes në vendngjarje; </w:t>
      </w:r>
    </w:p>
    <w:p w14:paraId="73E2FB4D" w14:textId="5582F24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Koha e njoftimit deri në nisjen e njësisë zjarrfikëse; </w:t>
      </w:r>
    </w:p>
    <w:p w14:paraId="65CFBFB1" w14:textId="4FC94B9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Koha e reagimit për kategori të ndryshme të ndërhyrjeve. </w:t>
      </w:r>
    </w:p>
    <w:p w14:paraId="6DF9D9EA" w14:textId="7DBAC74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. Numrin e njësive operacionale të përfshira: </w:t>
      </w:r>
    </w:p>
    <w:p w14:paraId="2529E670" w14:textId="02CD179F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 i punonjësve zjarrfikës të përfshirë për ndërhyrje; </w:t>
      </w:r>
    </w:p>
    <w:p w14:paraId="537A170D" w14:textId="2B13681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 i automjeteve dhe pajisjeve të përdorura për ndërhyrje. </w:t>
      </w:r>
    </w:p>
    <w:p w14:paraId="0DD328B0" w14:textId="6FB402EC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v. Rezultatet e ndërhyrjes: </w:t>
      </w:r>
    </w:p>
    <w:p w14:paraId="78CCAF0B" w14:textId="0168F07F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>Numri i jetëve të shpëtuara</w:t>
      </w:r>
      <w:r w:rsidR="0084331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F64214B" w14:textId="5A66CF38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lastRenderedPageBreak/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 i personave të evakuuar; </w:t>
      </w:r>
    </w:p>
    <w:p w14:paraId="1F5E3475" w14:textId="6D5C94C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përafërt e pronës së shpëtuar nga zjarri. </w:t>
      </w:r>
    </w:p>
    <w:p w14:paraId="7C0F29CB" w14:textId="2C614A7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. Shkaku i ndërhyrjeve (</w:t>
      </w:r>
      <w:r w:rsidR="0084331C" w:rsidRPr="00867B11">
        <w:rPr>
          <w:rFonts w:ascii="Garamond" w:hAnsi="Garamond" w:cs="Times New Roman"/>
          <w:sz w:val="24"/>
          <w:szCs w:val="24"/>
          <w:lang w:val="sq-AL"/>
        </w:rPr>
        <w:t xml:space="preserve">shkaqet </w:t>
      </w:r>
      <w:r w:rsidRPr="00867B11">
        <w:rPr>
          <w:rFonts w:ascii="Garamond" w:hAnsi="Garamond" w:cs="Times New Roman"/>
          <w:sz w:val="24"/>
          <w:szCs w:val="24"/>
          <w:lang w:val="sq-AL"/>
        </w:rPr>
        <w:t>kryesore të zjarreve)</w:t>
      </w:r>
      <w:r w:rsidR="0084331C" w:rsidRPr="00867B11">
        <w:rPr>
          <w:rFonts w:ascii="Garamond" w:hAnsi="Garamond" w:cs="Times New Roman"/>
          <w:sz w:val="24"/>
          <w:szCs w:val="24"/>
          <w:lang w:val="sq-AL"/>
        </w:rPr>
        <w:t>:</w:t>
      </w:r>
    </w:p>
    <w:p w14:paraId="6CC340E9" w14:textId="2B72CA8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aksidentale (zjarre të shkaktuara nga aksidente dhe gabime si lëvizje të pakujdesshme, defekte elektrike, rrjedhje gazi etj.; </w:t>
      </w:r>
    </w:p>
    <w:p w14:paraId="199E27B4" w14:textId="563B3C2C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natyrale (zjarre të shkaktuara nga faktorë natyralë, si rrufetë); </w:t>
      </w:r>
    </w:p>
    <w:p w14:paraId="6365DE02" w14:textId="0982A5C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teknike (zjarre të shkaktuara nga defekte ose dështime teknike); </w:t>
      </w:r>
    </w:p>
    <w:p w14:paraId="5602E6B7" w14:textId="70E79756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Zjarre të qëllimshme (zjarre të shkaktuara qëllimisht për të dëmtuar pronën ose për qëllime të tjera kriminale). </w:t>
      </w:r>
    </w:p>
    <w:p w14:paraId="4859DB36" w14:textId="133A7C2A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vii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. Shpenzimet dhe burimet: </w:t>
      </w:r>
    </w:p>
    <w:p w14:paraId="3A3B9390" w14:textId="10DDF612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Buxheti i shpenzuar për ndërhyrje; </w:t>
      </w:r>
    </w:p>
    <w:p w14:paraId="1A98D933" w14:textId="60BBD2F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>Kostot operative për kategori të ndryshme të ndërhyrjeve;</w:t>
      </w:r>
    </w:p>
    <w:p w14:paraId="74D143DA" w14:textId="33AEA2B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color w:val="242424"/>
          <w:sz w:val="24"/>
          <w:szCs w:val="24"/>
          <w:lang w:val="sq-AL"/>
        </w:rPr>
        <w:t xml:space="preserve">- </w:t>
      </w:r>
      <w:r w:rsidRPr="00867B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Shpenzimet për mirëmbajtjen dhe përmirësimin e pajisjeve. </w:t>
      </w:r>
    </w:p>
    <w:p w14:paraId="1B250998" w14:textId="6D64CB62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2. Mbledhja e të dhënave statistikore për aktivitetin në fushën e parandalimit dhe inspektimit të mbrojtjes nga zjarri dhe shpëtimin, si një proces i rëndësishëm për sigurinë publike dhe menaxhimin e rrezikut, përfshin grumbullimin dhe analizën e informacionit lidhur me:</w:t>
      </w:r>
      <w:r w:rsidR="00867B1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6EDC862" w14:textId="14395EE5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a) Miratimin e dokumentacioneve tekniko</w:t>
      </w:r>
      <w:r w:rsidR="00937CDB">
        <w:rPr>
          <w:rFonts w:ascii="Garamond" w:hAnsi="Garamond" w:cs="Times New Roman"/>
          <w:sz w:val="24"/>
          <w:szCs w:val="24"/>
          <w:lang w:val="sq-AL"/>
        </w:rPr>
        <w:t>-</w:t>
      </w:r>
      <w:r w:rsidRPr="00867B11">
        <w:rPr>
          <w:rFonts w:ascii="Garamond" w:hAnsi="Garamond" w:cs="Times New Roman"/>
          <w:sz w:val="24"/>
          <w:szCs w:val="24"/>
          <w:lang w:val="sq-AL"/>
        </w:rPr>
        <w:t>ligjore për mbrojtjen nga zjarri dhe shpëtimin (miratim të projektit të mbrojtjes nga zjarri, certifikimin/ripërtëritjen e certifikimit të objekteve/aktiviteteve)</w:t>
      </w:r>
      <w:r w:rsidR="001D6862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B2D5256" w14:textId="553D9D08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b) Numrin e inspektimeve të programuara/të paprogramuara, masat administrative (gjobë, bllokim të strukturës/aktivitetit, dënimet plotësuese të “pezullimit”, “ndërprerje të veprimtarisë”, si dhe kallëzimet penale), duke përfshirë ndërtesa publike, private dhe industriale, për të verifikuar pajtueshmërinë me standardet e miratuara</w:t>
      </w:r>
      <w:r w:rsidR="001D6862">
        <w:rPr>
          <w:rFonts w:ascii="Garamond" w:hAnsi="Garamond" w:cs="Times New Roman"/>
          <w:sz w:val="24"/>
          <w:szCs w:val="24"/>
          <w:lang w:val="sq-AL"/>
        </w:rPr>
        <w:t>;</w:t>
      </w:r>
      <w:r w:rsidR="00867B1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4BC7519" w14:textId="12D38C5F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c) Numri i shkeljeve të evidentuara</w:t>
      </w:r>
      <w:r w:rsidR="005F7F51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si shkeljet e rregulloreve të zjarrit të konstatuara gjatë inspektimeve, si mangësi në sistemet e alarmit, evakuimit, ose pajisjeve aktive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antizjarr</w:t>
      </w:r>
      <w:proofErr w:type="spellEnd"/>
      <w:r w:rsidR="001D6862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CE52157" w14:textId="5F6BA94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ç) Të dhënat e sipërcituara plotësohen në regjistrin e inspektimeve </w:t>
      </w:r>
      <w:r w:rsidR="005F7F51">
        <w:rPr>
          <w:rFonts w:ascii="Garamond" w:hAnsi="Garamond" w:cs="Times New Roman"/>
          <w:sz w:val="24"/>
          <w:szCs w:val="24"/>
          <w:lang w:val="sq-AL"/>
        </w:rPr>
        <w:t>dhe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kundërvajtjeve administrative, sipas lidhjes nr.</w:t>
      </w:r>
      <w:r w:rsidR="003D0DC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>2, bashkëlidhur këtij udhëzimi</w:t>
      </w:r>
      <w:r w:rsidR="001D6862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D3CD79A" w14:textId="75047A81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d) Shërbimi vendor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ka për detyrë mbajtjen dhe administrimin e dokumentacionit të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si dhe përpilimin e statistikave për aktivitetin e parandalimit dhe inspektimit, në përputhje me legjislacionin në fuqi dhe dërgohen në Drejtorinë e Përgjithshme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sipas modularit në lidhjen nr. 15, bashkëlidhur këtij udhëzimi. </w:t>
      </w:r>
    </w:p>
    <w:p w14:paraId="62281658" w14:textId="73EE6C5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3. Mbledhja e të dhënave statistikore për aktivitetin qendror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në fushën e aktivitetit kualifikues dhe trajnues, me qëllim sigurimin e informacionit lidhur me përgatitjen intelektuale dhe profesionale, përfshin: </w:t>
      </w:r>
    </w:p>
    <w:p w14:paraId="36EE2149" w14:textId="059D5945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a) Të dhëna mbi kualifikimet, trajnimet e personelit të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-së, të personelit të mbrojtjes nga zjarri dhe sh</w:t>
      </w:r>
      <w:bookmarkStart w:id="0" w:name="_GoBack"/>
      <w:bookmarkEnd w:id="0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pëtimin të objekteve me rëndësi ekonomike e strategjike dhe të shërbimit vullnetar për mbrojtjen nga zjarri dhe shpëtimin në Akademinë e Sigurisë dhe qendrat e tjera të sigurisë e të inspektimit; </w:t>
      </w:r>
    </w:p>
    <w:p w14:paraId="687FB5E6" w14:textId="570E56BF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b) Të dhëna mbi trajnimet e organizuara dhe zhvilluara për punonjësit e çdo niveli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-së, në përputhje me nevojat e zhvillimit profesional individual;</w:t>
      </w:r>
    </w:p>
    <w:p w14:paraId="0672243B" w14:textId="3C65D77D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c) Të dhëna të stërvitjes individuale të avancuar në harmoni me kërkesat operacionale të strukturave të Policisë së Shtetit, Shërbimit të Urgjencës, apo strukturave të tjera operuese;</w:t>
      </w:r>
    </w:p>
    <w:p w14:paraId="63E49F95" w14:textId="7F5567B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ç)</w:t>
      </w:r>
      <w:r w:rsidR="00867B1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Mbledhja e të dhënave statistikore për aktivitetin e trajnimit në Akademinë e Sigurisë, plotësohen, sipas lidhjes nr. 4, bashkëlidhur këtij udhëzimi. </w:t>
      </w:r>
    </w:p>
    <w:p w14:paraId="54CB0127" w14:textId="2ABA54C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4. Mbledhja e të dhënave për kapacitetet e strukturave të shërbimit vendor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>-së, me qëllim vlerësimin e efektivitetit dhe gatishmërisë së shërbimit përfshin:</w:t>
      </w:r>
    </w:p>
    <w:p w14:paraId="0AF80FD6" w14:textId="2054B35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a) Të dhëna mbi automjetet zjarrfikëse (numri dhe lloji i automjeteve zjarrfikëse, autocisterna, kamionë për shpëtimin, automjete specializuara); </w:t>
      </w:r>
    </w:p>
    <w:p w14:paraId="69842FF9" w14:textId="3840AA48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lastRenderedPageBreak/>
        <w:t>b) Të dhëna mbi pajisjet dhe mjetet (pajisje të tilla</w:t>
      </w:r>
      <w:r w:rsidR="003D0DC6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si shkallët, pompat, pajisjet mbrojtëse personale, aparatet e frymëmarrjes etj</w:t>
      </w:r>
      <w:r w:rsidR="003D0DC6">
        <w:rPr>
          <w:rFonts w:ascii="Garamond" w:hAnsi="Garamond" w:cs="Times New Roman"/>
          <w:sz w:val="24"/>
          <w:szCs w:val="24"/>
          <w:lang w:val="sq-AL"/>
        </w:rPr>
        <w:t>.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); </w:t>
      </w:r>
    </w:p>
    <w:p w14:paraId="0F315C3F" w14:textId="2906EBE9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c) Të dhëna mbi stacionet zjarrfikëse (numri i stacioneve dhe shpërndarja e tyre gjeografike)</w:t>
      </w:r>
      <w:r w:rsidR="00647547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3AC88DE" w14:textId="61D4938B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ç) Mbledhja e të dhënave statistikore për aktivitetin e kapaciteteve operacionale nga shërbimi vendor i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-së, plotësohen sipas lidhjes nr. 3, bashkëlidhur këtij udhëzimi. </w:t>
      </w:r>
    </w:p>
    <w:p w14:paraId="3D0B9E64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1C831FB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Neni 7 </w:t>
      </w:r>
    </w:p>
    <w:p w14:paraId="783220E1" w14:textId="6548786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>Përdorimi i të dhënave statistikore</w:t>
      </w:r>
      <w:r w:rsidR="00867B11"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6244882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FE7BDE" w14:textId="1EF5C87C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Të dhënat statistikore përdoren</w:t>
      </w:r>
      <w:r w:rsidR="00730B5D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për: </w:t>
      </w:r>
    </w:p>
    <w:p w14:paraId="45E2C8EB" w14:textId="156E5AC0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a) Përmirësimin e planifikimit të parandalimit dhe gatishmërisë për emergjencat</w:t>
      </w:r>
      <w:r w:rsidR="00730B5D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842ADF9" w14:textId="16E1F753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b) Përmirësimin e hartimit të politikave dhe rregulloreve për mbrojtjen nga zjarri</w:t>
      </w:r>
      <w:r w:rsidR="00730B5D">
        <w:rPr>
          <w:rFonts w:ascii="Garamond" w:hAnsi="Garamond" w:cs="Times New Roman"/>
          <w:sz w:val="24"/>
          <w:szCs w:val="24"/>
          <w:lang w:val="sq-AL"/>
        </w:rPr>
        <w:t>;</w:t>
      </w:r>
      <w:r w:rsidR="00867B11"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118F1B1" w14:textId="4694263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c) Trajnim dhe edukim. Organizimin e trajnimeve dhe fushatave të ndërgjegjësimit për publikun dhe profesionistët</w:t>
      </w:r>
      <w:r w:rsidR="00730B5D">
        <w:rPr>
          <w:rFonts w:ascii="Garamond" w:hAnsi="Garamond" w:cs="Times New Roman"/>
          <w:sz w:val="24"/>
          <w:szCs w:val="24"/>
          <w:lang w:val="sq-AL"/>
        </w:rPr>
        <w:t>;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4FCCAAC" w14:textId="5F38DC63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d) Hartimin e analizave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performancës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. Vlerësimin e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performancës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së shërbimeve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-së dhe identifikimi i fushave për përmirësim. </w:t>
      </w:r>
    </w:p>
    <w:p w14:paraId="00F80B3E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6D40C6F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Neni 8</w:t>
      </w:r>
    </w:p>
    <w:p w14:paraId="4FEDE008" w14:textId="13C6DA63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>Shkeljet dhe përgjegjësia disiplinore</w:t>
      </w:r>
      <w:r w:rsidR="00867B11"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73B872D0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198296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Mospërmbushja</w:t>
      </w:r>
      <w:proofErr w:type="spellEnd"/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e detyrimeve të përcaktuara në këtë udhëzim, kur nuk përbën vepër penale, përbën shkelje disiplinore. </w:t>
      </w:r>
    </w:p>
    <w:p w14:paraId="1BB3730F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4E51D3A0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>Neni 9</w:t>
      </w:r>
    </w:p>
    <w:p w14:paraId="34307E69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Dispozita të fundit dhe zbatuese </w:t>
      </w:r>
    </w:p>
    <w:p w14:paraId="436E6174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9D7AC6" w14:textId="3DEB519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1. Për zbatimin e këtij udhëzimi ngarkohen strukturat e shërbimit të </w:t>
      </w:r>
      <w:proofErr w:type="spellStart"/>
      <w:r w:rsidRPr="00867B11">
        <w:rPr>
          <w:rFonts w:ascii="Garamond" w:hAnsi="Garamond" w:cs="Times New Roman"/>
          <w:sz w:val="24"/>
          <w:szCs w:val="24"/>
          <w:lang w:val="sq-AL"/>
        </w:rPr>
        <w:t>MZSH</w:t>
      </w:r>
      <w:proofErr w:type="spellEnd"/>
      <w:r w:rsidR="00730B5D">
        <w:rPr>
          <w:rFonts w:ascii="Garamond" w:hAnsi="Garamond" w:cs="Times New Roman"/>
          <w:sz w:val="24"/>
          <w:szCs w:val="24"/>
          <w:lang w:val="sq-AL"/>
        </w:rPr>
        <w:t>-së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në bashki, ndërsa për mbikëqyrjen dhe kontrollin e zbatimit të këtij udhëzimi ngarkohet Drejtoria e Përgjithshme e Mbrojtjes nga Zjarri dhe Shpëtimin. </w:t>
      </w:r>
    </w:p>
    <w:p w14:paraId="407C03C0" w14:textId="1C5F7CD3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2. Udhëzimi i </w:t>
      </w:r>
      <w:r w:rsidR="00C46355" w:rsidRPr="00867B11">
        <w:rPr>
          <w:rFonts w:ascii="Garamond" w:hAnsi="Garamond" w:cs="Times New Roman"/>
          <w:sz w:val="24"/>
          <w:szCs w:val="24"/>
          <w:lang w:val="sq-AL"/>
        </w:rPr>
        <w:t xml:space="preserve">ministrit </w:t>
      </w:r>
      <w:r w:rsidRPr="00867B11">
        <w:rPr>
          <w:rFonts w:ascii="Garamond" w:hAnsi="Garamond" w:cs="Times New Roman"/>
          <w:sz w:val="24"/>
          <w:szCs w:val="24"/>
          <w:lang w:val="sq-AL"/>
        </w:rPr>
        <w:t>të Punëve të Brendshme nr. 100, datë 14.7.2014</w:t>
      </w:r>
      <w:r w:rsidR="00C46355">
        <w:rPr>
          <w:rFonts w:ascii="Garamond" w:hAnsi="Garamond" w:cs="Times New Roman"/>
          <w:sz w:val="24"/>
          <w:szCs w:val="24"/>
          <w:lang w:val="sq-AL"/>
        </w:rPr>
        <w:t>,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C46355" w:rsidRPr="00867B11">
        <w:rPr>
          <w:rFonts w:ascii="Garamond" w:hAnsi="Garamond" w:cs="Times New Roman"/>
          <w:sz w:val="24"/>
          <w:szCs w:val="24"/>
          <w:lang w:val="sq-AL"/>
        </w:rPr>
        <w:t xml:space="preserve">statistikat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C46355" w:rsidRPr="00867B11">
        <w:rPr>
          <w:rFonts w:ascii="Garamond" w:hAnsi="Garamond" w:cs="Times New Roman"/>
          <w:sz w:val="24"/>
          <w:szCs w:val="24"/>
          <w:lang w:val="sq-AL"/>
        </w:rPr>
        <w:t xml:space="preserve">strukturave 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të Policisë </w:t>
      </w:r>
      <w:r w:rsidR="00C46355">
        <w:rPr>
          <w:rFonts w:ascii="Garamond" w:hAnsi="Garamond" w:cs="Times New Roman"/>
          <w:sz w:val="24"/>
          <w:szCs w:val="24"/>
          <w:lang w:val="sq-AL"/>
        </w:rPr>
        <w:t>s</w:t>
      </w: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ë Mbrojtjes nga Zjarri dhe për Shpëtimin”, si dhe çdo parashikim tjetër që bie ndesh me këtë udhëzim shfuqizohen. </w:t>
      </w:r>
    </w:p>
    <w:p w14:paraId="15D2F51D" w14:textId="543B6D1E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sz w:val="24"/>
          <w:szCs w:val="24"/>
          <w:lang w:val="sq-AL"/>
        </w:rPr>
        <w:t xml:space="preserve">Ky udhëzim hyn në fuqi pas botimit në Fletoren Zyrtare. </w:t>
      </w:r>
    </w:p>
    <w:p w14:paraId="59121567" w14:textId="77777777" w:rsidR="00744E18" w:rsidRPr="00867B11" w:rsidRDefault="00744E18" w:rsidP="00744E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1BA74EFC" w14:textId="4D8FCE26" w:rsidR="00744E18" w:rsidRPr="00867B11" w:rsidRDefault="003F4FEF" w:rsidP="003F4F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67B11">
        <w:rPr>
          <w:rFonts w:ascii="Garamond" w:hAnsi="Garamond" w:cs="Times New Roman"/>
          <w:bCs/>
          <w:sz w:val="24"/>
          <w:szCs w:val="24"/>
          <w:lang w:val="sq-AL"/>
        </w:rPr>
        <w:t xml:space="preserve"> MINISTËR I BRENDSHËM</w:t>
      </w:r>
    </w:p>
    <w:p w14:paraId="6B8B5C79" w14:textId="2B683EE2" w:rsidR="00744E18" w:rsidRPr="00867B11" w:rsidRDefault="00744E18" w:rsidP="003F4F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>Ervin</w:t>
      </w:r>
      <w:proofErr w:type="spellEnd"/>
      <w:r w:rsidRPr="00867B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Hoxha </w:t>
      </w:r>
    </w:p>
    <w:p w14:paraId="1C524110" w14:textId="4E330AE0" w:rsidR="00744E18" w:rsidRPr="00867B11" w:rsidRDefault="00744E18" w:rsidP="003F4F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7351862" w14:textId="489F49D8" w:rsidR="00A95C7C" w:rsidRPr="00867B11" w:rsidRDefault="00A95C7C" w:rsidP="00A95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2049240A" wp14:editId="2D916AC2">
            <wp:extent cx="7511415" cy="55306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 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" t="4298" b="2776"/>
                    <a:stretch/>
                  </pic:blipFill>
                  <pic:spPr bwMode="auto">
                    <a:xfrm rot="16200000">
                      <a:off x="0" y="0"/>
                      <a:ext cx="7531948" cy="554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E0C16E" w14:textId="41D5B9EB" w:rsidR="00E15294" w:rsidRPr="00867B11" w:rsidRDefault="00E15294" w:rsidP="00A95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A434A" w14:textId="1F043C56" w:rsidR="00F85AE7" w:rsidRPr="00867B11" w:rsidRDefault="00F85AE7" w:rsidP="00A95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8B698A" w14:textId="615E983A" w:rsidR="00F85AE7" w:rsidRPr="00867B11" w:rsidRDefault="00F85AE7" w:rsidP="006779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2CF4608A" wp14:editId="0D667F81">
            <wp:extent cx="7111564" cy="5029760"/>
            <wp:effectExtent l="0" t="6667" r="6667" b="666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nder1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4951" cy="503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6ED82748" wp14:editId="7204ABB6">
            <wp:extent cx="6967169" cy="4927634"/>
            <wp:effectExtent l="0" t="9207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nder1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75578" cy="493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65616F67" wp14:editId="158AF40D">
            <wp:extent cx="7507093" cy="4324077"/>
            <wp:effectExtent l="0" t="8573" r="9208" b="9207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nder1_Page_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52" b="19409"/>
                    <a:stretch/>
                  </pic:blipFill>
                  <pic:spPr bwMode="auto">
                    <a:xfrm rot="16200000">
                      <a:off x="0" y="0"/>
                      <a:ext cx="7519318" cy="4331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65EE38F0" wp14:editId="4D17900E">
            <wp:extent cx="7280205" cy="4238157"/>
            <wp:effectExtent l="0" t="317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nder1_Page_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53" b="18613"/>
                    <a:stretch/>
                  </pic:blipFill>
                  <pic:spPr bwMode="auto">
                    <a:xfrm rot="16200000">
                      <a:off x="0" y="0"/>
                      <a:ext cx="7295804" cy="4247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7F878CA9" wp14:editId="6C4C7FF2">
            <wp:extent cx="7598467" cy="4675977"/>
            <wp:effectExtent l="0" t="5398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nder1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82" b="12083"/>
                    <a:stretch/>
                  </pic:blipFill>
                  <pic:spPr bwMode="auto">
                    <a:xfrm rot="16200000">
                      <a:off x="0" y="0"/>
                      <a:ext cx="7609913" cy="4683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419D2BFD" wp14:editId="50D36019">
            <wp:extent cx="5943600" cy="7696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nder1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05C6683A" wp14:editId="1A46BC59">
            <wp:extent cx="7390063" cy="4893349"/>
            <wp:effectExtent l="0" t="9207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nder1_Page_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7" b="7146"/>
                    <a:stretch/>
                  </pic:blipFill>
                  <pic:spPr bwMode="auto">
                    <a:xfrm rot="16200000">
                      <a:off x="0" y="0"/>
                      <a:ext cx="7401353" cy="490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643FDAB5" wp14:editId="0B1C41B8">
            <wp:extent cx="5943600" cy="7696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nder1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4F5D11CA" wp14:editId="0EA3EA74">
            <wp:extent cx="5943600" cy="730404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nder1_Page_09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0"/>
                    <a:stretch/>
                  </pic:blipFill>
                  <pic:spPr bwMode="auto">
                    <a:xfrm>
                      <a:off x="0" y="0"/>
                      <a:ext cx="5943600" cy="7304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5DB673A8" wp14:editId="6CA6B75F">
            <wp:extent cx="5943600" cy="76917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nder1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117A5C15" wp14:editId="45BF8087">
            <wp:extent cx="7087096" cy="5476599"/>
            <wp:effectExtent l="5080" t="0" r="508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nder1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96994" cy="54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452A8192" wp14:editId="49E4CA29">
            <wp:extent cx="6955422" cy="5374847"/>
            <wp:effectExtent l="9208" t="0" r="7302" b="7303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nder1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66949" cy="538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4702CFE3" wp14:editId="29D67260">
            <wp:extent cx="6750597" cy="5216567"/>
            <wp:effectExtent l="4762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nder1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59375" cy="522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71BC8BC7" wp14:editId="574FB1C7">
            <wp:extent cx="7404523" cy="4948886"/>
            <wp:effectExtent l="8572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nder1_Page_1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8" b="5654"/>
                    <a:stretch/>
                  </pic:blipFill>
                  <pic:spPr bwMode="auto">
                    <a:xfrm rot="16200000">
                      <a:off x="0" y="0"/>
                      <a:ext cx="7417167" cy="4957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28FEBCC5" wp14:editId="53AB52A8">
            <wp:extent cx="6775594" cy="4525509"/>
            <wp:effectExtent l="1270" t="0" r="762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inder1_Page_1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8" t="8282" b="8248"/>
                    <a:stretch/>
                  </pic:blipFill>
                  <pic:spPr bwMode="auto">
                    <a:xfrm rot="16200000">
                      <a:off x="0" y="0"/>
                      <a:ext cx="6783726" cy="4530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7B11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5386A60F" wp14:editId="4A6250EA">
            <wp:extent cx="7222490" cy="5144796"/>
            <wp:effectExtent l="0" t="8890" r="762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nder1_Page_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01" b="4904"/>
                    <a:stretch/>
                  </pic:blipFill>
                  <pic:spPr bwMode="auto">
                    <a:xfrm rot="16200000">
                      <a:off x="0" y="0"/>
                      <a:ext cx="7240334" cy="5157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5AE7" w:rsidRPr="00867B11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05B3A" w14:textId="77777777" w:rsidR="00867B11" w:rsidRDefault="00867B11" w:rsidP="00867B11">
      <w:pPr>
        <w:spacing w:after="0" w:line="240" w:lineRule="auto"/>
      </w:pPr>
      <w:r>
        <w:separator/>
      </w:r>
    </w:p>
  </w:endnote>
  <w:endnote w:type="continuationSeparator" w:id="0">
    <w:p w14:paraId="607FF5B4" w14:textId="77777777" w:rsidR="00867B11" w:rsidRDefault="00867B11" w:rsidP="00867B11">
      <w:pPr>
        <w:spacing w:after="0" w:line="240" w:lineRule="auto"/>
      </w:pPr>
      <w:r>
        <w:continuationSeparator/>
      </w:r>
    </w:p>
  </w:endnote>
  <w:endnote w:type="continuationNotice" w:id="1">
    <w:p w14:paraId="028844EC" w14:textId="77777777" w:rsidR="00EF5C22" w:rsidRDefault="00EF5C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0572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D9C46" w14:textId="60BB09B6" w:rsidR="00867B11" w:rsidRDefault="00867B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42AC55" w14:textId="77777777" w:rsidR="00867B11" w:rsidRDefault="00867B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152DB" w14:textId="77777777" w:rsidR="00867B11" w:rsidRDefault="00867B11" w:rsidP="00867B11">
      <w:pPr>
        <w:spacing w:after="0" w:line="240" w:lineRule="auto"/>
      </w:pPr>
      <w:r>
        <w:separator/>
      </w:r>
    </w:p>
  </w:footnote>
  <w:footnote w:type="continuationSeparator" w:id="0">
    <w:p w14:paraId="2D114B92" w14:textId="77777777" w:rsidR="00867B11" w:rsidRDefault="00867B11" w:rsidP="00867B11">
      <w:pPr>
        <w:spacing w:after="0" w:line="240" w:lineRule="auto"/>
      </w:pPr>
      <w:r>
        <w:continuationSeparator/>
      </w:r>
    </w:p>
  </w:footnote>
  <w:footnote w:type="continuationNotice" w:id="1">
    <w:p w14:paraId="69E42558" w14:textId="77777777" w:rsidR="00EF5C22" w:rsidRDefault="00EF5C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F74B6"/>
    <w:rsid w:val="001A25A4"/>
    <w:rsid w:val="001B710D"/>
    <w:rsid w:val="001D6862"/>
    <w:rsid w:val="001E48E6"/>
    <w:rsid w:val="002975D1"/>
    <w:rsid w:val="00322D31"/>
    <w:rsid w:val="0039685F"/>
    <w:rsid w:val="003A125E"/>
    <w:rsid w:val="003D0DC6"/>
    <w:rsid w:val="003F4FEF"/>
    <w:rsid w:val="0041391A"/>
    <w:rsid w:val="00420FCC"/>
    <w:rsid w:val="00454F95"/>
    <w:rsid w:val="00495544"/>
    <w:rsid w:val="004A0BA2"/>
    <w:rsid w:val="00590AB7"/>
    <w:rsid w:val="005B5F43"/>
    <w:rsid w:val="005E2FE5"/>
    <w:rsid w:val="005F7F51"/>
    <w:rsid w:val="0061636A"/>
    <w:rsid w:val="00647547"/>
    <w:rsid w:val="0067564D"/>
    <w:rsid w:val="006779B2"/>
    <w:rsid w:val="00684410"/>
    <w:rsid w:val="00690B94"/>
    <w:rsid w:val="006B26E7"/>
    <w:rsid w:val="006F6061"/>
    <w:rsid w:val="00730B5D"/>
    <w:rsid w:val="0074057E"/>
    <w:rsid w:val="00744E18"/>
    <w:rsid w:val="00777D74"/>
    <w:rsid w:val="007A461B"/>
    <w:rsid w:val="007A5BF5"/>
    <w:rsid w:val="007F035D"/>
    <w:rsid w:val="0084331C"/>
    <w:rsid w:val="00867B11"/>
    <w:rsid w:val="008C7EE7"/>
    <w:rsid w:val="009208EC"/>
    <w:rsid w:val="00937CDB"/>
    <w:rsid w:val="009B7A45"/>
    <w:rsid w:val="009E7BA0"/>
    <w:rsid w:val="00A26E4D"/>
    <w:rsid w:val="00A95C7C"/>
    <w:rsid w:val="00AD6F91"/>
    <w:rsid w:val="00B92339"/>
    <w:rsid w:val="00BE3E88"/>
    <w:rsid w:val="00C46355"/>
    <w:rsid w:val="00D02981"/>
    <w:rsid w:val="00D804B9"/>
    <w:rsid w:val="00D87C0A"/>
    <w:rsid w:val="00DA70BB"/>
    <w:rsid w:val="00DF5F46"/>
    <w:rsid w:val="00E03290"/>
    <w:rsid w:val="00E11E13"/>
    <w:rsid w:val="00E122EB"/>
    <w:rsid w:val="00E15294"/>
    <w:rsid w:val="00EF5C22"/>
    <w:rsid w:val="00F211B9"/>
    <w:rsid w:val="00F23FBB"/>
    <w:rsid w:val="00F45E33"/>
    <w:rsid w:val="00F617FF"/>
    <w:rsid w:val="00F85AE7"/>
    <w:rsid w:val="00FC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0D47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744E18"/>
    <w:pPr>
      <w:keepNext/>
      <w:keepLines/>
      <w:autoSpaceDE w:val="0"/>
      <w:autoSpaceDN w:val="0"/>
      <w:adjustRightInd w:val="0"/>
      <w:spacing w:after="0" w:line="318" w:lineRule="atLeast"/>
      <w:jc w:val="center"/>
      <w:outlineLvl w:val="0"/>
    </w:pPr>
    <w:rPr>
      <w:rFonts w:ascii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44E18"/>
    <w:rPr>
      <w:rFonts w:ascii="Times New Roman" w:hAnsi="Times New Roman" w:cs="Times New Roman"/>
      <w:b/>
      <w:bCs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744E18"/>
    <w:pPr>
      <w:autoSpaceDE w:val="0"/>
      <w:autoSpaceDN w:val="0"/>
      <w:adjustRightInd w:val="0"/>
      <w:spacing w:after="0" w:line="324" w:lineRule="atLeast"/>
      <w:ind w:left="720" w:hanging="360"/>
      <w:jc w:val="both"/>
    </w:pPr>
    <w:rPr>
      <w:rFonts w:ascii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6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B11"/>
  </w:style>
  <w:style w:type="paragraph" w:styleId="Footer">
    <w:name w:val="footer"/>
    <w:basedOn w:val="Normal"/>
    <w:link w:val="FooterChar"/>
    <w:uiPriority w:val="99"/>
    <w:unhideWhenUsed/>
    <w:rsid w:val="00867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87F5A88BB24801A66919AD96F0B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2025-02-05T15:51:14Z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2025-02-05T00:00:00Z</Date_x0020_protokolli>
    <Titulli xmlns="0e656187-b300-4fb0-8bf4-3a50f872073c">Për përcaktimin e formës së regjistrave dhe modularëve, si dhe mënyrën e mbajtjes  dhe raportimit të dhënave statistikore nga strukturat e shërbimit të mbrojtjes nga zjarri dhe shpëtimit</Titulli>
    <Modifikuesi xmlns="0e656187-b300-4fb0-8bf4-3a50f872073c">ermira.bukaci</Modifikuesi>
    <Nr_x002e__x0020_prot_x0020_QBZ xmlns="0e656187-b300-4fb0-8bf4-3a50f872073c">224/1</Nr_x002e__x0020_prot_x0020_QBZ>
    <Data_x0020_e_x0020_Modifikimit xmlns="0e656187-b300-4fb0-8bf4-3a50f872073c">2025-02-07T09:39:16Z</Data_x0020_e_x0020_Modifikimit>
    <Dekretuar xmlns="0e656187-b300-4fb0-8bf4-3a50f872073c">false</Dekretuar>
    <Data xmlns="0e656187-b300-4fb0-8bf4-3a50f872073c">2025-01-28T00:00:00Z</Data>
    <Nr_x002e__x0020_protokolli_x0020_i_x0020_aktit xmlns="0e656187-b300-4fb0-8bf4-3a50f872073c">945/1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87F5A88BB24801A66919AD96F0B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82EE8F-15D0-4A68-98A7-06BEEBCD5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CE4F2B-C63D-4F4A-BEF5-019D1DA3F3E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FD7E67-0826-46E3-9CFA-5ADECA84E8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3584B9-B206-47A2-8D38-2A43E879D5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AEEEA3-E8E8-45D0-BE49-97BDE3F7A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23</Pages>
  <Words>2647</Words>
  <Characters>15093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formës së regjistrave dhe modularëve, si dhe mënyrën e mbajtjes dhe raportimit të dhënave statistikore nga strukturat e shërbimit të mbrojtjes nga zjarri dhe shpëtimit</vt:lpstr>
    </vt:vector>
  </TitlesOfParts>
  <Company/>
  <LinksUpToDate>false</LinksUpToDate>
  <CharactersWithSpaces>17705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formës së regjistrave dhe modularëve, si dhe mënyrën e mbajtjes dhe raportimit të dhënave statistikore nga strukturat e shërbimit të mbrojtjes nga zjarri dhe shpëtimit</dc:title>
  <dc:creator>Entela Suli</dc:creator>
  <cp:lastModifiedBy>Alma Lisaku</cp:lastModifiedBy>
  <cp:revision>40</cp:revision>
  <dcterms:created xsi:type="dcterms:W3CDTF">2025-02-05T14:50:00Z</dcterms:created>
  <dcterms:modified xsi:type="dcterms:W3CDTF">2025-02-07T10:12:00Z</dcterms:modified>
</cp:coreProperties>
</file>