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3641A" w14:textId="69D80DD2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C4113A">
        <w:rPr>
          <w:rFonts w:ascii="Garamond" w:hAnsi="Garamond"/>
          <w:b/>
          <w:bCs/>
          <w:color w:val="000000"/>
          <w:lang w:val="sq-AL" w:eastAsia="en-GB"/>
        </w:rPr>
        <w:t>UDHËZIM I PËRBASHKËT</w:t>
      </w:r>
    </w:p>
    <w:p w14:paraId="20971B9D" w14:textId="7EC8B634" w:rsidR="00C4113A" w:rsidRPr="00C4113A" w:rsidRDefault="00C4113A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 xml:space="preserve">Nr. 13, datë </w:t>
      </w:r>
      <w:r>
        <w:rPr>
          <w:rFonts w:ascii="Garamond" w:hAnsi="Garamond"/>
          <w:b/>
          <w:bCs/>
          <w:lang w:val="sq-AL" w:eastAsia="en-GB"/>
        </w:rPr>
        <w:t>21.1.2026</w:t>
      </w:r>
    </w:p>
    <w:p w14:paraId="42F415E8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7DCC105C" w14:textId="15DA1158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PËR MËNYRËN E ORGANIZIMIT, ADMINISTRIMIT, AFATIT TË RUAJTJES, KONTROLLIN DHE FSHIRJEN E TË DHËNAVE TË MBLEDHURA NË RASTET E NDALIMIT TË PËRKOHSHËM POLICOR, NDALIMIT DHE ARRESTIMIT TË PERSONAVE</w:t>
      </w:r>
    </w:p>
    <w:p w14:paraId="189C9B20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4AF7DE49" w14:textId="7E857168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Në mbështetje të nenit 102, pika 4, të Kushtetutës së Republikës së Shqipërisë</w:t>
      </w:r>
      <w:r w:rsidR="00C4113A">
        <w:rPr>
          <w:rFonts w:ascii="Garamond" w:hAnsi="Garamond"/>
          <w:lang w:val="sq-AL" w:eastAsia="en-GB"/>
        </w:rPr>
        <w:t>;</w:t>
      </w:r>
      <w:r w:rsidRPr="00C4113A">
        <w:rPr>
          <w:rFonts w:ascii="Garamond" w:hAnsi="Garamond"/>
          <w:lang w:val="sq-AL" w:eastAsia="en-GB"/>
        </w:rPr>
        <w:t xml:space="preserve"> të pikës 3, të nenit 36, të ligjit nr. 82/2024</w:t>
      </w:r>
      <w:r w:rsidR="00C4113A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“Për Policinë e Shtetit”</w:t>
      </w:r>
      <w:r w:rsidR="00C4113A">
        <w:rPr>
          <w:rFonts w:ascii="Garamond" w:hAnsi="Garamond"/>
          <w:lang w:val="sq-AL" w:eastAsia="en-GB"/>
        </w:rPr>
        <w:t>;</w:t>
      </w:r>
      <w:r w:rsidRPr="00C4113A">
        <w:rPr>
          <w:rFonts w:ascii="Garamond" w:hAnsi="Garamond"/>
          <w:lang w:val="sq-AL" w:eastAsia="en-GB"/>
        </w:rPr>
        <w:t xml:space="preserve"> dhe ligjit nr. 124/2024</w:t>
      </w:r>
      <w:r w:rsidR="00C4113A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“Për mbrojtjen e të dhënave personale”, </w:t>
      </w:r>
      <w:r w:rsidR="00C4113A" w:rsidRPr="00C4113A">
        <w:rPr>
          <w:rFonts w:ascii="Garamond" w:hAnsi="Garamond"/>
          <w:lang w:val="sq-AL" w:eastAsia="en-GB"/>
        </w:rPr>
        <w:t xml:space="preserve">ministri </w:t>
      </w:r>
      <w:r w:rsidRPr="00C4113A">
        <w:rPr>
          <w:rFonts w:ascii="Garamond" w:hAnsi="Garamond"/>
          <w:lang w:val="sq-AL" w:eastAsia="en-GB"/>
        </w:rPr>
        <w:t>i Punëve të Brendshme dhe Komisioneri për të Drejtën e Informimit dhe Mbrojtjen e të Dhënave Personale</w:t>
      </w:r>
    </w:p>
    <w:p w14:paraId="2217712F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lang w:val="sq-AL" w:eastAsia="en-GB"/>
        </w:rPr>
      </w:pPr>
    </w:p>
    <w:p w14:paraId="785DE9AB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UDHËZOJNË:</w:t>
      </w:r>
    </w:p>
    <w:p w14:paraId="45DA3DE8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6085BFA0" w14:textId="1D4D4BCD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 xml:space="preserve">Neni 1 </w:t>
      </w:r>
    </w:p>
    <w:p w14:paraId="06154EDF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Objekti</w:t>
      </w:r>
    </w:p>
    <w:p w14:paraId="7A7F6A25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051802EF" w14:textId="5D8FD806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Ky </w:t>
      </w:r>
      <w:r w:rsidR="00C4113A" w:rsidRPr="00C4113A">
        <w:rPr>
          <w:rFonts w:ascii="Garamond" w:hAnsi="Garamond"/>
          <w:lang w:val="sq-AL" w:eastAsia="en-GB"/>
        </w:rPr>
        <w:t xml:space="preserve">udhëzim </w:t>
      </w:r>
      <w:r w:rsidRPr="00C4113A">
        <w:rPr>
          <w:rFonts w:ascii="Garamond" w:hAnsi="Garamond"/>
          <w:lang w:val="sq-AL" w:eastAsia="en-GB"/>
        </w:rPr>
        <w:t xml:space="preserve">ka për qëllim përcaktimin e rregullave dhe procedurave për administrimin, përpunimin, ruajtjen, kontrollin dhe fshirjen e të dhënave personale të mbledhura nga strukturat e Policisë së Shtetit, gjatë ndalimit të përkohshëm policor, ndalimit dhe arrestimit të personit. </w:t>
      </w:r>
    </w:p>
    <w:p w14:paraId="0535371C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658FEE0F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 xml:space="preserve">Neni 2 </w:t>
      </w:r>
    </w:p>
    <w:p w14:paraId="5DAC9AD3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Përkufizime</w:t>
      </w:r>
    </w:p>
    <w:p w14:paraId="41BC87A4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78AC6322" w14:textId="335FB153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1. Në këtë udhëzim, termat e mëposhtëm kanë këto kuptime: </w:t>
      </w:r>
    </w:p>
    <w:p w14:paraId="08641746" w14:textId="0407BE71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a) </w:t>
      </w:r>
      <w:r w:rsidRPr="00C4113A">
        <w:rPr>
          <w:rFonts w:ascii="Garamond" w:hAnsi="Garamond"/>
          <w:i/>
          <w:iCs/>
          <w:lang w:val="sq-AL" w:eastAsia="en-GB"/>
        </w:rPr>
        <w:t>“</w:t>
      </w:r>
      <w:r w:rsidR="007F7950" w:rsidRPr="00C4113A">
        <w:rPr>
          <w:rFonts w:ascii="Garamond" w:hAnsi="Garamond"/>
          <w:i/>
          <w:iCs/>
          <w:lang w:val="sq-AL" w:eastAsia="en-GB"/>
        </w:rPr>
        <w:t xml:space="preserve">përpunimi </w:t>
      </w:r>
      <w:r w:rsidRPr="00C4113A">
        <w:rPr>
          <w:rFonts w:ascii="Garamond" w:hAnsi="Garamond"/>
          <w:i/>
          <w:iCs/>
          <w:lang w:val="sq-AL" w:eastAsia="en-GB"/>
        </w:rPr>
        <w:t>i të dhënave personale për qëllime policore”</w:t>
      </w:r>
      <w:r w:rsidRPr="00C4113A">
        <w:rPr>
          <w:rFonts w:ascii="Garamond" w:hAnsi="Garamond"/>
          <w:lang w:val="sq-AL" w:eastAsia="en-GB"/>
        </w:rPr>
        <w:t xml:space="preserve"> është përpunimi i të dhënave personale nga Policia e Shtetit, me qëllim ruajtjen e rendit dhe sigurisë publike, parandalimin dhe zbulimin e veprave penale, mbrojtjen dhe parandalimin e kërcënimeve për sigurinë publike</w:t>
      </w:r>
      <w:r w:rsidR="007F7950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duke përfshirë operacionet policore (që kryhen me të dhëna personale ose grupe të të dhënave personale, me mjete automatike ose jo), si</w:t>
      </w:r>
      <w:r w:rsidR="007F7950">
        <w:rPr>
          <w:rFonts w:ascii="Garamond" w:hAnsi="Garamond"/>
          <w:lang w:val="sq-AL" w:eastAsia="en-GB"/>
        </w:rPr>
        <w:t>:</w:t>
      </w:r>
      <w:r w:rsidRPr="00C4113A">
        <w:rPr>
          <w:rFonts w:ascii="Garamond" w:hAnsi="Garamond"/>
          <w:lang w:val="sq-AL" w:eastAsia="en-GB"/>
        </w:rPr>
        <w:t xml:space="preserve"> mbledhja, regjistrimi, organizimi, strukturimi, ruajtja, përshtatja ose ndryshimi, tërheqja, konsultimi, përdorimi, deklarimi nëpërmjet transmetimit, shpërndarja ose ofrimi, njësimi ose kombinimi, kufizimi, fshirja ose asgjësimi</w:t>
      </w:r>
      <w:r w:rsidR="007F7950">
        <w:rPr>
          <w:rFonts w:ascii="Garamond" w:hAnsi="Garamond"/>
          <w:lang w:val="sq-AL" w:eastAsia="en-GB"/>
        </w:rPr>
        <w:t>;</w:t>
      </w:r>
      <w:r w:rsidRPr="00C4113A">
        <w:rPr>
          <w:rFonts w:ascii="Garamond" w:hAnsi="Garamond"/>
          <w:lang w:val="sq-AL" w:eastAsia="en-GB"/>
        </w:rPr>
        <w:t xml:space="preserve"> </w:t>
      </w:r>
    </w:p>
    <w:p w14:paraId="02DD9F17" w14:textId="0C9A0684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b) </w:t>
      </w:r>
      <w:r w:rsidRPr="00C4113A">
        <w:rPr>
          <w:rFonts w:ascii="Garamond" w:hAnsi="Garamond"/>
          <w:i/>
          <w:iCs/>
          <w:lang w:val="sq-AL" w:eastAsia="en-GB"/>
        </w:rPr>
        <w:t>“ndalimi i përkohshëm policor”</w:t>
      </w:r>
      <w:r w:rsidRPr="00C4113A">
        <w:rPr>
          <w:rFonts w:ascii="Garamond" w:hAnsi="Garamond"/>
          <w:lang w:val="sq-AL" w:eastAsia="en-GB"/>
        </w:rPr>
        <w:t xml:space="preserve"> është dërgimi i shtetasit në ambientet e policisë, në institucionet shëndetësore, në qendrat e rehabilitimit, te kujdestari ligjor ose personi përgjegjës, në institucionin epror ose në institucionet e tjera me ose pa vullnetin e tij, sipas përcaktimeve të bëra në nenin 19, të </w:t>
      </w:r>
      <w:r w:rsidR="007F7950" w:rsidRPr="00C4113A">
        <w:rPr>
          <w:rFonts w:ascii="Garamond" w:hAnsi="Garamond"/>
          <w:lang w:val="sq-AL" w:eastAsia="en-GB"/>
        </w:rPr>
        <w:t xml:space="preserve">ligjit </w:t>
      </w:r>
      <w:r w:rsidRPr="00C4113A">
        <w:rPr>
          <w:rFonts w:ascii="Garamond" w:hAnsi="Garamond"/>
          <w:lang w:val="sq-AL" w:eastAsia="en-GB"/>
        </w:rPr>
        <w:t>82/2024</w:t>
      </w:r>
      <w:r w:rsidR="007F7950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“Për Policinë e Shtetit” (në vijim </w:t>
      </w:r>
      <w:r w:rsidR="007F7950">
        <w:rPr>
          <w:rFonts w:ascii="Garamond" w:hAnsi="Garamond"/>
          <w:lang w:val="sq-AL" w:eastAsia="en-GB"/>
        </w:rPr>
        <w:t>“</w:t>
      </w:r>
      <w:r w:rsidRPr="00C4113A">
        <w:rPr>
          <w:rFonts w:ascii="Garamond" w:hAnsi="Garamond"/>
          <w:lang w:val="sq-AL" w:eastAsia="en-GB"/>
        </w:rPr>
        <w:t>ligji nr. 82/2024</w:t>
      </w:r>
      <w:r w:rsidR="007F7950">
        <w:rPr>
          <w:rFonts w:ascii="Garamond" w:hAnsi="Garamond"/>
          <w:lang w:val="sq-AL" w:eastAsia="en-GB"/>
        </w:rPr>
        <w:t>”</w:t>
      </w:r>
      <w:r w:rsidRPr="00C4113A">
        <w:rPr>
          <w:rFonts w:ascii="Garamond" w:hAnsi="Garamond"/>
          <w:lang w:val="sq-AL" w:eastAsia="en-GB"/>
        </w:rPr>
        <w:t>)</w:t>
      </w:r>
      <w:r w:rsidR="007F7950">
        <w:rPr>
          <w:rFonts w:ascii="Garamond" w:hAnsi="Garamond"/>
          <w:lang w:val="sq-AL" w:eastAsia="en-GB"/>
        </w:rPr>
        <w:t>;</w:t>
      </w:r>
    </w:p>
    <w:p w14:paraId="0B2CF3D9" w14:textId="5F791F3F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c) </w:t>
      </w:r>
      <w:r w:rsidRPr="00C4113A">
        <w:rPr>
          <w:rFonts w:ascii="Garamond" w:hAnsi="Garamond"/>
          <w:i/>
          <w:iCs/>
          <w:lang w:val="sq-AL" w:eastAsia="en-GB"/>
        </w:rPr>
        <w:t>“ndalim”</w:t>
      </w:r>
      <w:r w:rsidRPr="00C4113A">
        <w:rPr>
          <w:rFonts w:ascii="Garamond" w:hAnsi="Garamond"/>
          <w:lang w:val="sq-AL" w:eastAsia="en-GB"/>
        </w:rPr>
        <w:t xml:space="preserve"> ka të njëjtin kuptim me atë të parashikuar në nenin 253, të Kodit të Procedurës Penale</w:t>
      </w:r>
      <w:r w:rsidR="007F7950">
        <w:rPr>
          <w:rFonts w:ascii="Garamond" w:hAnsi="Garamond"/>
          <w:lang w:val="sq-AL" w:eastAsia="en-GB"/>
        </w:rPr>
        <w:t>;</w:t>
      </w:r>
    </w:p>
    <w:p w14:paraId="5693920B" w14:textId="470B69C8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d) </w:t>
      </w:r>
      <w:r w:rsidRPr="00C4113A">
        <w:rPr>
          <w:rFonts w:ascii="Garamond" w:hAnsi="Garamond"/>
          <w:i/>
          <w:iCs/>
          <w:lang w:val="sq-AL" w:eastAsia="en-GB"/>
        </w:rPr>
        <w:t>“arrestim”</w:t>
      </w:r>
      <w:r w:rsidRPr="00C4113A">
        <w:rPr>
          <w:rFonts w:ascii="Garamond" w:hAnsi="Garamond"/>
          <w:lang w:val="sq-AL" w:eastAsia="en-GB"/>
        </w:rPr>
        <w:t xml:space="preserve"> ka të njëjtin kuptim me atë të parashikuar në nenin 251, të Kodit të Procedurës Penale</w:t>
      </w:r>
      <w:r w:rsidR="007F7950">
        <w:rPr>
          <w:rFonts w:ascii="Garamond" w:hAnsi="Garamond"/>
          <w:lang w:val="sq-AL" w:eastAsia="en-GB"/>
        </w:rPr>
        <w:t>;</w:t>
      </w:r>
    </w:p>
    <w:p w14:paraId="76568208" w14:textId="6079F320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e) </w:t>
      </w:r>
      <w:r w:rsidRPr="00C4113A">
        <w:rPr>
          <w:rFonts w:ascii="Garamond" w:hAnsi="Garamond"/>
          <w:i/>
          <w:iCs/>
          <w:lang w:val="sq-AL" w:eastAsia="en-GB"/>
        </w:rPr>
        <w:t>“arrestim i përkohshëm”</w:t>
      </w:r>
      <w:r w:rsidRPr="00C4113A">
        <w:rPr>
          <w:rFonts w:ascii="Garamond" w:hAnsi="Garamond"/>
          <w:lang w:val="sq-AL" w:eastAsia="en-GB"/>
        </w:rPr>
        <w:t xml:space="preserve"> ka të njëjtin kuptim me atë të parashikuar në nenin 495, të Kodit të Procedurës Penale</w:t>
      </w:r>
      <w:r w:rsidR="007F7950">
        <w:rPr>
          <w:rFonts w:ascii="Garamond" w:hAnsi="Garamond"/>
          <w:lang w:val="sq-AL" w:eastAsia="en-GB"/>
        </w:rPr>
        <w:t>;</w:t>
      </w:r>
    </w:p>
    <w:p w14:paraId="6FC759D9" w14:textId="184AE26B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f) </w:t>
      </w:r>
      <w:r w:rsidRPr="00C4113A">
        <w:rPr>
          <w:rFonts w:ascii="Garamond" w:hAnsi="Garamond"/>
          <w:i/>
          <w:iCs/>
          <w:lang w:val="sq-AL" w:eastAsia="en-GB"/>
        </w:rPr>
        <w:t>“profilizimi i të dhënave”</w:t>
      </w:r>
      <w:r w:rsidRPr="00C4113A">
        <w:rPr>
          <w:rFonts w:ascii="Garamond" w:hAnsi="Garamond"/>
          <w:lang w:val="sq-AL" w:eastAsia="en-GB"/>
        </w:rPr>
        <w:t xml:space="preserve"> i referohet përpunimit të automatizuar të të dhënave personale për të vlerësuar karakteristikat e një individi, siç janë sjellja, preferencat ose vendndodhja e tij, për të parashikuar ose analizuar aspekte të personalitetit</w:t>
      </w:r>
      <w:r w:rsidR="007F7950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ose performancës së tij. Kjo përfshin përdorimin e të dhënave për të marrë vendime që ndikojnë ndjeshëm te jeta private e individit. </w:t>
      </w:r>
    </w:p>
    <w:p w14:paraId="4DCEDE3B" w14:textId="62D803F8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2. Terma të tjerë, të përdorur në këtë udhëzim</w:t>
      </w:r>
      <w:r w:rsidR="007F7950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kanë të njëjtin kuptim me ato të nenit 3</w:t>
      </w:r>
      <w:r w:rsidR="007F7950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të </w:t>
      </w:r>
      <w:r w:rsidR="007F7950" w:rsidRPr="00C4113A">
        <w:rPr>
          <w:rFonts w:ascii="Garamond" w:hAnsi="Garamond"/>
          <w:lang w:val="sq-AL" w:eastAsia="en-GB"/>
        </w:rPr>
        <w:t xml:space="preserve">ligjit </w:t>
      </w:r>
      <w:r w:rsidRPr="00C4113A">
        <w:rPr>
          <w:rFonts w:ascii="Garamond" w:hAnsi="Garamond"/>
          <w:lang w:val="sq-AL" w:eastAsia="en-GB"/>
        </w:rPr>
        <w:t>nr. 82/2024</w:t>
      </w:r>
      <w:r w:rsidR="007F7950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dhe </w:t>
      </w:r>
      <w:r w:rsidR="007F7950">
        <w:rPr>
          <w:rFonts w:ascii="Garamond" w:hAnsi="Garamond"/>
          <w:lang w:val="sq-AL" w:eastAsia="en-GB"/>
        </w:rPr>
        <w:t xml:space="preserve">të </w:t>
      </w:r>
      <w:r w:rsidRPr="00C4113A">
        <w:rPr>
          <w:rFonts w:ascii="Garamond" w:hAnsi="Garamond"/>
          <w:lang w:val="sq-AL" w:eastAsia="en-GB"/>
        </w:rPr>
        <w:t>nenit 5</w:t>
      </w:r>
      <w:r w:rsidR="007F7950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të </w:t>
      </w:r>
      <w:r w:rsidR="007F7950" w:rsidRPr="00C4113A">
        <w:rPr>
          <w:rFonts w:ascii="Garamond" w:hAnsi="Garamond"/>
          <w:lang w:val="sq-AL" w:eastAsia="en-GB"/>
        </w:rPr>
        <w:t xml:space="preserve">ligjit </w:t>
      </w:r>
      <w:r w:rsidRPr="00C4113A">
        <w:rPr>
          <w:rFonts w:ascii="Garamond" w:hAnsi="Garamond"/>
          <w:lang w:val="sq-AL" w:eastAsia="en-GB"/>
        </w:rPr>
        <w:t>nr. 124/2024</w:t>
      </w:r>
      <w:r w:rsidR="007F7950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“Për mbrojtjen e të dhënave personale” (në vijim </w:t>
      </w:r>
      <w:r w:rsidR="007F7950">
        <w:rPr>
          <w:rFonts w:ascii="Garamond" w:hAnsi="Garamond"/>
          <w:lang w:val="sq-AL" w:eastAsia="en-GB"/>
        </w:rPr>
        <w:t>“</w:t>
      </w:r>
      <w:r w:rsidRPr="00C4113A">
        <w:rPr>
          <w:rFonts w:ascii="Garamond" w:hAnsi="Garamond"/>
          <w:lang w:val="sq-AL" w:eastAsia="en-GB"/>
        </w:rPr>
        <w:t>ligjit 124/2024</w:t>
      </w:r>
      <w:r w:rsidR="007F7950">
        <w:rPr>
          <w:rFonts w:ascii="Garamond" w:hAnsi="Garamond"/>
          <w:lang w:val="sq-AL" w:eastAsia="en-GB"/>
        </w:rPr>
        <w:t>”</w:t>
      </w:r>
      <w:r w:rsidRPr="00C4113A">
        <w:rPr>
          <w:rFonts w:ascii="Garamond" w:hAnsi="Garamond"/>
          <w:lang w:val="sq-AL" w:eastAsia="en-GB"/>
        </w:rPr>
        <w:t>).</w:t>
      </w:r>
    </w:p>
    <w:p w14:paraId="143055C7" w14:textId="3EAA3C2B" w:rsidR="008F5F01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23D30781" w14:textId="71D39715" w:rsidR="007F7950" w:rsidRDefault="007F7950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5D57FBCF" w14:textId="77777777" w:rsidR="007F7950" w:rsidRPr="00C4113A" w:rsidRDefault="007F7950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1D576CB1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lastRenderedPageBreak/>
        <w:t xml:space="preserve">Neni 3 </w:t>
      </w:r>
    </w:p>
    <w:p w14:paraId="3DF17B06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Fushëveprimi</w:t>
      </w:r>
    </w:p>
    <w:p w14:paraId="74095BE9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2617E578" w14:textId="00D6C00B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1. Ky udhëzim zbatohet nga të gjitha strukturat e Policisë së Shtetit dhe të gjithë punonjësit e policisë gjyqësore të përfshirë në proceset e ndalimit të përkohshëm, ndalimit dhe arrestimit të personave.</w:t>
      </w:r>
    </w:p>
    <w:p w14:paraId="7DCAEEC1" w14:textId="303427CB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2. Ky udhëzim aplikohet për të gjithë sistemet manuale dhe elektronike të Policisë së Shtetit, që përdoren për kryerjen e procedurave policore</w:t>
      </w:r>
      <w:r w:rsidR="0088767B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në rastet e ndalimit të përkohshëm policor, ndalimit, arrestimit dhe arrestimit të përkohshëm.</w:t>
      </w:r>
    </w:p>
    <w:p w14:paraId="6D364ADC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 w:eastAsia="en-GB"/>
        </w:rPr>
      </w:pPr>
    </w:p>
    <w:p w14:paraId="56E2D7BA" w14:textId="3FD1E883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Neni 4</w:t>
      </w:r>
      <w:r w:rsidR="00C4113A" w:rsidRPr="00C4113A">
        <w:rPr>
          <w:rFonts w:ascii="Garamond" w:hAnsi="Garamond"/>
          <w:bCs/>
          <w:lang w:val="sq-AL" w:eastAsia="en-GB"/>
        </w:rPr>
        <w:t xml:space="preserve"> </w:t>
      </w:r>
    </w:p>
    <w:p w14:paraId="577AD382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Parime të përgjithshme</w:t>
      </w:r>
    </w:p>
    <w:p w14:paraId="1E11135F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trike/>
          <w:lang w:val="sq-AL" w:eastAsia="en-GB"/>
        </w:rPr>
      </w:pPr>
    </w:p>
    <w:p w14:paraId="1020E1A1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trike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Përpunimi i të dhënave personale nga Policia e Shtetit kryhet në përputhje me parimet e përcaktuara në ligjin nr. 124/2024, duke garantuar respektimin e të drejtave të individit dhe qëllimin e ligjshëm të veprimtarisë policore.</w:t>
      </w:r>
    </w:p>
    <w:p w14:paraId="587CA737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lang w:val="sq-AL" w:eastAsia="en-GB"/>
        </w:rPr>
      </w:pPr>
    </w:p>
    <w:p w14:paraId="4127DEFE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 xml:space="preserve">Neni 5 </w:t>
      </w:r>
    </w:p>
    <w:p w14:paraId="31A29356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Qëllimi i përpunimit të të dhënave</w:t>
      </w:r>
    </w:p>
    <w:p w14:paraId="44FB14A5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6F53E5F0" w14:textId="67AC750D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Policia e Shtetit, përpunon të dhënat personale</w:t>
      </w:r>
      <w:r w:rsidR="0088767B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me qëllim dokumentimin ligjor të veprimeve policore ndaj personave të ndaluar përkohësisht, të ndaluar ose </w:t>
      </w:r>
      <w:r w:rsidR="0088767B">
        <w:rPr>
          <w:rFonts w:ascii="Garamond" w:hAnsi="Garamond"/>
          <w:lang w:val="sq-AL" w:eastAsia="en-GB"/>
        </w:rPr>
        <w:t xml:space="preserve">të </w:t>
      </w:r>
      <w:r w:rsidRPr="00C4113A">
        <w:rPr>
          <w:rFonts w:ascii="Garamond" w:hAnsi="Garamond"/>
          <w:lang w:val="sq-AL" w:eastAsia="en-GB"/>
        </w:rPr>
        <w:t>arrestuar. Në çdo rast, përpunohen të dhëna të kësaj kategorie subjektesh për të garantuar rendin, sigurinë publike dhe kombëtare.</w:t>
      </w:r>
    </w:p>
    <w:p w14:paraId="00A92CE4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lang w:val="sq-AL" w:eastAsia="en-GB"/>
        </w:rPr>
      </w:pPr>
    </w:p>
    <w:p w14:paraId="2C96C8B4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Neni 6</w:t>
      </w:r>
    </w:p>
    <w:p w14:paraId="2F9E6726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Të drejtat e subjekteve të të dhënave</w:t>
      </w:r>
    </w:p>
    <w:p w14:paraId="6AE7FAC3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trike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 </w:t>
      </w:r>
    </w:p>
    <w:p w14:paraId="608C0280" w14:textId="5E1361A4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trike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1. Subjektet, të dhënat personale të të cilëve përpunohen nga Policia e Shtetit, gëzojnë të drejtën për informim, akses, korrigjim, fshirje ose kufizim të përpunimit, si dhe të drejtën për rishikimin e përgjigjes</w:t>
      </w:r>
      <w:r w:rsidR="0088767B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sipas ligjit nr. 124/2024. </w:t>
      </w:r>
    </w:p>
    <w:p w14:paraId="7648C57C" w14:textId="49F09DCE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trike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2. Kufizimi plotësisht apo pjesërisht nga këto të drejta, parashikohet vetëm në zbatim të neneve 55</w:t>
      </w:r>
      <w:r w:rsidR="0088767B">
        <w:rPr>
          <w:rFonts w:ascii="Garamond" w:hAnsi="Garamond"/>
          <w:lang w:val="sq-AL" w:eastAsia="en-GB"/>
        </w:rPr>
        <w:t>–</w:t>
      </w:r>
      <w:r w:rsidRPr="00C4113A">
        <w:rPr>
          <w:rFonts w:ascii="Garamond" w:hAnsi="Garamond"/>
          <w:lang w:val="sq-AL" w:eastAsia="en-GB"/>
        </w:rPr>
        <w:t>57, të ligjit nr. 124/2024 dhe për aq kohë sa kjo përbën një masë proporcionale për rastin.</w:t>
      </w:r>
    </w:p>
    <w:p w14:paraId="60CD0FD8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lang w:val="sq-AL" w:eastAsia="en-GB"/>
        </w:rPr>
      </w:pPr>
    </w:p>
    <w:p w14:paraId="35E5BD97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Neni 7</w:t>
      </w:r>
    </w:p>
    <w:p w14:paraId="49A727D1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Masat e sigurisë</w:t>
      </w:r>
    </w:p>
    <w:p w14:paraId="2CAF4E39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5C58BD9E" w14:textId="57EFD09A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1. Policia e Shtetit ndërmerr masa të përshtatshme sigurie teknike dhe organizative</w:t>
      </w:r>
      <w:r w:rsidRPr="00C4113A">
        <w:rPr>
          <w:rStyle w:val="FootnoteReference"/>
          <w:rFonts w:ascii="Garamond" w:hAnsi="Garamond"/>
          <w:lang w:val="sq-AL" w:eastAsia="en-GB"/>
        </w:rPr>
        <w:footnoteReference w:id="2"/>
      </w:r>
      <w:r w:rsidRPr="00C4113A">
        <w:rPr>
          <w:rFonts w:ascii="Garamond" w:hAnsi="Garamond"/>
          <w:lang w:val="sq-AL" w:eastAsia="en-GB"/>
        </w:rPr>
        <w:t xml:space="preserve"> për të siguruar që çdo e dhënë që përpunohet të kryhet në përputhje me parashikimet e ligjit nr. 124/2024. Të dhënat personale ruhen në sisteme elektronike të sigurta dhe të aksesueshme vetëm nga personeli i autorizuar në Policinë e Shtetit.</w:t>
      </w:r>
    </w:p>
    <w:p w14:paraId="536F393A" w14:textId="25B093FF" w:rsidR="008F5F01" w:rsidRPr="00C4113A" w:rsidRDefault="008F5F01" w:rsidP="008774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2. Policia e Shtetit</w:t>
      </w:r>
      <w:r w:rsidR="008774A7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në çdo rast</w:t>
      </w:r>
      <w:r w:rsidR="008774A7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siguron përdorimin e teknologjive informative, që garantojnë integritetin dhe konfidencialitetin e të dhënave personale që përpunohen.</w:t>
      </w:r>
    </w:p>
    <w:p w14:paraId="6CF3564F" w14:textId="022A65B9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3. Policia e Shtetit kryen vlerësimin e ndikimit në mbrojtjen e të dhënave, kur aktivitet e përpunimit të të dhënave kanë të ngjarë të rezultojë në një rrezik të lartë për të drejtat dhe liritë themelore të subjekteve të të dhënave. Ky vlerësim i ndikimit, përfshin identifikimin e rreziqeve dhe përcaktimin e masave që duhen ndërmarrë për zbutjen e tyre</w:t>
      </w:r>
      <w:r w:rsidRPr="00C4113A">
        <w:rPr>
          <w:rStyle w:val="FootnoteReference"/>
          <w:rFonts w:ascii="Garamond" w:hAnsi="Garamond"/>
          <w:lang w:val="sq-AL" w:eastAsia="en-GB"/>
        </w:rPr>
        <w:footnoteReference w:id="3"/>
      </w:r>
      <w:r w:rsidRPr="00C4113A">
        <w:rPr>
          <w:rFonts w:ascii="Garamond" w:hAnsi="Garamond"/>
          <w:lang w:val="sq-AL" w:eastAsia="en-GB"/>
        </w:rPr>
        <w:t xml:space="preserve">. </w:t>
      </w:r>
    </w:p>
    <w:p w14:paraId="4E4318A6" w14:textId="73C5856A" w:rsidR="008F5F01" w:rsidRPr="00C4113A" w:rsidRDefault="008F5F01" w:rsidP="004077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lastRenderedPageBreak/>
        <w:t>4. Në rastin e përdorimit të sistemeve</w:t>
      </w:r>
      <w:r w:rsidR="00E96BBA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apo </w:t>
      </w:r>
      <w:r w:rsidR="00E96BBA">
        <w:rPr>
          <w:rFonts w:ascii="Garamond" w:hAnsi="Garamond"/>
          <w:lang w:val="sq-AL" w:eastAsia="en-GB"/>
        </w:rPr>
        <w:t xml:space="preserve">të </w:t>
      </w:r>
      <w:r w:rsidRPr="00C4113A">
        <w:rPr>
          <w:rFonts w:ascii="Garamond" w:hAnsi="Garamond"/>
          <w:lang w:val="sq-AL" w:eastAsia="en-GB"/>
        </w:rPr>
        <w:t xml:space="preserve">pajisjeve të ndryshme teknologjike, ndërmerren masa për mbrojtjen e të dhënave në projektim dhe në mënyrë të paracaktuar, duke e integruar atë në teknologji që në momentin që ajo krijohet. </w:t>
      </w:r>
    </w:p>
    <w:p w14:paraId="7F156D32" w14:textId="65F5AFC5" w:rsidR="008F5F01" w:rsidRPr="00C4113A" w:rsidRDefault="008F5F01" w:rsidP="004077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5. Në zbatim të nenit 61, të ligjit nr. 124/2024, Policia e Shtetit mban dokumentacionin e veprimtarive të përpunimit, në të cilin përfshihen, nëse ka, edhe informacionet rreth përdorimit të profilizimit.</w:t>
      </w:r>
    </w:p>
    <w:p w14:paraId="740B0FA5" w14:textId="30A77964" w:rsidR="008F5F01" w:rsidRPr="00C4113A" w:rsidRDefault="008F5F01" w:rsidP="004077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6. Kur konstatohet një rast cenimi i të dhënave personale, Policia e Shtetit njofton, Zyrën e Komisionerit</w:t>
      </w:r>
      <w:r w:rsidR="00221ECC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si dhe subjektin e të dhënave në fjalë për shkeljen e tyre, në zbatim të ligjit.</w:t>
      </w:r>
    </w:p>
    <w:p w14:paraId="67643024" w14:textId="23E8C7A6" w:rsidR="008F5F01" w:rsidRPr="00C4113A" w:rsidRDefault="008F5F01" w:rsidP="004077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7. Të gjithë punonjësit e Policisë së Shtetit, që i nënshtrohen këtij udhëzimi</w:t>
      </w:r>
      <w:r w:rsidR="00221ECC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janë të detyruar të mbajnë konfidenciale të dhënat e përpunuara gjatë ushtrimit të funksioneve edhe pas përfundimit të tyre.</w:t>
      </w:r>
    </w:p>
    <w:p w14:paraId="0997B105" w14:textId="77777777" w:rsidR="008F5F01" w:rsidRPr="00C4113A" w:rsidRDefault="008F5F01" w:rsidP="004077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1B6EBB6D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Neni 8</w:t>
      </w:r>
    </w:p>
    <w:p w14:paraId="0218F754" w14:textId="205A5EDF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 xml:space="preserve">Kategoritë e të dhënave personale të përpunuara gjatë </w:t>
      </w:r>
      <w:r w:rsidR="00C4113A" w:rsidRPr="00C4113A">
        <w:rPr>
          <w:rFonts w:ascii="Garamond" w:hAnsi="Garamond"/>
          <w:b/>
          <w:bCs/>
          <w:lang w:val="sq-AL" w:eastAsia="en-GB"/>
        </w:rPr>
        <w:t>veprimtarisë</w:t>
      </w:r>
      <w:r w:rsidRPr="00C4113A">
        <w:rPr>
          <w:rFonts w:ascii="Garamond" w:hAnsi="Garamond"/>
          <w:b/>
          <w:bCs/>
          <w:lang w:val="sq-AL" w:eastAsia="en-GB"/>
        </w:rPr>
        <w:t xml:space="preserve"> policore</w:t>
      </w:r>
    </w:p>
    <w:p w14:paraId="12D503DF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110237E4" w14:textId="0B298830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color w:val="000000"/>
          <w:lang w:val="sq-AL" w:eastAsia="en-GB"/>
        </w:rPr>
        <w:t>1. Të dhënat personale të mbledhura</w:t>
      </w:r>
      <w:r w:rsidR="00221ECC">
        <w:rPr>
          <w:rFonts w:ascii="Garamond" w:hAnsi="Garamond"/>
          <w:color w:val="000000"/>
          <w:lang w:val="sq-AL" w:eastAsia="en-GB"/>
        </w:rPr>
        <w:t>,</w:t>
      </w:r>
      <w:r w:rsidRPr="00C4113A">
        <w:rPr>
          <w:rFonts w:ascii="Garamond" w:hAnsi="Garamond"/>
          <w:color w:val="000000"/>
          <w:lang w:val="sq-AL" w:eastAsia="en-GB"/>
        </w:rPr>
        <w:t xml:space="preserve"> me qëllim identifikimin e personit gjatë procesit të ndalimit të përkohshëm policor, ndalimit dhe arrestimit</w:t>
      </w:r>
      <w:r w:rsidR="00221ECC">
        <w:rPr>
          <w:rFonts w:ascii="Garamond" w:hAnsi="Garamond"/>
          <w:color w:val="000000"/>
          <w:lang w:val="sq-AL" w:eastAsia="en-GB"/>
        </w:rPr>
        <w:t>,</w:t>
      </w:r>
      <w:r w:rsidRPr="00C4113A">
        <w:rPr>
          <w:rFonts w:ascii="Garamond" w:hAnsi="Garamond"/>
          <w:color w:val="000000"/>
          <w:lang w:val="sq-AL" w:eastAsia="en-GB"/>
        </w:rPr>
        <w:t xml:space="preserve"> përfshijnë të gjitha kategoritë e të dhënave të parashikuara në nenin 36 të ligjit nr. 82/2024.</w:t>
      </w:r>
    </w:p>
    <w:p w14:paraId="1D26E0F3" w14:textId="77C78D79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color w:val="000000"/>
          <w:lang w:val="sq-AL" w:eastAsia="en-GB"/>
        </w:rPr>
        <w:t>2. Këto të dhëna mblidhen dhe përpunohen duke respektuar parimet dhe parashikimet e ligjit nr. 124/2024.</w:t>
      </w:r>
    </w:p>
    <w:p w14:paraId="779089D0" w14:textId="267179EE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color w:val="000000"/>
          <w:lang w:val="sq-AL" w:eastAsia="en-GB"/>
        </w:rPr>
        <w:t xml:space="preserve">3. Të dhënat e administruara nga Policia e Shtetit regjistrohen në bankën qendrore për regjistrimin e të dhënave. </w:t>
      </w:r>
    </w:p>
    <w:p w14:paraId="7F03F1F6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 w:eastAsia="en-GB"/>
        </w:rPr>
      </w:pPr>
    </w:p>
    <w:p w14:paraId="55665EE1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Neni 9</w:t>
      </w:r>
    </w:p>
    <w:p w14:paraId="5352C8F6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Kategoritë e të dhënave sensitive</w:t>
      </w:r>
    </w:p>
    <w:p w14:paraId="29F45C6F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1E8AEAB7" w14:textId="5BB2EF61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1. Gjatë procesit të ndalimit të përkohshëm policor, përpunohen të dhëna sensitive.</w:t>
      </w:r>
      <w:r w:rsidR="00C4113A" w:rsidRPr="00C4113A">
        <w:rPr>
          <w:rFonts w:ascii="Garamond" w:hAnsi="Garamond"/>
          <w:lang w:val="sq-AL" w:eastAsia="en-GB"/>
        </w:rPr>
        <w:t xml:space="preserve"> </w:t>
      </w:r>
    </w:p>
    <w:p w14:paraId="525B2088" w14:textId="43BA03A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2. Kategoritë e të dhënave sensitive që përpunohen për personat e ndaluar apo </w:t>
      </w:r>
      <w:r w:rsidR="00221ECC">
        <w:rPr>
          <w:rFonts w:ascii="Garamond" w:hAnsi="Garamond"/>
          <w:lang w:val="sq-AL" w:eastAsia="en-GB"/>
        </w:rPr>
        <w:t xml:space="preserve">të </w:t>
      </w:r>
      <w:r w:rsidRPr="00C4113A">
        <w:rPr>
          <w:rFonts w:ascii="Garamond" w:hAnsi="Garamond"/>
          <w:lang w:val="sq-AL" w:eastAsia="en-GB"/>
        </w:rPr>
        <w:t>arrestuar, nga punonjësi i policisë për qëllim identifikimi, janë:</w:t>
      </w:r>
    </w:p>
    <w:p w14:paraId="0CFBE823" w14:textId="4A40ADE0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a) përshkrimi i pamjes së personit, përfshirë shenja të veçanta; </w:t>
      </w:r>
    </w:p>
    <w:p w14:paraId="37053B51" w14:textId="01264332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b) shenjat e gjurmëve të gishtave dhe të pëllëmbëve të duarve; </w:t>
      </w:r>
    </w:p>
    <w:p w14:paraId="5EC15988" w14:textId="14682B93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c) fotografi, një pamje ballore dhe një profil; </w:t>
      </w:r>
    </w:p>
    <w:p w14:paraId="3A949EB5" w14:textId="522B06DE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ç)</w:t>
      </w:r>
      <w:r w:rsidR="00C4113A" w:rsidRPr="00C4113A">
        <w:rPr>
          <w:rFonts w:ascii="Garamond" w:hAnsi="Garamond"/>
          <w:lang w:val="sq-AL" w:eastAsia="en-GB"/>
        </w:rPr>
        <w:t xml:space="preserve"> </w:t>
      </w:r>
      <w:r w:rsidRPr="00C4113A">
        <w:rPr>
          <w:rFonts w:ascii="Garamond" w:hAnsi="Garamond"/>
          <w:lang w:val="sq-AL" w:eastAsia="en-GB"/>
        </w:rPr>
        <w:t>mostra të zërit të të arrestuarit</w:t>
      </w:r>
      <w:r w:rsidR="00221ECC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apo të të ndaluarit;</w:t>
      </w:r>
    </w:p>
    <w:p w14:paraId="72995999" w14:textId="2051559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d) kampionë biologjikë, me qëllim përcaktimin e profilit të ADN-së, pasi prokurori të ketë marrë pëlqimin e personit, sipas rregullave të përcaktuara në Kodin e Procedurës Penale.</w:t>
      </w:r>
    </w:p>
    <w:p w14:paraId="000F263E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603ABC1D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0"/>
          <w:tab w:val="left" w:pos="8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C4113A">
        <w:rPr>
          <w:rFonts w:ascii="Garamond" w:hAnsi="Garamond"/>
          <w:bCs/>
          <w:color w:val="000000"/>
          <w:lang w:val="sq-AL" w:eastAsia="en-GB"/>
        </w:rPr>
        <w:t>Neni 10</w:t>
      </w:r>
    </w:p>
    <w:p w14:paraId="484F8917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 w:eastAsia="en-GB"/>
        </w:rPr>
      </w:pPr>
      <w:r w:rsidRPr="00C4113A">
        <w:rPr>
          <w:rFonts w:ascii="Garamond" w:hAnsi="Garamond"/>
          <w:b/>
          <w:bCs/>
          <w:color w:val="000000"/>
          <w:lang w:val="sq-AL" w:eastAsia="en-GB"/>
        </w:rPr>
        <w:t>Afatet e ruajtjes së të dhënave</w:t>
      </w:r>
    </w:p>
    <w:p w14:paraId="2E4B15B1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 w:eastAsia="en-GB"/>
        </w:rPr>
      </w:pPr>
    </w:p>
    <w:p w14:paraId="118BF514" w14:textId="0E9EB18D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color w:val="000000"/>
          <w:lang w:val="sq-AL" w:eastAsia="en-GB"/>
        </w:rPr>
        <w:t xml:space="preserve">1. </w:t>
      </w:r>
      <w:r w:rsidRPr="00C4113A">
        <w:rPr>
          <w:rFonts w:ascii="Garamond" w:hAnsi="Garamond"/>
          <w:lang w:val="sq-AL" w:eastAsia="en-GB"/>
        </w:rPr>
        <w:t>Të dhënat personale ruhen vetëm për periudhën e nevojshme për qëllimet për të cilat janë mbledhur dhe më pas, fshihen ose asgjësohen në përputhje me ligjin nr. 124/2024.</w:t>
      </w:r>
    </w:p>
    <w:p w14:paraId="4145C892" w14:textId="6B98036D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2. Të dhënat personale për personat e ndaluar përkohësisht, nuk mbahen më shumë se gjashtë muaj, me përjashtim të rastit kur ka arsye të përligjur për mbajtjen e tyre, bazuar në fakte që tregojnë se ato janë të nevojshme për qëllime të një hetimi në proces</w:t>
      </w:r>
      <w:r w:rsidR="00C41BB3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ose një procesi gjyqësor.</w:t>
      </w:r>
    </w:p>
    <w:p w14:paraId="2D2C6DBF" w14:textId="2A942682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3. Të dhënat personale </w:t>
      </w:r>
      <w:r w:rsidRPr="00C4113A">
        <w:rPr>
          <w:rFonts w:ascii="Garamond" w:hAnsi="Garamond"/>
          <w:color w:val="000000"/>
          <w:lang w:val="sq-AL" w:eastAsia="en-GB"/>
        </w:rPr>
        <w:t>për personat e ndaluar</w:t>
      </w:r>
      <w:r w:rsidR="00C41BB3">
        <w:rPr>
          <w:rFonts w:ascii="Garamond" w:hAnsi="Garamond"/>
          <w:color w:val="000000"/>
          <w:lang w:val="sq-AL" w:eastAsia="en-GB"/>
        </w:rPr>
        <w:t>,</w:t>
      </w:r>
      <w:r w:rsidRPr="00C4113A">
        <w:rPr>
          <w:rFonts w:ascii="Garamond" w:hAnsi="Garamond"/>
          <w:color w:val="000000"/>
          <w:lang w:val="sq-AL" w:eastAsia="en-GB"/>
        </w:rPr>
        <w:t xml:space="preserve"> ose </w:t>
      </w:r>
      <w:r w:rsidR="00C41BB3">
        <w:rPr>
          <w:rFonts w:ascii="Garamond" w:hAnsi="Garamond"/>
          <w:color w:val="000000"/>
          <w:lang w:val="sq-AL" w:eastAsia="en-GB"/>
        </w:rPr>
        <w:t xml:space="preserve">të </w:t>
      </w:r>
      <w:r w:rsidRPr="00C4113A">
        <w:rPr>
          <w:rFonts w:ascii="Garamond" w:hAnsi="Garamond"/>
          <w:color w:val="000000"/>
          <w:lang w:val="sq-AL" w:eastAsia="en-GB"/>
        </w:rPr>
        <w:t xml:space="preserve">arrestuar, mbahen 5 vjet, përveç rasteve kur parashikohet ndryshe në ligj. </w:t>
      </w:r>
    </w:p>
    <w:p w14:paraId="1C7AF0A9" w14:textId="69538EB9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color w:val="000000"/>
          <w:lang w:val="sq-AL" w:eastAsia="en-GB"/>
        </w:rPr>
        <w:t xml:space="preserve">4. </w:t>
      </w:r>
      <w:r w:rsidRPr="00C4113A">
        <w:rPr>
          <w:rFonts w:ascii="Garamond" w:hAnsi="Garamond"/>
          <w:lang w:val="sq-AL" w:eastAsia="en-GB"/>
        </w:rPr>
        <w:t>Të dhënat sensitive</w:t>
      </w:r>
      <w:r w:rsidR="00C41BB3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për personat e ndaluar</w:t>
      </w:r>
      <w:r w:rsidR="00C41BB3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ose </w:t>
      </w:r>
      <w:r w:rsidR="00C41BB3">
        <w:rPr>
          <w:rFonts w:ascii="Garamond" w:hAnsi="Garamond"/>
          <w:lang w:val="sq-AL" w:eastAsia="en-GB"/>
        </w:rPr>
        <w:t xml:space="preserve">të </w:t>
      </w:r>
      <w:r w:rsidRPr="00C4113A">
        <w:rPr>
          <w:rFonts w:ascii="Garamond" w:hAnsi="Garamond"/>
          <w:lang w:val="sq-AL" w:eastAsia="en-GB"/>
        </w:rPr>
        <w:t>arrestuar</w:t>
      </w:r>
      <w:r w:rsidR="00C41BB3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ruhen dhe asgjësohen në përputhje me parashikimet ligjore të detyrueshme për zbatim nga Policia e Shtetit. Administrimi i tyre realizohet në mënyrë të posaçme, sipas rregullave të parashikuara në ligjin nr. 124/2024.</w:t>
      </w:r>
    </w:p>
    <w:p w14:paraId="336F46AE" w14:textId="45973E6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5. Në rast se të dhënat personale të personave të ndaluar përkohësisht, të ndaluar dhe arrestuar në ambientet e Policisë së Shtetit, mbahen për më shumë se afatet e specifikuara më sipër, për shkak se </w:t>
      </w:r>
      <w:r w:rsidRPr="00C4113A">
        <w:rPr>
          <w:rFonts w:ascii="Garamond" w:hAnsi="Garamond"/>
          <w:lang w:val="sq-AL" w:eastAsia="en-GB"/>
        </w:rPr>
        <w:lastRenderedPageBreak/>
        <w:t>janë të nevojshme për qëllime të një hetimi penal në proces</w:t>
      </w:r>
      <w:r w:rsidR="00C41BB3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ose procesi gjyqësor, do të aplikohen të njëjtat rregulla për afatet e rishikimit të përcaktuara në këtë udhëzim.</w:t>
      </w:r>
    </w:p>
    <w:p w14:paraId="4EF75F65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03138BE6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 xml:space="preserve">Neni 11 </w:t>
      </w:r>
    </w:p>
    <w:p w14:paraId="1FEAA0BE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Rishikimi</w:t>
      </w:r>
    </w:p>
    <w:p w14:paraId="0725569F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3E78C1B7" w14:textId="039BF33F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1. Nëse të dhënat personale të përfshira në një proces rishikimi vlerësohen për t</w:t>
      </w:r>
      <w:r w:rsidR="000A6ACF">
        <w:rPr>
          <w:rFonts w:ascii="Garamond" w:hAnsi="Garamond"/>
          <w:lang w:val="sq-AL" w:eastAsia="en-GB"/>
        </w:rPr>
        <w:t>’</w:t>
      </w:r>
      <w:r w:rsidRPr="00C4113A">
        <w:rPr>
          <w:rFonts w:ascii="Garamond" w:hAnsi="Garamond"/>
          <w:lang w:val="sq-AL" w:eastAsia="en-GB"/>
        </w:rPr>
        <w:t>u mbajtur me qëllim parandalimin, hetimin dhe ndjekjen e veprave penale të ndryshme me dënime maksimale të ndryshme, periudha e rishikimit do t’i korrespondojë masës maksimale të dënimit të parashikuar për veprën penale më të rëndë, sipas afateve të mëposhtme:</w:t>
      </w:r>
    </w:p>
    <w:p w14:paraId="39AC6CE9" w14:textId="56602D84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40"/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a) dy vjet, për të dhënat personale në lidhje me vepra penale, dënimi për kryerjen e të cilave shkon deri në dy vjet burgim;</w:t>
      </w:r>
    </w:p>
    <w:p w14:paraId="26DB01E9" w14:textId="334EF36E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b) tre vjet, për të dhënat personale në lidhje me veprat penale, dënimi për kryerjen e të cilave shkon deri në 10 vjet burgim;</w:t>
      </w:r>
    </w:p>
    <w:p w14:paraId="3AE50443" w14:textId="2AEA0348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c) pesë vjet, për të dhënat personale në lidhje me veprat penale, dënimi për kryerjen e të cilave shkon mbi 10 vjet burgim.</w:t>
      </w:r>
    </w:p>
    <w:p w14:paraId="7EE15627" w14:textId="24F1FCB6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2. Nëse pas rishikimit të kohës së mbajtjes të të dhënave, vendoset që ato të vazhdohen të mbahen në sistemet elektronike, atëherë fillon një periudhë e re rishikimi. </w:t>
      </w:r>
    </w:p>
    <w:p w14:paraId="25B311E0" w14:textId="17E5C4A6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3. Vendimi për vazhdimin e mbajtjes së të dhënave regjistrohet në një regjistër të posaçëm për qëllimin e vetëm të kontrollit dhe verifikimit të ligjshmërisë së tij sipas legjislacionit në fuqi, dhe rregullat e përcaktuara në këtë udhëzim. </w:t>
      </w:r>
    </w:p>
    <w:p w14:paraId="61C19404" w14:textId="2D0E91B5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4. Të dhënat e ruajtura në regjistër përmbajnë, të paktën, numrin, datën dhe orën e marrjes së vendimit, arsyen për mbajtjen e të dhënave, si dhe përcaktimin e qartë të identitetit të punonjësit të policisë që ka marrë vendimin. </w:t>
      </w:r>
    </w:p>
    <w:p w14:paraId="5A584EE5" w14:textId="10CF733C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5. Drejtoria e Përgjithshme e Policisë së Shtetit identifikon në çdo rast strukturën përgjegjëse të policisë që do të kryejë vlerësimin dhe që do të marrë vendimin për vazhdimin e mbajtjes</w:t>
      </w:r>
      <w:r w:rsidR="000A6ACF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apo të fshirjes së të dhënave personale të përpunuara. </w:t>
      </w:r>
    </w:p>
    <w:p w14:paraId="08D7812F" w14:textId="3A0A7DB6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6. Nëse koha e mbajtjes së të dhënave personale rishikohet dy herë, pas këtij afati, vendimi për rishikim miratohet nga </w:t>
      </w:r>
      <w:r w:rsidR="000E57F5" w:rsidRPr="00C4113A">
        <w:rPr>
          <w:rFonts w:ascii="Garamond" w:hAnsi="Garamond"/>
          <w:lang w:val="sq-AL" w:eastAsia="en-GB"/>
        </w:rPr>
        <w:t xml:space="preserve">drejtori i përgjithshëm </w:t>
      </w:r>
      <w:r w:rsidRPr="00C4113A">
        <w:rPr>
          <w:rFonts w:ascii="Garamond" w:hAnsi="Garamond"/>
          <w:lang w:val="sq-AL" w:eastAsia="en-GB"/>
        </w:rPr>
        <w:t xml:space="preserve">i Policisë së Shtetit, </w:t>
      </w:r>
      <w:r w:rsidR="000E57F5" w:rsidRPr="00C4113A">
        <w:rPr>
          <w:rFonts w:ascii="Garamond" w:hAnsi="Garamond"/>
          <w:lang w:val="sq-AL" w:eastAsia="en-GB"/>
        </w:rPr>
        <w:t xml:space="preserve">drejtori </w:t>
      </w:r>
      <w:r w:rsidRPr="00C4113A">
        <w:rPr>
          <w:rFonts w:ascii="Garamond" w:hAnsi="Garamond"/>
          <w:lang w:val="sq-AL" w:eastAsia="en-GB"/>
        </w:rPr>
        <w:t>i Drejtorisë Vendore të Policisë</w:t>
      </w:r>
      <w:r w:rsidR="000E57F5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ose </w:t>
      </w:r>
      <w:r w:rsidR="000E57F5" w:rsidRPr="00C4113A">
        <w:rPr>
          <w:rFonts w:ascii="Garamond" w:hAnsi="Garamond"/>
          <w:lang w:val="sq-AL" w:eastAsia="en-GB"/>
        </w:rPr>
        <w:t xml:space="preserve">drejtori Rajonal </w:t>
      </w:r>
      <w:r w:rsidRPr="00C4113A">
        <w:rPr>
          <w:rFonts w:ascii="Garamond" w:hAnsi="Garamond"/>
          <w:lang w:val="sq-AL" w:eastAsia="en-GB"/>
        </w:rPr>
        <w:t>për Kufirin dhe Migracionin, përveç rasteve kur aplikohet një nga kushtet e mëposhtme:</w:t>
      </w:r>
    </w:p>
    <w:p w14:paraId="4E83A152" w14:textId="573732A8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a) kur të dhënat për personin janë përditësuar ose konsultuar (aksesuar) vazhdimisht, veçanërisht, nëse informacione të reja janë shtuar gjatë gjashtë muajve të fundit;</w:t>
      </w:r>
    </w:p>
    <w:p w14:paraId="2AD097F0" w14:textId="2921FEA5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b) kur ka të dhëna të qarta, bazuar në fakte, se personi i përket ose është i lidhur ngushtë me një organizatë kriminale ose terroriste; </w:t>
      </w:r>
    </w:p>
    <w:p w14:paraId="1F61A12A" w14:textId="7069AFE1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c) kur, sipas studimeve përkatëse shkencore apo statistikore, lloji i krimit, lidhur me të dhënat e mbajtura mbi personin, ka shumë të ngjarë që të kryhet sërish prej tij.</w:t>
      </w:r>
    </w:p>
    <w:p w14:paraId="7F708CF7" w14:textId="42FFA2A1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7. Periudha e rishikimit të ardhshëm ndërpritet gjatë kohës që personi kryen dënimin me burgim dhe fillon sërish me daljen e tij nga burgu. </w:t>
      </w:r>
    </w:p>
    <w:p w14:paraId="1BDCCF3A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0106A257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Neni 12</w:t>
      </w:r>
    </w:p>
    <w:p w14:paraId="768E94E8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Kriteret për rishikimin e domosdoshmërisë për mbajtjen e të dhënave personale</w:t>
      </w:r>
    </w:p>
    <w:p w14:paraId="56F3760D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5504BA25" w14:textId="2573690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1. Për përcaktimin e domosdoshmërisë për mbajtjen e të dhënave personale, merren parasysh kriteret e mëposhtme: </w:t>
      </w:r>
    </w:p>
    <w:p w14:paraId="31660D16" w14:textId="7D299B9C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a) mosha e subjektit të të dhënave, duke treguar kujdes të veçantë për të mitur</w:t>
      </w:r>
      <w:r w:rsidR="000E57F5">
        <w:rPr>
          <w:rFonts w:ascii="Garamond" w:hAnsi="Garamond"/>
          <w:lang w:val="sq-AL" w:eastAsia="en-GB"/>
        </w:rPr>
        <w:t>it</w:t>
      </w:r>
      <w:r w:rsidRPr="00C4113A">
        <w:rPr>
          <w:rFonts w:ascii="Garamond" w:hAnsi="Garamond"/>
          <w:lang w:val="sq-AL" w:eastAsia="en-GB"/>
        </w:rPr>
        <w:t xml:space="preserve"> e të moshuarit;</w:t>
      </w:r>
    </w:p>
    <w:p w14:paraId="3310D132" w14:textId="14594536" w:rsidR="008F5F01" w:rsidRPr="00C4113A" w:rsidRDefault="008F5F01" w:rsidP="000E57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b) shuarja e dënimit, që nënkupton rastin kur një person e ka kryer dënimin me burgim dhe ndërkohë edhe periudha e parë e rishikimit ka kaluar, të dhënat personale të tij fshihen, përveç rasteve kur ekzistojnë prova që vërtetojnë se ato janë të domosdoshme për hetime të tjera në proces. Në rastin e të dhënave sensitive, ato fshihen, përveçse kur janë absolutisht të nevojshme për t</w:t>
      </w:r>
      <w:r w:rsidR="000E57F5">
        <w:rPr>
          <w:rFonts w:ascii="Garamond" w:hAnsi="Garamond"/>
          <w:lang w:val="sq-AL" w:eastAsia="en-GB"/>
        </w:rPr>
        <w:t>’</w:t>
      </w:r>
      <w:r w:rsidRPr="00C4113A">
        <w:rPr>
          <w:rFonts w:ascii="Garamond" w:hAnsi="Garamond"/>
          <w:lang w:val="sq-AL" w:eastAsia="en-GB"/>
        </w:rPr>
        <w:t>u mbajtur</w:t>
      </w:r>
      <w:r w:rsidR="00AD1CF2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për shkak të hetimeve të tjera në proces. </w:t>
      </w:r>
    </w:p>
    <w:p w14:paraId="27363A97" w14:textId="5E05E298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lastRenderedPageBreak/>
        <w:t xml:space="preserve">c) për vendimet e gjykatës, veçanërisht, vendimet e saj për shpalljen e pafajësisë në lidhje me vepra penale të veçanta, i gjithë informacioni në lidhje me to duhet të fshihet, përveç rasteve kur ekzistojnë prova që vërtetojnë se ato janë të domosdoshme për hetime të tjera në proces. </w:t>
      </w:r>
    </w:p>
    <w:p w14:paraId="66727B02" w14:textId="4958B37D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ç) në rastin e të dhënave sensitive, ato fshihen, përveçse kur janë absolutisht të nevojshme për t</w:t>
      </w:r>
      <w:r w:rsidR="00AD1CF2">
        <w:rPr>
          <w:rFonts w:ascii="Garamond" w:hAnsi="Garamond"/>
          <w:lang w:val="sq-AL" w:eastAsia="en-GB"/>
        </w:rPr>
        <w:t>’</w:t>
      </w:r>
      <w:r w:rsidRPr="00C4113A">
        <w:rPr>
          <w:rFonts w:ascii="Garamond" w:hAnsi="Garamond"/>
          <w:lang w:val="sq-AL" w:eastAsia="en-GB"/>
        </w:rPr>
        <w:t>u mbajtur</w:t>
      </w:r>
      <w:r w:rsidR="00AD1CF2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për shkak të hetimeve të tjera në proces. I njëjti kusht mund të aplikohet edhe për rastet e amnistisë apo të rehabilitimit. </w:t>
      </w:r>
    </w:p>
    <w:p w14:paraId="50E5F8DB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18B11B3A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Neni 13</w:t>
      </w:r>
    </w:p>
    <w:p w14:paraId="5D6E3EEF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Sinjalizimi</w:t>
      </w:r>
    </w:p>
    <w:p w14:paraId="69713FDF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38AC412D" w14:textId="0A1F9776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1. Në sistemin elektronik të Policisë së Shtetit, lëshohet një sinjal (alert) dy muaj para afatit të rishikimit të kohës së mbajtjes të të dhënave personale. </w:t>
      </w:r>
    </w:p>
    <w:p w14:paraId="434D3C28" w14:textId="64C4987A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2. Nëse është përmbushur afati dhe nuk është ndërmarrë asnjë veprim për rishikimin e kohës së mbajtjes të të dhënave nga struktura përgjegjëse e policisë, atëherë këto të dhëna fshihen.</w:t>
      </w:r>
    </w:p>
    <w:p w14:paraId="05099816" w14:textId="2F0FE3F3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3. Departamenti për Teknologjinë e Informacionit</w:t>
      </w:r>
      <w:r w:rsidR="00AD1CF2">
        <w:rPr>
          <w:rFonts w:ascii="Garamond" w:hAnsi="Garamond"/>
          <w:lang w:val="sq-AL" w:eastAsia="en-GB"/>
        </w:rPr>
        <w:t xml:space="preserve"> </w:t>
      </w:r>
      <w:r w:rsidRPr="00C4113A">
        <w:rPr>
          <w:rFonts w:ascii="Garamond" w:hAnsi="Garamond"/>
          <w:lang w:val="sq-AL" w:eastAsia="en-GB"/>
        </w:rPr>
        <w:t xml:space="preserve">në Drejtorinë e Përgjithshme të Policisë së Shtetit </w:t>
      </w:r>
      <w:r w:rsidR="00AD1CF2" w:rsidRPr="00C4113A">
        <w:rPr>
          <w:rFonts w:ascii="Garamond" w:hAnsi="Garamond"/>
          <w:lang w:val="sq-AL" w:eastAsia="en-GB"/>
        </w:rPr>
        <w:t xml:space="preserve">merr </w:t>
      </w:r>
      <w:r w:rsidRPr="00C4113A">
        <w:rPr>
          <w:rFonts w:ascii="Garamond" w:hAnsi="Garamond"/>
          <w:lang w:val="sq-AL" w:eastAsia="en-GB"/>
        </w:rPr>
        <w:t>masa për modifikimin</w:t>
      </w:r>
      <w:r w:rsidR="00AD1CF2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apo ridizenjimin e sistemeve</w:t>
      </w:r>
      <w:r w:rsidR="00AD1CF2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me qëllim zbatimin e afateve të ruajtjes</w:t>
      </w:r>
      <w:r w:rsidR="00AD1CF2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apo anonimizimin e të dhënave personale</w:t>
      </w:r>
      <w:r w:rsidR="00AD1CF2">
        <w:rPr>
          <w:rFonts w:ascii="Garamond" w:hAnsi="Garamond"/>
          <w:lang w:val="sq-AL" w:eastAsia="en-GB"/>
        </w:rPr>
        <w:t>,</w:t>
      </w:r>
      <w:r w:rsidRPr="00C4113A">
        <w:rPr>
          <w:rFonts w:ascii="Garamond" w:hAnsi="Garamond"/>
          <w:lang w:val="sq-AL" w:eastAsia="en-GB"/>
        </w:rPr>
        <w:t xml:space="preserve"> dhe për fshirjen e këtyre të dhënave ngarkohet Drejtoria e Menaxhimit të Informacionit dhe Mbrojtjes së të Dhënave</w:t>
      </w:r>
      <w:r w:rsidR="00AD1CF2">
        <w:rPr>
          <w:rFonts w:ascii="Garamond" w:hAnsi="Garamond"/>
          <w:lang w:val="sq-AL" w:eastAsia="en-GB"/>
        </w:rPr>
        <w:t xml:space="preserve"> </w:t>
      </w:r>
      <w:r w:rsidRPr="00C4113A">
        <w:rPr>
          <w:rFonts w:ascii="Garamond" w:hAnsi="Garamond"/>
          <w:lang w:val="sq-AL" w:eastAsia="en-GB"/>
        </w:rPr>
        <w:t>në Drejtorinë e Përgjithshme të Policisë së Shtetit.</w:t>
      </w:r>
    </w:p>
    <w:p w14:paraId="5C1C3764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4185E865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Neni 14</w:t>
      </w:r>
    </w:p>
    <w:p w14:paraId="49314834" w14:textId="2D7F99C0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Regjistrimi dhe mbikëqyrja</w:t>
      </w:r>
    </w:p>
    <w:p w14:paraId="02ABC0BF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120E084D" w14:textId="53D9B8B0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1. Qëllimi për mbajtjen e regjistrit të përmendur në pikën 3, të nenit 11 të këtij udhëzimi, është krijimi i një mekanizmi kontrolli të përshtatshëm për të kryer verifikimin e ligjshmërisë së vendimit për vazhdimin e mbajtjes së të dhënave personale. </w:t>
      </w:r>
    </w:p>
    <w:p w14:paraId="3F612C32" w14:textId="48353E9B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2. Të dhënat që përmban ky regjistër do të fshihen në të njëjtën kohë me të dhënat personale të lidhura me to, </w:t>
      </w:r>
      <w:r w:rsidR="009B55CB">
        <w:rPr>
          <w:rFonts w:ascii="Garamond" w:hAnsi="Garamond"/>
          <w:lang w:val="sq-AL" w:eastAsia="en-GB"/>
        </w:rPr>
        <w:t xml:space="preserve">përveçse </w:t>
      </w:r>
      <w:r w:rsidRPr="00C4113A">
        <w:rPr>
          <w:rFonts w:ascii="Garamond" w:hAnsi="Garamond"/>
          <w:lang w:val="sq-AL" w:eastAsia="en-GB"/>
        </w:rPr>
        <w:t xml:space="preserve">kur janë të nevojshme për kontrolle ose procese gjyqësore në vazhdim. </w:t>
      </w:r>
    </w:p>
    <w:p w14:paraId="0DE949D1" w14:textId="239BBEB3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3. Kontrolli i regjistrit bëhet në mënyrë periodike nga Drejtoria e Menaxhimit të Informacionit dhe Mbrojtjes së të Dhënave për të verifikuar pajtueshmërinë me rregullat për kohën e mbajtjes së të dhënave, si dhe me rregullat për mbrojtjen e të dhënave personale. </w:t>
      </w:r>
    </w:p>
    <w:p w14:paraId="49C18DA0" w14:textId="0DF5C89A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4. Të dhënat e regjistrit do të vihen në dispozicion të autoriteteve me kompetenca mbikëqyrëse, brenda dhe jashtë strukturës së Policisë së Shtetit.</w:t>
      </w:r>
    </w:p>
    <w:p w14:paraId="2162FD88" w14:textId="687F1CF5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5. Komisioneri për të Drejtën e Informimit dhe Mbrojtjen e të Dhënave Personale, gjatë inspektimeve kryesisht dhe atyre me bazë ankese nga subjektet e të dhënave, përdorë informacionin që përmban regjistri, gjatë ushtrimit të kompetencave të tij mbikëqyrëse, në mënyrë që të sigurohet që përpunimi i të dhënave personale nga ana e policisë është kryer në mënyrë të ligjshme.</w:t>
      </w:r>
    </w:p>
    <w:p w14:paraId="6DA50C0A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6FCBE054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Neni 15</w:t>
      </w:r>
    </w:p>
    <w:p w14:paraId="7B69EABA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Kontrolli dhe monitorimi</w:t>
      </w:r>
    </w:p>
    <w:p w14:paraId="295ED749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3675CCC8" w14:textId="21F2DA85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1. Komisioneri për të Drejtën për Informim dhe Mbrojtjen e të Dhënave Personale monitoron respektimin e rregullave të përcaktuara në këtë udhëzim.</w:t>
      </w:r>
    </w:p>
    <w:p w14:paraId="603DF683" w14:textId="66E6E04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2. Çdo shkelje e dispozitave duhet të raportohet dhe të trajtohet në përputhje me ligjin.</w:t>
      </w:r>
    </w:p>
    <w:p w14:paraId="4426E1F9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22B7D3E4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 xml:space="preserve">Neni 16 </w:t>
      </w:r>
    </w:p>
    <w:p w14:paraId="0148A1C8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Sanksionet</w:t>
      </w:r>
    </w:p>
    <w:p w14:paraId="5A7321DD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0DE6FB93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Punonjësit e Policisë së Shtetit që shkelin dispozitat e këtij udhëzimi, mbajnë përgjegjësi administrative dhe/ose penale, sipas legjislacionit në fuqi.</w:t>
      </w:r>
    </w:p>
    <w:p w14:paraId="714DDEA3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lang w:val="sq-AL" w:eastAsia="en-GB"/>
        </w:rPr>
      </w:pPr>
    </w:p>
    <w:p w14:paraId="61ED145C" w14:textId="77777777" w:rsidR="006C56D1" w:rsidRDefault="006C56D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</w:p>
    <w:p w14:paraId="40F28F16" w14:textId="77777777" w:rsidR="006C56D1" w:rsidRDefault="006C56D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</w:p>
    <w:p w14:paraId="19370D6C" w14:textId="77777777" w:rsidR="006C56D1" w:rsidRDefault="006C56D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</w:p>
    <w:p w14:paraId="536301CF" w14:textId="34681D41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Neni 17</w:t>
      </w:r>
    </w:p>
    <w:p w14:paraId="18493FF0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Konfidencialiteti</w:t>
      </w:r>
    </w:p>
    <w:p w14:paraId="4D269694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5C6B950A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Të gjitha strukturat policore, punonjësit që zbatojnë këtë udhëzim, detyrohen të ruajnë konfidencialitetin dhe besueshmërinë e të dhënave të përpunuara gjatë ushtrimit të funksioneve të tyre, edhe pas përfundimit të funksionit. </w:t>
      </w:r>
    </w:p>
    <w:p w14:paraId="26418257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3A32180D" w14:textId="380A7B65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Neni 18</w:t>
      </w:r>
      <w:r w:rsidR="00C4113A" w:rsidRPr="00C4113A">
        <w:rPr>
          <w:rFonts w:ascii="Garamond" w:hAnsi="Garamond"/>
          <w:bCs/>
          <w:lang w:val="sq-AL" w:eastAsia="en-GB"/>
        </w:rPr>
        <w:t xml:space="preserve"> </w:t>
      </w:r>
    </w:p>
    <w:p w14:paraId="2ED17966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Zbatimi</w:t>
      </w:r>
    </w:p>
    <w:p w14:paraId="352B0D41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4FA8503A" w14:textId="45F6500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>Ngarkohen, Drejtoria e Përgjithshme e Policisë së Shtetit dhe strukturat e saj për zbatimin e këtij udhëzimi.</w:t>
      </w:r>
    </w:p>
    <w:p w14:paraId="071AA434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241A1E48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Neni 19</w:t>
      </w:r>
    </w:p>
    <w:p w14:paraId="19087D43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Hyrja në fuqi</w:t>
      </w:r>
    </w:p>
    <w:p w14:paraId="75BA234A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 w:eastAsia="en-GB"/>
        </w:rPr>
      </w:pPr>
    </w:p>
    <w:p w14:paraId="00E8D7AE" w14:textId="5F4E3AA4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 w:eastAsia="en-GB"/>
        </w:rPr>
      </w:pPr>
      <w:r w:rsidRPr="00C4113A">
        <w:rPr>
          <w:rFonts w:ascii="Garamond" w:hAnsi="Garamond"/>
          <w:lang w:val="sq-AL" w:eastAsia="en-GB"/>
        </w:rPr>
        <w:t xml:space="preserve">Ky </w:t>
      </w:r>
      <w:r w:rsidR="006C56D1" w:rsidRPr="00C4113A">
        <w:rPr>
          <w:rFonts w:ascii="Garamond" w:hAnsi="Garamond"/>
          <w:lang w:val="sq-AL" w:eastAsia="en-GB"/>
        </w:rPr>
        <w:t xml:space="preserve">udhëzim </w:t>
      </w:r>
      <w:r w:rsidRPr="00C4113A">
        <w:rPr>
          <w:rFonts w:ascii="Garamond" w:hAnsi="Garamond"/>
          <w:lang w:val="sq-AL" w:eastAsia="en-GB"/>
        </w:rPr>
        <w:t xml:space="preserve">hyn në fuqi menjëherë pas botimit në Fletoren Zyrtare. </w:t>
      </w:r>
    </w:p>
    <w:p w14:paraId="7FA6E32F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 w:eastAsia="en-GB"/>
        </w:rPr>
      </w:pPr>
    </w:p>
    <w:p w14:paraId="554EA459" w14:textId="478A222A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>MINISTËR I PUNËVE TË BRENDSHME</w:t>
      </w:r>
    </w:p>
    <w:p w14:paraId="3C58BFDB" w14:textId="2EEAC34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Albana Koçiu</w:t>
      </w:r>
    </w:p>
    <w:p w14:paraId="33C50748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lang w:val="sq-AL" w:eastAsia="en-GB"/>
        </w:rPr>
      </w:pPr>
    </w:p>
    <w:p w14:paraId="4441FE13" w14:textId="77777777" w:rsidR="001E1BA6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lang w:val="sq-AL" w:eastAsia="en-GB"/>
        </w:rPr>
      </w:pPr>
      <w:r w:rsidRPr="00C4113A">
        <w:rPr>
          <w:rFonts w:ascii="Garamond" w:hAnsi="Garamond"/>
          <w:bCs/>
          <w:lang w:val="sq-AL" w:eastAsia="en-GB"/>
        </w:rPr>
        <w:t xml:space="preserve">KOMISIONERI PËR TË DREJTËN E INFORMIMIT </w:t>
      </w:r>
    </w:p>
    <w:p w14:paraId="16D765C3" w14:textId="758D2E9C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lang w:val="sq-AL" w:eastAsia="en-GB"/>
        </w:rPr>
      </w:pPr>
      <w:bookmarkStart w:id="0" w:name="_GoBack"/>
      <w:bookmarkEnd w:id="0"/>
      <w:r w:rsidRPr="00C4113A">
        <w:rPr>
          <w:rFonts w:ascii="Garamond" w:hAnsi="Garamond"/>
          <w:bCs/>
          <w:lang w:val="sq-AL" w:eastAsia="en-GB"/>
        </w:rPr>
        <w:t>DHE MBROJTJEN E TË DHËNAVE PERSONALE</w:t>
      </w:r>
    </w:p>
    <w:p w14:paraId="7E207D27" w14:textId="1F998D33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lang w:val="sq-AL" w:eastAsia="en-GB"/>
        </w:rPr>
      </w:pPr>
      <w:r w:rsidRPr="00C4113A">
        <w:rPr>
          <w:rFonts w:ascii="Garamond" w:hAnsi="Garamond"/>
          <w:b/>
          <w:bCs/>
          <w:lang w:val="sq-AL" w:eastAsia="en-GB"/>
        </w:rPr>
        <w:t>Besnik Dervishi</w:t>
      </w:r>
    </w:p>
    <w:p w14:paraId="3F6E3695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0230BDE3" w14:textId="77777777" w:rsidR="008F5F01" w:rsidRPr="00C4113A" w:rsidRDefault="008F5F01" w:rsidP="008F5F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sectPr w:rsidR="008F5F01" w:rsidRPr="00C4113A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008" w:right="1296" w:bottom="1008" w:left="1440" w:header="28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482E5" w14:textId="77777777" w:rsidR="00146EDE" w:rsidRDefault="00146EDE">
      <w:r>
        <w:separator/>
      </w:r>
    </w:p>
  </w:endnote>
  <w:endnote w:type="continuationSeparator" w:id="0">
    <w:p w14:paraId="1F97AE57" w14:textId="77777777" w:rsidR="00146EDE" w:rsidRDefault="00146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A4425" w14:textId="77777777" w:rsidR="00071A18" w:rsidRDefault="00071A18">
    <w:pPr>
      <w:pStyle w:val="Header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820DD" w14:textId="77777777" w:rsidR="00071A18" w:rsidRDefault="00071A18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30A32" w14:textId="77777777" w:rsidR="00146EDE" w:rsidRDefault="00146EDE">
      <w:r>
        <w:separator/>
      </w:r>
    </w:p>
  </w:footnote>
  <w:footnote w:type="continuationSeparator" w:id="0">
    <w:p w14:paraId="6E036CB1" w14:textId="77777777" w:rsidR="00146EDE" w:rsidRDefault="00146EDE">
      <w:r>
        <w:continuationSeparator/>
      </w:r>
    </w:p>
  </w:footnote>
  <w:footnote w:type="continuationNotice" w:id="1">
    <w:p w14:paraId="5083EF5A" w14:textId="77777777" w:rsidR="00146EDE" w:rsidRDefault="00146EDE"/>
  </w:footnote>
  <w:footnote w:id="2">
    <w:p w14:paraId="26227E63" w14:textId="78BE06B2" w:rsidR="008F5F01" w:rsidRPr="00C4113A" w:rsidRDefault="008F5F01" w:rsidP="00C411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Garamond" w:hAnsi="Garamond"/>
          <w:sz w:val="20"/>
          <w:lang w:val="sq-AL" w:eastAsia="en-GB"/>
        </w:rPr>
      </w:pPr>
      <w:r w:rsidRPr="00C4113A">
        <w:rPr>
          <w:rStyle w:val="FootnoteReference"/>
          <w:rFonts w:ascii="Garamond" w:hAnsi="Garamond"/>
          <w:sz w:val="20"/>
          <w:lang w:val="sq-AL"/>
        </w:rPr>
        <w:footnoteRef/>
      </w:r>
      <w:r w:rsidRPr="00C4113A">
        <w:rPr>
          <w:rFonts w:ascii="Garamond" w:hAnsi="Garamond"/>
          <w:sz w:val="20"/>
          <w:lang w:val="sq-AL"/>
        </w:rPr>
        <w:t xml:space="preserve"> </w:t>
      </w:r>
      <w:r w:rsidRPr="00C4113A">
        <w:rPr>
          <w:rFonts w:ascii="Garamond" w:hAnsi="Garamond"/>
          <w:sz w:val="20"/>
          <w:lang w:val="sq-AL" w:eastAsia="en-GB"/>
        </w:rPr>
        <w:t>Këto masa duhet të jenë të dokumentuara, të jenë specifike dhe proporcionale me kategorinë të dhënave që përpunohen dhe mënyrën e përpunimit, si dhe të korrespondojnë masat e parashikuara me ato që zbatohen në praktikë.</w:t>
      </w:r>
    </w:p>
  </w:footnote>
  <w:footnote w:id="3">
    <w:p w14:paraId="5C9EE6F0" w14:textId="3135A7E2" w:rsidR="008F5F01" w:rsidRPr="00C4113A" w:rsidRDefault="008F5F01" w:rsidP="00C411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Garamond" w:hAnsi="Garamond"/>
          <w:sz w:val="20"/>
          <w:lang w:val="sq-AL" w:eastAsia="en-GB"/>
        </w:rPr>
      </w:pPr>
      <w:r w:rsidRPr="00C4113A">
        <w:rPr>
          <w:rStyle w:val="FootnoteReference"/>
          <w:rFonts w:ascii="Garamond" w:hAnsi="Garamond"/>
          <w:sz w:val="20"/>
          <w:lang w:val="sq-AL"/>
        </w:rPr>
        <w:footnoteRef/>
      </w:r>
      <w:r w:rsidRPr="00C4113A">
        <w:rPr>
          <w:rFonts w:ascii="Garamond" w:hAnsi="Garamond"/>
          <w:sz w:val="20"/>
          <w:lang w:val="sq-AL"/>
        </w:rPr>
        <w:t xml:space="preserve"> </w:t>
      </w:r>
      <w:r w:rsidRPr="00C4113A">
        <w:rPr>
          <w:rFonts w:ascii="Garamond" w:hAnsi="Garamond"/>
          <w:sz w:val="20"/>
          <w:lang w:val="sq-AL" w:eastAsia="en-GB"/>
        </w:rPr>
        <w:t xml:space="preserve">Vlerësimi i ndikimit në mbrojtjen e të dhënave parashikohet në nenin 64 të </w:t>
      </w:r>
      <w:r w:rsidR="004077DC" w:rsidRPr="00C4113A">
        <w:rPr>
          <w:rFonts w:ascii="Garamond" w:hAnsi="Garamond"/>
          <w:sz w:val="20"/>
          <w:lang w:val="sq-AL" w:eastAsia="en-GB"/>
        </w:rPr>
        <w:t>ligjit</w:t>
      </w:r>
      <w:r w:rsidRPr="00C4113A">
        <w:rPr>
          <w:rFonts w:ascii="Garamond" w:hAnsi="Garamond"/>
          <w:sz w:val="20"/>
          <w:lang w:val="sq-AL" w:eastAsia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75CEE" w14:textId="77777777" w:rsidR="00071A18" w:rsidRDefault="00071A18">
    <w:pPr>
      <w:pStyle w:val="HeaderFoot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340DD" w14:textId="77777777" w:rsidR="00071A18" w:rsidRDefault="00071A18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667F2"/>
    <w:multiLevelType w:val="hybridMultilevel"/>
    <w:tmpl w:val="DB40A776"/>
    <w:styleLink w:val="ImportedStyle14"/>
    <w:lvl w:ilvl="0" w:tplc="FE3279F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DE452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38C42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2C67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18320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482CA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862A0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607BB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582E0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7BA1A93"/>
    <w:multiLevelType w:val="hybridMultilevel"/>
    <w:tmpl w:val="832472EE"/>
    <w:styleLink w:val="ImportedStyle13"/>
    <w:lvl w:ilvl="0" w:tplc="99FCDD6E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BE894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CC142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0C1D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88806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34B67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6C23D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5C891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9EEF1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84A348D"/>
    <w:multiLevelType w:val="hybridMultilevel"/>
    <w:tmpl w:val="915CF84C"/>
    <w:styleLink w:val="ImportedStyle2"/>
    <w:lvl w:ilvl="0" w:tplc="21ECB9E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02501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D62CE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4A745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3EDEB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F2203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1075F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DA43B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74D5E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FEE5B4E"/>
    <w:multiLevelType w:val="hybridMultilevel"/>
    <w:tmpl w:val="18F6D86A"/>
    <w:styleLink w:val="ImportedStyle15"/>
    <w:lvl w:ilvl="0" w:tplc="DFD23FD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AFA203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1EBAF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B6361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0A196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9CC22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90D0D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7CF48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E2DE5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53B26E3"/>
    <w:multiLevelType w:val="hybridMultilevel"/>
    <w:tmpl w:val="2CECB656"/>
    <w:styleLink w:val="ImportedStyle10"/>
    <w:lvl w:ilvl="0" w:tplc="9660786A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F2B43A">
      <w:start w:val="1"/>
      <w:numFmt w:val="decimal"/>
      <w:lvlText w:val="%2."/>
      <w:lvlJc w:val="left"/>
      <w:pPr>
        <w:tabs>
          <w:tab w:val="left" w:pos="720"/>
          <w:tab w:val="num" w:pos="1440"/>
        </w:tabs>
        <w:ind w:left="10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926B8C">
      <w:start w:val="1"/>
      <w:numFmt w:val="decimal"/>
      <w:lvlText w:val="%3."/>
      <w:lvlJc w:val="left"/>
      <w:pPr>
        <w:tabs>
          <w:tab w:val="left" w:pos="720"/>
          <w:tab w:val="num" w:pos="2160"/>
        </w:tabs>
        <w:ind w:left="180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EA7C96">
      <w:start w:val="1"/>
      <w:numFmt w:val="decimal"/>
      <w:lvlText w:val="%4."/>
      <w:lvlJc w:val="left"/>
      <w:pPr>
        <w:tabs>
          <w:tab w:val="left" w:pos="720"/>
          <w:tab w:val="num" w:pos="2880"/>
        </w:tabs>
        <w:ind w:left="25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D06DFC">
      <w:start w:val="1"/>
      <w:numFmt w:val="decimal"/>
      <w:lvlText w:val="%5."/>
      <w:lvlJc w:val="left"/>
      <w:pPr>
        <w:tabs>
          <w:tab w:val="left" w:pos="720"/>
          <w:tab w:val="num" w:pos="3600"/>
        </w:tabs>
        <w:ind w:left="324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3E90E0">
      <w:start w:val="1"/>
      <w:numFmt w:val="decimal"/>
      <w:lvlText w:val="%6."/>
      <w:lvlJc w:val="left"/>
      <w:pPr>
        <w:tabs>
          <w:tab w:val="left" w:pos="720"/>
          <w:tab w:val="num" w:pos="4320"/>
        </w:tabs>
        <w:ind w:left="39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C03E38">
      <w:start w:val="1"/>
      <w:numFmt w:val="decimal"/>
      <w:lvlText w:val="%7."/>
      <w:lvlJc w:val="left"/>
      <w:pPr>
        <w:tabs>
          <w:tab w:val="left" w:pos="720"/>
          <w:tab w:val="num" w:pos="5040"/>
        </w:tabs>
        <w:ind w:left="46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B20AAA">
      <w:start w:val="1"/>
      <w:numFmt w:val="decimal"/>
      <w:lvlText w:val="%8."/>
      <w:lvlJc w:val="left"/>
      <w:pPr>
        <w:tabs>
          <w:tab w:val="left" w:pos="720"/>
          <w:tab w:val="num" w:pos="5760"/>
        </w:tabs>
        <w:ind w:left="540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902424">
      <w:start w:val="1"/>
      <w:numFmt w:val="decimal"/>
      <w:lvlText w:val="%9."/>
      <w:lvlJc w:val="left"/>
      <w:pPr>
        <w:tabs>
          <w:tab w:val="left" w:pos="720"/>
          <w:tab w:val="num" w:pos="6480"/>
        </w:tabs>
        <w:ind w:left="61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BB02EA1"/>
    <w:multiLevelType w:val="hybridMultilevel"/>
    <w:tmpl w:val="029C9D0C"/>
    <w:styleLink w:val="ImportedStyle3"/>
    <w:lvl w:ilvl="0" w:tplc="3DB485C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8451B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83E191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78CF9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02B2B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8ACF1D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2415D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98526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4C734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3DC328C"/>
    <w:multiLevelType w:val="hybridMultilevel"/>
    <w:tmpl w:val="DBA27A1C"/>
    <w:styleLink w:val="ImportedStyle4"/>
    <w:lvl w:ilvl="0" w:tplc="DFB23B12">
      <w:start w:val="1"/>
      <w:numFmt w:val="decimal"/>
      <w:lvlText w:val="%1."/>
      <w:lvlJc w:val="left"/>
      <w:pPr>
        <w:tabs>
          <w:tab w:val="left" w:pos="720"/>
          <w:tab w:val="num" w:pos="1380"/>
        </w:tabs>
        <w:ind w:left="660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B1E0663A">
      <w:start w:val="1"/>
      <w:numFmt w:val="decimal"/>
      <w:lvlText w:val="%2."/>
      <w:lvlJc w:val="left"/>
      <w:pPr>
        <w:tabs>
          <w:tab w:val="left" w:pos="720"/>
          <w:tab w:val="left" w:pos="1380"/>
          <w:tab w:val="num" w:pos="2100"/>
        </w:tabs>
        <w:ind w:left="1380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4406286E">
      <w:start w:val="1"/>
      <w:numFmt w:val="decimal"/>
      <w:lvlText w:val="%3."/>
      <w:lvlJc w:val="left"/>
      <w:pPr>
        <w:tabs>
          <w:tab w:val="left" w:pos="720"/>
          <w:tab w:val="left" w:pos="1380"/>
          <w:tab w:val="num" w:pos="2820"/>
        </w:tabs>
        <w:ind w:left="2100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59740A20">
      <w:start w:val="1"/>
      <w:numFmt w:val="decimal"/>
      <w:lvlText w:val="%4."/>
      <w:lvlJc w:val="left"/>
      <w:pPr>
        <w:tabs>
          <w:tab w:val="left" w:pos="720"/>
          <w:tab w:val="left" w:pos="1380"/>
          <w:tab w:val="num" w:pos="3540"/>
        </w:tabs>
        <w:ind w:left="2820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E9D41F2C">
      <w:start w:val="1"/>
      <w:numFmt w:val="decimal"/>
      <w:lvlText w:val="%5."/>
      <w:lvlJc w:val="left"/>
      <w:pPr>
        <w:tabs>
          <w:tab w:val="left" w:pos="720"/>
          <w:tab w:val="left" w:pos="1380"/>
          <w:tab w:val="num" w:pos="4260"/>
        </w:tabs>
        <w:ind w:left="3540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1C7E8692">
      <w:start w:val="1"/>
      <w:numFmt w:val="decimal"/>
      <w:lvlText w:val="%6."/>
      <w:lvlJc w:val="left"/>
      <w:pPr>
        <w:tabs>
          <w:tab w:val="left" w:pos="720"/>
          <w:tab w:val="left" w:pos="1380"/>
          <w:tab w:val="num" w:pos="4980"/>
        </w:tabs>
        <w:ind w:left="4260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F7B6BFA0">
      <w:start w:val="1"/>
      <w:numFmt w:val="decimal"/>
      <w:lvlText w:val="%7."/>
      <w:lvlJc w:val="left"/>
      <w:pPr>
        <w:tabs>
          <w:tab w:val="left" w:pos="720"/>
          <w:tab w:val="left" w:pos="1380"/>
          <w:tab w:val="num" w:pos="5700"/>
        </w:tabs>
        <w:ind w:left="4980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00AC07E8">
      <w:start w:val="1"/>
      <w:numFmt w:val="decimal"/>
      <w:lvlText w:val="%8."/>
      <w:lvlJc w:val="left"/>
      <w:pPr>
        <w:tabs>
          <w:tab w:val="left" w:pos="720"/>
          <w:tab w:val="left" w:pos="1380"/>
          <w:tab w:val="num" w:pos="6420"/>
        </w:tabs>
        <w:ind w:left="5700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C9A20714">
      <w:start w:val="1"/>
      <w:numFmt w:val="decimal"/>
      <w:lvlText w:val="%9."/>
      <w:lvlJc w:val="left"/>
      <w:pPr>
        <w:tabs>
          <w:tab w:val="left" w:pos="720"/>
          <w:tab w:val="left" w:pos="1380"/>
          <w:tab w:val="num" w:pos="7140"/>
        </w:tabs>
        <w:ind w:left="6420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7" w15:restartNumberingAfterBreak="0">
    <w:nsid w:val="350702AE"/>
    <w:multiLevelType w:val="hybridMultilevel"/>
    <w:tmpl w:val="E918D2D0"/>
    <w:styleLink w:val="ImportedStyle7"/>
    <w:lvl w:ilvl="0" w:tplc="2FAAE7CC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C00EA4">
      <w:start w:val="1"/>
      <w:numFmt w:val="lowerLetter"/>
      <w:lvlText w:val="%2."/>
      <w:lvlJc w:val="left"/>
      <w:pPr>
        <w:tabs>
          <w:tab w:val="left" w:pos="720"/>
          <w:tab w:val="num" w:pos="1440"/>
        </w:tabs>
        <w:ind w:left="10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280A00">
      <w:start w:val="1"/>
      <w:numFmt w:val="lowerRoman"/>
      <w:lvlText w:val="%3."/>
      <w:lvlJc w:val="left"/>
      <w:pPr>
        <w:tabs>
          <w:tab w:val="left" w:pos="720"/>
          <w:tab w:val="num" w:pos="2160"/>
        </w:tabs>
        <w:ind w:left="1800" w:firstLine="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F00E06">
      <w:start w:val="1"/>
      <w:numFmt w:val="decimal"/>
      <w:lvlText w:val="%4."/>
      <w:lvlJc w:val="left"/>
      <w:pPr>
        <w:tabs>
          <w:tab w:val="left" w:pos="720"/>
          <w:tab w:val="num" w:pos="2880"/>
        </w:tabs>
        <w:ind w:left="25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D65E3E">
      <w:start w:val="1"/>
      <w:numFmt w:val="lowerLetter"/>
      <w:lvlText w:val="%5."/>
      <w:lvlJc w:val="left"/>
      <w:pPr>
        <w:tabs>
          <w:tab w:val="left" w:pos="720"/>
          <w:tab w:val="num" w:pos="3600"/>
        </w:tabs>
        <w:ind w:left="324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261C8C">
      <w:start w:val="1"/>
      <w:numFmt w:val="lowerRoman"/>
      <w:lvlText w:val="%6."/>
      <w:lvlJc w:val="left"/>
      <w:pPr>
        <w:tabs>
          <w:tab w:val="left" w:pos="720"/>
          <w:tab w:val="num" w:pos="4320"/>
        </w:tabs>
        <w:ind w:left="3960" w:firstLine="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1CB7F2">
      <w:start w:val="1"/>
      <w:numFmt w:val="decimal"/>
      <w:lvlText w:val="%7."/>
      <w:lvlJc w:val="left"/>
      <w:pPr>
        <w:tabs>
          <w:tab w:val="left" w:pos="720"/>
          <w:tab w:val="num" w:pos="5040"/>
        </w:tabs>
        <w:ind w:left="46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A06CDA">
      <w:start w:val="1"/>
      <w:numFmt w:val="lowerLetter"/>
      <w:lvlText w:val="%8."/>
      <w:lvlJc w:val="left"/>
      <w:pPr>
        <w:tabs>
          <w:tab w:val="left" w:pos="720"/>
          <w:tab w:val="num" w:pos="5760"/>
        </w:tabs>
        <w:ind w:left="540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84F4C2">
      <w:start w:val="1"/>
      <w:numFmt w:val="lowerRoman"/>
      <w:lvlText w:val="%9."/>
      <w:lvlJc w:val="left"/>
      <w:pPr>
        <w:tabs>
          <w:tab w:val="left" w:pos="720"/>
          <w:tab w:val="num" w:pos="6480"/>
        </w:tabs>
        <w:ind w:left="6120" w:firstLine="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6713AB0"/>
    <w:multiLevelType w:val="hybridMultilevel"/>
    <w:tmpl w:val="41F84DEE"/>
    <w:styleLink w:val="ImportedStyle9"/>
    <w:lvl w:ilvl="0" w:tplc="33D4AA2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FA51F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BA7B38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20019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B80B3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5625CA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EA70C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4C23B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249D92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E2A1E51"/>
    <w:multiLevelType w:val="hybridMultilevel"/>
    <w:tmpl w:val="77C05CAC"/>
    <w:styleLink w:val="ImportedStyle6"/>
    <w:lvl w:ilvl="0" w:tplc="CC50D1A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78287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02CF5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66B69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C2E85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68F63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7CC8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CC15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E0FB1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FDC0B9D"/>
    <w:multiLevelType w:val="hybridMultilevel"/>
    <w:tmpl w:val="8138B53C"/>
    <w:styleLink w:val="ImportedStyle5"/>
    <w:lvl w:ilvl="0" w:tplc="503C9364">
      <w:start w:val="1"/>
      <w:numFmt w:val="decimal"/>
      <w:lvlText w:val="%1."/>
      <w:lvlJc w:val="left"/>
      <w:pPr>
        <w:tabs>
          <w:tab w:val="num" w:pos="1440"/>
        </w:tabs>
        <w:ind w:left="72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D026EB52">
      <w:start w:val="1"/>
      <w:numFmt w:val="lowerLetter"/>
      <w:lvlText w:val="%2."/>
      <w:lvlJc w:val="left"/>
      <w:pPr>
        <w:tabs>
          <w:tab w:val="left" w:pos="1440"/>
          <w:tab w:val="num" w:pos="2160"/>
        </w:tabs>
        <w:ind w:left="144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EEAE86">
      <w:start w:val="1"/>
      <w:numFmt w:val="lowerRoman"/>
      <w:lvlText w:val="%3."/>
      <w:lvlJc w:val="left"/>
      <w:pPr>
        <w:tabs>
          <w:tab w:val="left" w:pos="1440"/>
          <w:tab w:val="num" w:pos="2880"/>
        </w:tabs>
        <w:ind w:left="2160" w:firstLine="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EE9806">
      <w:start w:val="1"/>
      <w:numFmt w:val="decimal"/>
      <w:lvlText w:val="%4."/>
      <w:lvlJc w:val="left"/>
      <w:pPr>
        <w:tabs>
          <w:tab w:val="left" w:pos="1440"/>
          <w:tab w:val="num" w:pos="3600"/>
        </w:tabs>
        <w:ind w:left="28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06B27C">
      <w:start w:val="1"/>
      <w:numFmt w:val="lowerLetter"/>
      <w:lvlText w:val="%5."/>
      <w:lvlJc w:val="left"/>
      <w:pPr>
        <w:tabs>
          <w:tab w:val="left" w:pos="1440"/>
          <w:tab w:val="num" w:pos="4320"/>
        </w:tabs>
        <w:ind w:left="360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D4B26E">
      <w:start w:val="1"/>
      <w:numFmt w:val="lowerRoman"/>
      <w:lvlText w:val="%6."/>
      <w:lvlJc w:val="left"/>
      <w:pPr>
        <w:tabs>
          <w:tab w:val="left" w:pos="1440"/>
          <w:tab w:val="num" w:pos="5040"/>
        </w:tabs>
        <w:ind w:left="4320" w:firstLine="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5C04DA">
      <w:start w:val="1"/>
      <w:numFmt w:val="decimal"/>
      <w:lvlText w:val="%7."/>
      <w:lvlJc w:val="left"/>
      <w:pPr>
        <w:tabs>
          <w:tab w:val="left" w:pos="1440"/>
          <w:tab w:val="num" w:pos="5760"/>
        </w:tabs>
        <w:ind w:left="504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F07CA4">
      <w:start w:val="1"/>
      <w:numFmt w:val="lowerLetter"/>
      <w:lvlText w:val="%8."/>
      <w:lvlJc w:val="left"/>
      <w:pPr>
        <w:tabs>
          <w:tab w:val="left" w:pos="1440"/>
          <w:tab w:val="num" w:pos="6480"/>
        </w:tabs>
        <w:ind w:left="576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FCB164">
      <w:start w:val="1"/>
      <w:numFmt w:val="lowerRoman"/>
      <w:lvlText w:val="%9."/>
      <w:lvlJc w:val="left"/>
      <w:pPr>
        <w:tabs>
          <w:tab w:val="left" w:pos="1440"/>
          <w:tab w:val="num" w:pos="7200"/>
        </w:tabs>
        <w:ind w:left="6480" w:firstLine="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50394F7E"/>
    <w:multiLevelType w:val="hybridMultilevel"/>
    <w:tmpl w:val="CABAD568"/>
    <w:styleLink w:val="ImportedStyle91"/>
    <w:lvl w:ilvl="0" w:tplc="7A8CCF9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2C03B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C650EE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8633D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665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ECC1C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A6ADE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A6BE3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FAC43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65C92938"/>
    <w:multiLevelType w:val="hybridMultilevel"/>
    <w:tmpl w:val="F7EA9906"/>
    <w:styleLink w:val="ImportedStyle8"/>
    <w:lvl w:ilvl="0" w:tplc="E250A9E0">
      <w:start w:val="1"/>
      <w:numFmt w:val="lowerLetter"/>
      <w:lvlText w:val="%1)"/>
      <w:lvlJc w:val="left"/>
      <w:pPr>
        <w:tabs>
          <w:tab w:val="left" w:pos="360"/>
          <w:tab w:val="num" w:pos="720"/>
        </w:tabs>
        <w:ind w:left="3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3A09B2">
      <w:start w:val="1"/>
      <w:numFmt w:val="lowerLetter"/>
      <w:lvlText w:val="%2."/>
      <w:lvlJc w:val="left"/>
      <w:pPr>
        <w:tabs>
          <w:tab w:val="left" w:pos="360"/>
          <w:tab w:val="left" w:pos="720"/>
          <w:tab w:val="num" w:pos="1440"/>
        </w:tabs>
        <w:ind w:left="10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7602C4">
      <w:start w:val="1"/>
      <w:numFmt w:val="lowerRoman"/>
      <w:lvlText w:val="%3."/>
      <w:lvlJc w:val="left"/>
      <w:pPr>
        <w:tabs>
          <w:tab w:val="left" w:pos="360"/>
          <w:tab w:val="left" w:pos="720"/>
          <w:tab w:val="num" w:pos="2160"/>
        </w:tabs>
        <w:ind w:left="1800" w:firstLine="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E297B0">
      <w:start w:val="1"/>
      <w:numFmt w:val="decimal"/>
      <w:lvlText w:val="%4."/>
      <w:lvlJc w:val="left"/>
      <w:pPr>
        <w:tabs>
          <w:tab w:val="left" w:pos="360"/>
          <w:tab w:val="left" w:pos="720"/>
          <w:tab w:val="num" w:pos="2880"/>
        </w:tabs>
        <w:ind w:left="25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BA906A">
      <w:start w:val="1"/>
      <w:numFmt w:val="lowerLetter"/>
      <w:lvlText w:val="%5."/>
      <w:lvlJc w:val="left"/>
      <w:pPr>
        <w:tabs>
          <w:tab w:val="left" w:pos="360"/>
          <w:tab w:val="left" w:pos="720"/>
          <w:tab w:val="num" w:pos="3600"/>
        </w:tabs>
        <w:ind w:left="324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485386">
      <w:start w:val="1"/>
      <w:numFmt w:val="lowerRoman"/>
      <w:lvlText w:val="%6."/>
      <w:lvlJc w:val="left"/>
      <w:pPr>
        <w:tabs>
          <w:tab w:val="left" w:pos="360"/>
          <w:tab w:val="left" w:pos="720"/>
          <w:tab w:val="num" w:pos="4320"/>
        </w:tabs>
        <w:ind w:left="3960" w:firstLine="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205B98">
      <w:start w:val="1"/>
      <w:numFmt w:val="decimal"/>
      <w:lvlText w:val="%7."/>
      <w:lvlJc w:val="left"/>
      <w:pPr>
        <w:tabs>
          <w:tab w:val="left" w:pos="360"/>
          <w:tab w:val="left" w:pos="720"/>
          <w:tab w:val="num" w:pos="5040"/>
        </w:tabs>
        <w:ind w:left="46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685CD6">
      <w:start w:val="1"/>
      <w:numFmt w:val="lowerLetter"/>
      <w:lvlText w:val="%8."/>
      <w:lvlJc w:val="left"/>
      <w:pPr>
        <w:tabs>
          <w:tab w:val="left" w:pos="360"/>
          <w:tab w:val="left" w:pos="720"/>
          <w:tab w:val="num" w:pos="5760"/>
        </w:tabs>
        <w:ind w:left="540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B0F998">
      <w:start w:val="1"/>
      <w:numFmt w:val="lowerRoman"/>
      <w:lvlText w:val="%9."/>
      <w:lvlJc w:val="left"/>
      <w:pPr>
        <w:tabs>
          <w:tab w:val="left" w:pos="360"/>
          <w:tab w:val="left" w:pos="720"/>
          <w:tab w:val="num" w:pos="6480"/>
        </w:tabs>
        <w:ind w:left="6120" w:firstLine="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66396D31"/>
    <w:multiLevelType w:val="hybridMultilevel"/>
    <w:tmpl w:val="A27E6948"/>
    <w:styleLink w:val="ImportedStyle1"/>
    <w:lvl w:ilvl="0" w:tplc="7B328EC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92526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56384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4A701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5AEB3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88AE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BCD24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BC74E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F4E17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72E763A1"/>
    <w:multiLevelType w:val="hybridMultilevel"/>
    <w:tmpl w:val="C29A3F76"/>
    <w:styleLink w:val="ImportedStyle12"/>
    <w:lvl w:ilvl="0" w:tplc="1096D19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F4A5F8">
      <w:start w:val="1"/>
      <w:numFmt w:val="lowerLetter"/>
      <w:lvlText w:val="%2)"/>
      <w:lvlJc w:val="left"/>
      <w:pPr>
        <w:ind w:left="1080" w:hanging="360"/>
      </w:pPr>
      <w:rPr>
        <w:rFonts w:ascii="Times New Roman" w:eastAsia="Calibri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9CBC6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B8C10F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F2E33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D4BBA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78E06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EC013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1458F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77583D68"/>
    <w:multiLevelType w:val="hybridMultilevel"/>
    <w:tmpl w:val="E3502906"/>
    <w:styleLink w:val="ImportedStyle11"/>
    <w:lvl w:ilvl="0" w:tplc="2104E48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649BAC">
      <w:start w:val="1"/>
      <w:numFmt w:val="lowerLetter"/>
      <w:lvlText w:val="%2)"/>
      <w:lvlJc w:val="left"/>
      <w:pPr>
        <w:ind w:left="1080" w:hanging="360"/>
      </w:pPr>
      <w:rPr>
        <w:rFonts w:ascii="Times New Roman" w:eastAsia="Calibri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DA68F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0E7BE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66AD6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B8AE5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42531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36A9B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54CE7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3"/>
  </w:num>
  <w:num w:numId="2">
    <w:abstractNumId w:val="2"/>
  </w:num>
  <w:num w:numId="3">
    <w:abstractNumId w:val="5"/>
  </w:num>
  <w:num w:numId="4">
    <w:abstractNumId w:val="6"/>
  </w:num>
  <w:num w:numId="5">
    <w:abstractNumId w:val="10"/>
  </w:num>
  <w:num w:numId="6">
    <w:abstractNumId w:val="9"/>
  </w:num>
  <w:num w:numId="7">
    <w:abstractNumId w:val="7"/>
  </w:num>
  <w:num w:numId="8">
    <w:abstractNumId w:val="12"/>
  </w:num>
  <w:num w:numId="9">
    <w:abstractNumId w:val="8"/>
  </w:num>
  <w:num w:numId="10">
    <w:abstractNumId w:val="4"/>
  </w:num>
  <w:num w:numId="11">
    <w:abstractNumId w:val="15"/>
  </w:num>
  <w:num w:numId="12">
    <w:abstractNumId w:val="14"/>
  </w:num>
  <w:num w:numId="13">
    <w:abstractNumId w:val="1"/>
  </w:num>
  <w:num w:numId="14">
    <w:abstractNumId w:val="0"/>
  </w:num>
  <w:num w:numId="15">
    <w:abstractNumId w:val="3"/>
  </w:num>
  <w:num w:numId="16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A18"/>
    <w:rsid w:val="000002B6"/>
    <w:rsid w:val="00007332"/>
    <w:rsid w:val="00021ACF"/>
    <w:rsid w:val="000314D0"/>
    <w:rsid w:val="00031596"/>
    <w:rsid w:val="00033383"/>
    <w:rsid w:val="000351F2"/>
    <w:rsid w:val="00047CB7"/>
    <w:rsid w:val="00047F68"/>
    <w:rsid w:val="00052E0A"/>
    <w:rsid w:val="0005542D"/>
    <w:rsid w:val="000718BC"/>
    <w:rsid w:val="00071A18"/>
    <w:rsid w:val="00083C63"/>
    <w:rsid w:val="00084242"/>
    <w:rsid w:val="000A6ACF"/>
    <w:rsid w:val="000B0EB1"/>
    <w:rsid w:val="000B7B34"/>
    <w:rsid w:val="000C0C6A"/>
    <w:rsid w:val="000D1FFC"/>
    <w:rsid w:val="000D5207"/>
    <w:rsid w:val="000D5EFC"/>
    <w:rsid w:val="000E0783"/>
    <w:rsid w:val="000E57F5"/>
    <w:rsid w:val="000E79A9"/>
    <w:rsid w:val="000F1A44"/>
    <w:rsid w:val="000F30E5"/>
    <w:rsid w:val="000F5533"/>
    <w:rsid w:val="001152FF"/>
    <w:rsid w:val="00115834"/>
    <w:rsid w:val="001378DB"/>
    <w:rsid w:val="00146EDE"/>
    <w:rsid w:val="00147AA0"/>
    <w:rsid w:val="00151229"/>
    <w:rsid w:val="0016411D"/>
    <w:rsid w:val="00175F71"/>
    <w:rsid w:val="00192621"/>
    <w:rsid w:val="001A0FBA"/>
    <w:rsid w:val="001A7401"/>
    <w:rsid w:val="001C0B4F"/>
    <w:rsid w:val="001E0ADE"/>
    <w:rsid w:val="001E1BA6"/>
    <w:rsid w:val="001E29BE"/>
    <w:rsid w:val="00211FD9"/>
    <w:rsid w:val="0021251C"/>
    <w:rsid w:val="00214B96"/>
    <w:rsid w:val="00221ECC"/>
    <w:rsid w:val="00240436"/>
    <w:rsid w:val="0026118B"/>
    <w:rsid w:val="00274425"/>
    <w:rsid w:val="00284C11"/>
    <w:rsid w:val="0029499A"/>
    <w:rsid w:val="002B3450"/>
    <w:rsid w:val="002D0A75"/>
    <w:rsid w:val="003100A2"/>
    <w:rsid w:val="00312897"/>
    <w:rsid w:val="00343CC9"/>
    <w:rsid w:val="0034575A"/>
    <w:rsid w:val="00345C51"/>
    <w:rsid w:val="00355F85"/>
    <w:rsid w:val="00386AEC"/>
    <w:rsid w:val="00396128"/>
    <w:rsid w:val="003B5B53"/>
    <w:rsid w:val="003B7982"/>
    <w:rsid w:val="003D4AA8"/>
    <w:rsid w:val="003E074D"/>
    <w:rsid w:val="003F6BFE"/>
    <w:rsid w:val="004033E3"/>
    <w:rsid w:val="00403FE0"/>
    <w:rsid w:val="004069DD"/>
    <w:rsid w:val="004077DC"/>
    <w:rsid w:val="00411CDA"/>
    <w:rsid w:val="00413C8D"/>
    <w:rsid w:val="00450326"/>
    <w:rsid w:val="004513A0"/>
    <w:rsid w:val="00455D2B"/>
    <w:rsid w:val="00460E1A"/>
    <w:rsid w:val="00463589"/>
    <w:rsid w:val="0046417B"/>
    <w:rsid w:val="004647D8"/>
    <w:rsid w:val="00465F50"/>
    <w:rsid w:val="004848CD"/>
    <w:rsid w:val="0048717D"/>
    <w:rsid w:val="004A69CE"/>
    <w:rsid w:val="004C0759"/>
    <w:rsid w:val="004D5202"/>
    <w:rsid w:val="004E57CF"/>
    <w:rsid w:val="004F17F7"/>
    <w:rsid w:val="004F2175"/>
    <w:rsid w:val="00503C5E"/>
    <w:rsid w:val="005147CA"/>
    <w:rsid w:val="0051681C"/>
    <w:rsid w:val="00524EED"/>
    <w:rsid w:val="00527537"/>
    <w:rsid w:val="0053238D"/>
    <w:rsid w:val="0055214E"/>
    <w:rsid w:val="0056633E"/>
    <w:rsid w:val="00583A71"/>
    <w:rsid w:val="00595828"/>
    <w:rsid w:val="005A4819"/>
    <w:rsid w:val="005A7CD1"/>
    <w:rsid w:val="005C6DCE"/>
    <w:rsid w:val="005D1AA4"/>
    <w:rsid w:val="005E5AF1"/>
    <w:rsid w:val="005E7C38"/>
    <w:rsid w:val="005F0DDA"/>
    <w:rsid w:val="005F5EAD"/>
    <w:rsid w:val="00600ACD"/>
    <w:rsid w:val="00602393"/>
    <w:rsid w:val="00643A93"/>
    <w:rsid w:val="00660CF6"/>
    <w:rsid w:val="00670408"/>
    <w:rsid w:val="00677D43"/>
    <w:rsid w:val="006810E5"/>
    <w:rsid w:val="00693A79"/>
    <w:rsid w:val="006A2696"/>
    <w:rsid w:val="006A3F17"/>
    <w:rsid w:val="006A7F0F"/>
    <w:rsid w:val="006C56D1"/>
    <w:rsid w:val="006D4942"/>
    <w:rsid w:val="006E41E5"/>
    <w:rsid w:val="006E5504"/>
    <w:rsid w:val="006F6163"/>
    <w:rsid w:val="00704C1F"/>
    <w:rsid w:val="0072591A"/>
    <w:rsid w:val="00733121"/>
    <w:rsid w:val="00745E76"/>
    <w:rsid w:val="00761048"/>
    <w:rsid w:val="0076609D"/>
    <w:rsid w:val="007731FD"/>
    <w:rsid w:val="0079058D"/>
    <w:rsid w:val="007962B7"/>
    <w:rsid w:val="007A6186"/>
    <w:rsid w:val="007B5438"/>
    <w:rsid w:val="007C0144"/>
    <w:rsid w:val="007D0933"/>
    <w:rsid w:val="007D680B"/>
    <w:rsid w:val="007E09AC"/>
    <w:rsid w:val="007E0EB6"/>
    <w:rsid w:val="007E1989"/>
    <w:rsid w:val="007E7204"/>
    <w:rsid w:val="007F7950"/>
    <w:rsid w:val="00803895"/>
    <w:rsid w:val="0084669F"/>
    <w:rsid w:val="00852AC6"/>
    <w:rsid w:val="008539CA"/>
    <w:rsid w:val="008603E3"/>
    <w:rsid w:val="00873A71"/>
    <w:rsid w:val="008774A7"/>
    <w:rsid w:val="00883B4F"/>
    <w:rsid w:val="0088767B"/>
    <w:rsid w:val="008A609C"/>
    <w:rsid w:val="008B2357"/>
    <w:rsid w:val="008E70DF"/>
    <w:rsid w:val="008E7CD7"/>
    <w:rsid w:val="008F27F2"/>
    <w:rsid w:val="008F5F01"/>
    <w:rsid w:val="0090170C"/>
    <w:rsid w:val="009136F5"/>
    <w:rsid w:val="00925FC7"/>
    <w:rsid w:val="0094229B"/>
    <w:rsid w:val="0095144D"/>
    <w:rsid w:val="00957090"/>
    <w:rsid w:val="00967373"/>
    <w:rsid w:val="0097138D"/>
    <w:rsid w:val="00971708"/>
    <w:rsid w:val="009749F2"/>
    <w:rsid w:val="00977D11"/>
    <w:rsid w:val="00984841"/>
    <w:rsid w:val="009965CF"/>
    <w:rsid w:val="009A0EC3"/>
    <w:rsid w:val="009B55CB"/>
    <w:rsid w:val="009C7E98"/>
    <w:rsid w:val="009E4666"/>
    <w:rsid w:val="009F5244"/>
    <w:rsid w:val="009F6CF8"/>
    <w:rsid w:val="00A00840"/>
    <w:rsid w:val="00A03B9F"/>
    <w:rsid w:val="00A03F07"/>
    <w:rsid w:val="00A11EAC"/>
    <w:rsid w:val="00A13856"/>
    <w:rsid w:val="00A23D86"/>
    <w:rsid w:val="00A5295B"/>
    <w:rsid w:val="00A72911"/>
    <w:rsid w:val="00A73117"/>
    <w:rsid w:val="00A75510"/>
    <w:rsid w:val="00A82983"/>
    <w:rsid w:val="00A932C5"/>
    <w:rsid w:val="00AA106C"/>
    <w:rsid w:val="00AA278B"/>
    <w:rsid w:val="00AB6ECD"/>
    <w:rsid w:val="00AD1CF2"/>
    <w:rsid w:val="00AD246E"/>
    <w:rsid w:val="00AE49CF"/>
    <w:rsid w:val="00AE6FBC"/>
    <w:rsid w:val="00AF7147"/>
    <w:rsid w:val="00B06B68"/>
    <w:rsid w:val="00B12907"/>
    <w:rsid w:val="00B137B3"/>
    <w:rsid w:val="00B162E3"/>
    <w:rsid w:val="00B30A90"/>
    <w:rsid w:val="00B338B9"/>
    <w:rsid w:val="00B354FE"/>
    <w:rsid w:val="00B43036"/>
    <w:rsid w:val="00B609E3"/>
    <w:rsid w:val="00B63032"/>
    <w:rsid w:val="00B95D23"/>
    <w:rsid w:val="00BB3D1C"/>
    <w:rsid w:val="00BD0B92"/>
    <w:rsid w:val="00BE351E"/>
    <w:rsid w:val="00BE374C"/>
    <w:rsid w:val="00BF333C"/>
    <w:rsid w:val="00C040ED"/>
    <w:rsid w:val="00C123FC"/>
    <w:rsid w:val="00C1410F"/>
    <w:rsid w:val="00C27CAC"/>
    <w:rsid w:val="00C3650C"/>
    <w:rsid w:val="00C4113A"/>
    <w:rsid w:val="00C41BB3"/>
    <w:rsid w:val="00C60F61"/>
    <w:rsid w:val="00C61C82"/>
    <w:rsid w:val="00C7420D"/>
    <w:rsid w:val="00C91776"/>
    <w:rsid w:val="00C955BA"/>
    <w:rsid w:val="00CB2AD8"/>
    <w:rsid w:val="00CC09B3"/>
    <w:rsid w:val="00CC0BF3"/>
    <w:rsid w:val="00CF0357"/>
    <w:rsid w:val="00CF4179"/>
    <w:rsid w:val="00CF51F8"/>
    <w:rsid w:val="00CF7640"/>
    <w:rsid w:val="00D14BA4"/>
    <w:rsid w:val="00D21C70"/>
    <w:rsid w:val="00D35A26"/>
    <w:rsid w:val="00D44084"/>
    <w:rsid w:val="00D70FA4"/>
    <w:rsid w:val="00D72ED3"/>
    <w:rsid w:val="00D74CA8"/>
    <w:rsid w:val="00D76E78"/>
    <w:rsid w:val="00D94819"/>
    <w:rsid w:val="00D979E0"/>
    <w:rsid w:val="00DB53D9"/>
    <w:rsid w:val="00DB592A"/>
    <w:rsid w:val="00DF013F"/>
    <w:rsid w:val="00E004B9"/>
    <w:rsid w:val="00E01F94"/>
    <w:rsid w:val="00E047B8"/>
    <w:rsid w:val="00E04C25"/>
    <w:rsid w:val="00E07742"/>
    <w:rsid w:val="00E206E5"/>
    <w:rsid w:val="00E30F9A"/>
    <w:rsid w:val="00E65BFE"/>
    <w:rsid w:val="00E71A1D"/>
    <w:rsid w:val="00E91182"/>
    <w:rsid w:val="00E96BBA"/>
    <w:rsid w:val="00EC0285"/>
    <w:rsid w:val="00EC1CD4"/>
    <w:rsid w:val="00EC6012"/>
    <w:rsid w:val="00ED05E6"/>
    <w:rsid w:val="00ED2213"/>
    <w:rsid w:val="00ED34D9"/>
    <w:rsid w:val="00ED4FC1"/>
    <w:rsid w:val="00EE2442"/>
    <w:rsid w:val="00EE731E"/>
    <w:rsid w:val="00EF1619"/>
    <w:rsid w:val="00EF19FF"/>
    <w:rsid w:val="00F465E2"/>
    <w:rsid w:val="00F525A1"/>
    <w:rsid w:val="00F6090C"/>
    <w:rsid w:val="00F8414C"/>
    <w:rsid w:val="00F860A0"/>
    <w:rsid w:val="00F94EA8"/>
    <w:rsid w:val="00F9632B"/>
    <w:rsid w:val="00F97A62"/>
    <w:rsid w:val="00FB0B88"/>
    <w:rsid w:val="00FD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1C6C9"/>
  <w15:docId w15:val="{ED501E64-27FA-4396-AE93-6F295E97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ndarjemehapsira">
    <w:name w:val="Pa ndarje me hapësira"/>
    <w:uiPriority w:val="99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NoSpacing">
    <w:name w:val="No Spacing"/>
    <w:uiPriority w:val="99"/>
    <w:qFormat/>
    <w:pPr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FootnoteText">
    <w:name w:val="footnote text"/>
    <w:link w:val="FootnoteTextChar"/>
    <w:rPr>
      <w:rFonts w:eastAsia="Times New Roman"/>
      <w:color w:val="000000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2">
    <w:name w:val="Imported Style 2"/>
    <w:pPr>
      <w:numPr>
        <w:numId w:val="2"/>
      </w:numPr>
    </w:p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4"/>
      </w:numPr>
    </w:pPr>
  </w:style>
  <w:style w:type="numbering" w:customStyle="1" w:styleId="ImportedStyle5">
    <w:name w:val="Imported Style 5"/>
    <w:pPr>
      <w:numPr>
        <w:numId w:val="5"/>
      </w:numPr>
    </w:pPr>
  </w:style>
  <w:style w:type="paragraph" w:styleId="ListParagraph">
    <w:name w:val="List Paragraph"/>
    <w:uiPriority w:val="99"/>
    <w:qFormat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6">
    <w:name w:val="Imported Style 6"/>
    <w:pPr>
      <w:numPr>
        <w:numId w:val="6"/>
      </w:numPr>
    </w:pPr>
  </w:style>
  <w:style w:type="paragraph" w:customStyle="1" w:styleId="BodyA">
    <w:name w:val="Body A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7">
    <w:name w:val="Imported Style 7"/>
    <w:pPr>
      <w:numPr>
        <w:numId w:val="7"/>
      </w:numPr>
    </w:pPr>
  </w:style>
  <w:style w:type="numbering" w:customStyle="1" w:styleId="ImportedStyle8">
    <w:name w:val="Imported Style 8"/>
    <w:pPr>
      <w:numPr>
        <w:numId w:val="8"/>
      </w:numPr>
    </w:pPr>
  </w:style>
  <w:style w:type="numbering" w:customStyle="1" w:styleId="ImportedStyle9">
    <w:name w:val="Imported Style 9"/>
    <w:pPr>
      <w:numPr>
        <w:numId w:val="9"/>
      </w:numPr>
    </w:pPr>
  </w:style>
  <w:style w:type="numbering" w:customStyle="1" w:styleId="ImportedStyle10">
    <w:name w:val="Imported Style 1.0"/>
    <w:pPr>
      <w:numPr>
        <w:numId w:val="10"/>
      </w:numPr>
    </w:pPr>
  </w:style>
  <w:style w:type="numbering" w:customStyle="1" w:styleId="ImportedStyle11">
    <w:name w:val="Imported Style 11"/>
    <w:pPr>
      <w:numPr>
        <w:numId w:val="11"/>
      </w:numPr>
    </w:pPr>
  </w:style>
  <w:style w:type="numbering" w:customStyle="1" w:styleId="ImportedStyle12">
    <w:name w:val="Imported Style 12"/>
    <w:pPr>
      <w:numPr>
        <w:numId w:val="12"/>
      </w:numPr>
    </w:pPr>
  </w:style>
  <w:style w:type="numbering" w:customStyle="1" w:styleId="ImportedStyle13">
    <w:name w:val="Imported Style 13"/>
    <w:pPr>
      <w:numPr>
        <w:numId w:val="13"/>
      </w:numPr>
    </w:pPr>
  </w:style>
  <w:style w:type="numbering" w:customStyle="1" w:styleId="ImportedStyle14">
    <w:name w:val="Imported Style 14"/>
    <w:pPr>
      <w:numPr>
        <w:numId w:val="14"/>
      </w:numPr>
    </w:pPr>
  </w:style>
  <w:style w:type="numbering" w:customStyle="1" w:styleId="ImportedStyle15">
    <w:name w:val="Imported Style 15"/>
    <w:pPr>
      <w:numPr>
        <w:numId w:val="15"/>
      </w:numPr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6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696"/>
    <w:rPr>
      <w:rFonts w:ascii="Segoe UI" w:hAnsi="Segoe UI" w:cs="Segoe UI"/>
      <w:sz w:val="18"/>
      <w:szCs w:val="18"/>
      <w:lang w:val="en-US" w:eastAsia="en-US"/>
    </w:rPr>
  </w:style>
  <w:style w:type="numbering" w:customStyle="1" w:styleId="ImportedStyle91">
    <w:name w:val="Imported Style 91"/>
    <w:rsid w:val="00B95D23"/>
    <w:pPr>
      <w:numPr>
        <w:numId w:val="16"/>
      </w:numPr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9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9CA"/>
    <w:rPr>
      <w:b/>
      <w:bCs/>
      <w:lang w:val="en-US" w:eastAsia="en-US"/>
    </w:rPr>
  </w:style>
  <w:style w:type="character" w:customStyle="1" w:styleId="cf01">
    <w:name w:val="cf01"/>
    <w:basedOn w:val="DefaultParagraphFont"/>
    <w:rsid w:val="00503C5E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C0B4F"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rsid w:val="008F5F01"/>
    <w:rPr>
      <w:rFonts w:eastAsia="Times New Roman"/>
      <w:color w:val="000000"/>
      <w:u w:color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8F5F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2026-02-17T10:01:41Z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2026-02-13T00:00:00Z</Date_x0020_protokolli>
    <Titulli xmlns="0e656187-b300-4fb0-8bf4-3a50f872073c">Për mënyrën e organizimit, administrimit, afatit të ruajtjes, kontrollin dhe fshirjen e të dhënave të mbledhura në rastet e ndalimit të përkohshëm policor, ndalimit dhe arrestimit të personave</Titulli>
    <Modifikuesi xmlns="0e656187-b300-4fb0-8bf4-3a50f872073c">keisina.zace</Modifikuesi>
    <Nr_x002e__x0020_prot_x0020_QBZ xmlns="0e656187-b300-4fb0-8bf4-3a50f872073c">320/1</Nr_x002e__x0020_prot_x0020_QBZ>
    <Data_x0020_e_x0020_Modifikimit xmlns="0e656187-b300-4fb0-8bf4-3a50f872073c">2026-02-19T09:15:58Z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5242/3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1B81A1F34448BA8F3E8B7F3C7BDE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38DAB-6133-4FAF-8C17-882FCC6B845D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330E09B-7FBB-4AC7-AF28-02C6DCDF33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F6434C-115E-4C8B-BC19-BD200011A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89C9F1-950D-4DCA-BD8D-7584F39E68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  <clbl:label id="{b8071378-4ca0-4860-843f-35dba2dbb61e}" enabled="0" method="" siteId="{b8071378-4ca0-4860-843f-35dba2dbb6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2335</Words>
  <Characters>13315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organizimit, administrimit, afatit të ruajtjes, kontrollin dhe fshirjen e të dhënave të mbledhura në rastet e ndalimit të përkohshëm policor, ndalimit dhe arrestimit të personave</vt:lpstr>
    </vt:vector>
  </TitlesOfParts>
  <Company>Hewlett-Packard Company</Company>
  <LinksUpToDate>false</LinksUpToDate>
  <CharactersWithSpaces>15619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organizimit, administrimit, afatit të ruajtjes, kontrollin dhe fshirjen e të dhënave të mbledhura në rastet e ndalimit të përkohshëm policor, ndalimit dhe arrestimit të personave</dc:title>
  <dc:creator>Pamela</dc:creator>
  <cp:lastModifiedBy>Alma Lisaku</cp:lastModifiedBy>
  <cp:revision>71</cp:revision>
  <cp:lastPrinted>2026-01-07T12:31:00Z</cp:lastPrinted>
  <dcterms:created xsi:type="dcterms:W3CDTF">2025-11-18T12:02:00Z</dcterms:created>
  <dcterms:modified xsi:type="dcterms:W3CDTF">2026-02-19T09:22:00Z</dcterms:modified>
</cp:coreProperties>
</file>