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F47C1" w14:textId="77777777" w:rsidR="00A7122D" w:rsidRPr="008C6AF8" w:rsidRDefault="00A7122D" w:rsidP="00A712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8C6AF8">
        <w:rPr>
          <w:rFonts w:ascii="Garamond" w:eastAsia="Times New Roman" w:hAnsi="Garamond"/>
          <w:b/>
          <w:sz w:val="24"/>
          <w:szCs w:val="24"/>
        </w:rPr>
        <w:t>UDHËZIM I PËRBASHKËT</w:t>
      </w:r>
    </w:p>
    <w:p w14:paraId="39DB7B56" w14:textId="14306AE4" w:rsidR="00A7122D" w:rsidRPr="008C6AF8" w:rsidRDefault="00A7122D" w:rsidP="00A712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iCs/>
          <w:sz w:val="24"/>
          <w:szCs w:val="24"/>
        </w:rPr>
      </w:pPr>
      <w:r w:rsidRPr="008C6AF8">
        <w:rPr>
          <w:rFonts w:ascii="Garamond" w:eastAsia="Times New Roman" w:hAnsi="Garamond"/>
          <w:b/>
          <w:bCs/>
          <w:sz w:val="24"/>
          <w:szCs w:val="24"/>
        </w:rPr>
        <w:t>Nr. 110, datë 4.6.</w:t>
      </w:r>
      <w:r w:rsidRPr="008C6AF8">
        <w:rPr>
          <w:rFonts w:ascii="Garamond" w:eastAsia="Times New Roman" w:hAnsi="Garamond"/>
          <w:b/>
          <w:bCs/>
          <w:iCs/>
          <w:sz w:val="24"/>
          <w:szCs w:val="24"/>
        </w:rPr>
        <w:t>2026</w:t>
      </w:r>
    </w:p>
    <w:p w14:paraId="20817403" w14:textId="77777777" w:rsidR="00A7122D" w:rsidRPr="008C6AF8" w:rsidRDefault="00A7122D" w:rsidP="00A712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214C5FFF" w14:textId="77777777" w:rsidR="00A7122D" w:rsidRPr="008C6AF8" w:rsidRDefault="00A7122D" w:rsidP="00A712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8C6AF8">
        <w:rPr>
          <w:rFonts w:ascii="Garamond" w:eastAsia="Times New Roman" w:hAnsi="Garamond"/>
          <w:b/>
          <w:sz w:val="24"/>
          <w:szCs w:val="24"/>
        </w:rPr>
        <w:t>PËR PËRCAKTIMIN E RREGULLAVE PËR ADMINISTRIMIN E TË DHËNAVE TË GRUMBULLUARA NË ZBATIM TË LIGJIT PËR KONTROLLIN E KUFIRIT SHTETËROR</w:t>
      </w:r>
    </w:p>
    <w:p w14:paraId="0A0B895D" w14:textId="77777777" w:rsidR="00A7122D" w:rsidRPr="008C6AF8" w:rsidRDefault="00A7122D" w:rsidP="00A712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highlight w:val="yellow"/>
        </w:rPr>
      </w:pPr>
    </w:p>
    <w:p w14:paraId="77A17273" w14:textId="7F5825FE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6AF8">
        <w:rPr>
          <w:rFonts w:ascii="Garamond" w:hAnsi="Garamond"/>
          <w:sz w:val="24"/>
          <w:szCs w:val="24"/>
        </w:rPr>
        <w:t>Në mbështetje të pikës 4, të nenit 102</w:t>
      </w:r>
      <w:r w:rsidR="00E52A91">
        <w:rPr>
          <w:rFonts w:ascii="Garamond" w:hAnsi="Garamond"/>
          <w:sz w:val="24"/>
          <w:szCs w:val="24"/>
        </w:rPr>
        <w:t>,</w:t>
      </w:r>
      <w:r w:rsidRPr="008C6AF8">
        <w:rPr>
          <w:rFonts w:ascii="Garamond" w:hAnsi="Garamond"/>
          <w:sz w:val="24"/>
          <w:szCs w:val="24"/>
        </w:rPr>
        <w:t xml:space="preserve"> të Kushtetutës dhe të pikës 3, të nenit 32, të </w:t>
      </w:r>
      <w:r w:rsidR="006862A4" w:rsidRPr="008C6AF8">
        <w:rPr>
          <w:rFonts w:ascii="Garamond" w:hAnsi="Garamond"/>
          <w:sz w:val="24"/>
          <w:szCs w:val="24"/>
        </w:rPr>
        <w:t xml:space="preserve">ligjit nr. </w:t>
      </w:r>
      <w:r w:rsidRPr="008C6AF8">
        <w:rPr>
          <w:rFonts w:ascii="Garamond" w:hAnsi="Garamond"/>
          <w:sz w:val="24"/>
          <w:szCs w:val="24"/>
        </w:rPr>
        <w:t>39/2025</w:t>
      </w:r>
      <w:r w:rsidR="00E52A91">
        <w:rPr>
          <w:rFonts w:ascii="Garamond" w:hAnsi="Garamond"/>
          <w:sz w:val="24"/>
          <w:szCs w:val="24"/>
        </w:rPr>
        <w:t>,</w:t>
      </w:r>
      <w:r w:rsidRPr="008C6AF8">
        <w:rPr>
          <w:rFonts w:ascii="Garamond" w:hAnsi="Garamond"/>
          <w:sz w:val="24"/>
          <w:szCs w:val="24"/>
        </w:rPr>
        <w:t xml:space="preserve"> “Për kontrollin e kufirit shtetëror”, </w:t>
      </w:r>
      <w:r w:rsidR="00E52A91" w:rsidRPr="008C6AF8">
        <w:rPr>
          <w:rFonts w:ascii="Garamond" w:hAnsi="Garamond"/>
          <w:sz w:val="24"/>
          <w:szCs w:val="24"/>
        </w:rPr>
        <w:t xml:space="preserve">ministri </w:t>
      </w:r>
      <w:r w:rsidRPr="008C6AF8">
        <w:rPr>
          <w:rFonts w:ascii="Garamond" w:hAnsi="Garamond"/>
          <w:sz w:val="24"/>
          <w:szCs w:val="24"/>
        </w:rPr>
        <w:t xml:space="preserve">i Punëve të Brendshme dhe </w:t>
      </w:r>
      <w:proofErr w:type="spellStart"/>
      <w:r w:rsidRPr="008C6AF8">
        <w:rPr>
          <w:rFonts w:ascii="Garamond" w:hAnsi="Garamond"/>
          <w:sz w:val="24"/>
          <w:szCs w:val="24"/>
        </w:rPr>
        <w:t>Komisioneri</w:t>
      </w:r>
      <w:proofErr w:type="spellEnd"/>
      <w:r w:rsidRPr="008C6AF8">
        <w:rPr>
          <w:rFonts w:ascii="Garamond" w:hAnsi="Garamond"/>
          <w:sz w:val="24"/>
          <w:szCs w:val="24"/>
        </w:rPr>
        <w:t xml:space="preserve"> për të Drejtën e Informimit dhe Mbrojtjen e të Dhënave Personale,</w:t>
      </w:r>
    </w:p>
    <w:p w14:paraId="07B0926D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EE21C3" w14:textId="77777777" w:rsidR="00A7122D" w:rsidRPr="008C6AF8" w:rsidRDefault="00A7122D" w:rsidP="00A7122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8C6AF8">
        <w:rPr>
          <w:rFonts w:ascii="Garamond" w:hAnsi="Garamond"/>
          <w:bCs/>
          <w:sz w:val="24"/>
          <w:szCs w:val="24"/>
        </w:rPr>
        <w:t>UDHËZOJNË:</w:t>
      </w:r>
    </w:p>
    <w:p w14:paraId="1991F83B" w14:textId="77777777" w:rsidR="00A7122D" w:rsidRPr="008C6AF8" w:rsidRDefault="00A7122D" w:rsidP="00A7122D">
      <w:pPr>
        <w:spacing w:after="0" w:line="240" w:lineRule="auto"/>
        <w:ind w:firstLine="284"/>
        <w:rPr>
          <w:rFonts w:ascii="Garamond" w:eastAsia="Times New Roman" w:hAnsi="Garamond"/>
          <w:b/>
          <w:sz w:val="24"/>
          <w:szCs w:val="24"/>
        </w:rPr>
      </w:pPr>
    </w:p>
    <w:p w14:paraId="0FECA05D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1. Roja Kufitare, në funksion të kontrollit kufitar dhe vetëm në masën e nevojshme për përmbushjen e detyrimeve ligjore të përcaktuara në legjislacionin për kontrollin e kufirit shtetëror, mbledh dhe përpunon kategoritë e mëposhtme të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dhënave personale:</w:t>
      </w:r>
    </w:p>
    <w:p w14:paraId="03D0DAB8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a) të dhënat e identitetit dhe dokumentit të udhëtimit;</w:t>
      </w:r>
    </w:p>
    <w:p w14:paraId="7E636A87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b) të dhënat biometrike, përfshirë të dhënat e identifikimit të mbledhura nga sisteme automatike të verifikimit kufitar;</w:t>
      </w:r>
    </w:p>
    <w:p w14:paraId="46FACB42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c) të dhënat për udhëtimin, dokumentacionin mbështetës dhe lëvizjet ndërkufitare;</w:t>
      </w:r>
    </w:p>
    <w:p w14:paraId="1E547387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ç) të dhënat për informacionin paraprak për pasagjerin (API);</w:t>
      </w:r>
    </w:p>
    <w:p w14:paraId="28E0BFA3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d) të dhënat mbi mjetet e transportit dhe sendet, kur këto janë të nevojshme për kontrollin kufitar;</w:t>
      </w:r>
    </w:p>
    <w:p w14:paraId="51248F87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dh) të dhënat për sigurinë dhe riskun, përfshirë të dhëna nga regjistra dhe baza të dhënash kombëtare e ndërkombëtare;</w:t>
      </w:r>
    </w:p>
    <w:p w14:paraId="02A31A8B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e) të dhënat financiare dhe administrative, përfshirë mjetet financiare të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disponueshme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>;</w:t>
      </w:r>
    </w:p>
    <w:p w14:paraId="463DFA92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ë) të dhënat për qarkullimin lokal kufitar;</w:t>
      </w:r>
    </w:p>
    <w:p w14:paraId="52C29619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f) të dhënat të regjistruara në sistemet e përpunimit, ku Policia Kufitare autorizohet të përdorë të dhëna për kërkime dhe menaxhim sigurie, si dhe t’ua transmetojë autoriteteve të tjera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ligjzbatuese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në rast dyshimi për vepër penale. </w:t>
      </w:r>
    </w:p>
    <w:p w14:paraId="0E050C82" w14:textId="12AD41D9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2. Roja </w:t>
      </w:r>
      <w:r w:rsidR="00C11185" w:rsidRPr="008C6AF8">
        <w:rPr>
          <w:rFonts w:ascii="Garamond" w:eastAsia="Times New Roman" w:hAnsi="Garamond"/>
          <w:sz w:val="24"/>
          <w:szCs w:val="24"/>
        </w:rPr>
        <w:t>kufitare</w:t>
      </w:r>
      <w:r w:rsidRPr="008C6AF8">
        <w:rPr>
          <w:rFonts w:ascii="Garamond" w:eastAsia="Times New Roman" w:hAnsi="Garamond"/>
          <w:sz w:val="24"/>
          <w:szCs w:val="24"/>
        </w:rPr>
        <w:t>, në funksion të kontrollit kufitar, përpunon të dhëna personale</w:t>
      </w:r>
      <w:r w:rsidR="00F04173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në përputhje me parimet e legjislacionit për mbrojtjen e të dhënave personale, vetëm në masën e nevojshme dhe proporcionale për realizimin e një kontrolli kufitar sa më efektiv. Ky përpunim kryhet me qëllim garantimin e sigurisë kufitare dhe sigurisë së brendshme, si dhe për parandalimin, zbulimin dhe hetimin e rasteve të migracionit të paligjshëm dhe krimit ndërkufitar.</w:t>
      </w:r>
    </w:p>
    <w:p w14:paraId="72BD9F61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3. Roja kufitare, në përputhje me pikën 1, mbledh dhe regjistron të dhëna personale të:</w:t>
      </w:r>
    </w:p>
    <w:p w14:paraId="6F98495E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a) shtetasve të huaj të refuzuar në hyrje të Republikës së Shqipërisë;</w:t>
      </w:r>
    </w:p>
    <w:p w14:paraId="4043822D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b) personave të refuzuar në dalje të Republikës së Shqipërisë;</w:t>
      </w:r>
    </w:p>
    <w:p w14:paraId="78E5C8E4" w14:textId="16B245AB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c) shtetasve të huaj</w:t>
      </w:r>
      <w:r w:rsidR="00F04173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të cilëve në zbatim të pikës 4, të nenit 17, të </w:t>
      </w:r>
      <w:r w:rsidR="00F04173" w:rsidRPr="008C6AF8">
        <w:rPr>
          <w:rFonts w:ascii="Garamond" w:eastAsia="Times New Roman" w:hAnsi="Garamond"/>
          <w:sz w:val="24"/>
          <w:szCs w:val="24"/>
        </w:rPr>
        <w:t xml:space="preserve">ligjit </w:t>
      </w:r>
      <w:r w:rsidRPr="008C6AF8">
        <w:rPr>
          <w:rFonts w:ascii="Garamond" w:eastAsia="Times New Roman" w:hAnsi="Garamond"/>
          <w:sz w:val="24"/>
          <w:szCs w:val="24"/>
        </w:rPr>
        <w:t>nr. 39/2025, “Për kontrollin e kufirit shtetëror”, nuk u vendoset vulë në dokumentin e udhëtimit;</w:t>
      </w:r>
    </w:p>
    <w:p w14:paraId="2258DD26" w14:textId="4103E5F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ç)</w:t>
      </w:r>
      <w:r w:rsid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shtetasve të huaj që pajisen me vizë në kufi;</w:t>
      </w:r>
    </w:p>
    <w:p w14:paraId="4628BA45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d) personave që pajisen nga Policia Kufitare dhe e Migracionit, ose që kalojnë kufirin, me dokumente që zëvendësojnë dokumentet e udhëtimit dhe vizat; </w:t>
      </w:r>
    </w:p>
    <w:p w14:paraId="237EBD23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dh) personave të kthyer dhe të riatdhesuar nga autoritetet e huaja në Republikën e Shqipërisë, ose nga autoritetet shqiptare drejt një vendi tjetër;</w:t>
      </w:r>
    </w:p>
    <w:p w14:paraId="502AB9E9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e) personave që kanë kaluar ose tentojnë të kalojnë në mënyrë të paligjshme kufirin shtetëror;</w:t>
      </w:r>
    </w:p>
    <w:p w14:paraId="122B0374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ë) personave që paraqesin kërkesa dhe ankesa në kuptim të kontrollit kufitar;</w:t>
      </w:r>
    </w:p>
    <w:p w14:paraId="17302A85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f) personave që kryejnë kundërvajtje administrative nën juridiksionin e Policisë Kufitare dhe Migracionit;</w:t>
      </w:r>
    </w:p>
    <w:p w14:paraId="2DDBFEB1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g) personave që kryejnë vepra penale nën juridiksionin e Policisë Kufitare dhe Migracionit; </w:t>
      </w:r>
    </w:p>
    <w:p w14:paraId="6BC6A5FD" w14:textId="14701A8E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lastRenderedPageBreak/>
        <w:t>gj) personave që hyjnë dhe dalin në kufi, kur instrumentet elektronike ose arkivi elektronik i regjistrimit të hyrje</w:t>
      </w:r>
      <w:r w:rsidR="00F04173">
        <w:rPr>
          <w:rFonts w:ascii="Garamond" w:eastAsia="Times New Roman" w:hAnsi="Garamond"/>
          <w:sz w:val="24"/>
          <w:szCs w:val="24"/>
        </w:rPr>
        <w:t>-</w:t>
      </w:r>
      <w:r w:rsidRPr="008C6AF8">
        <w:rPr>
          <w:rFonts w:ascii="Garamond" w:eastAsia="Times New Roman" w:hAnsi="Garamond"/>
          <w:sz w:val="24"/>
          <w:szCs w:val="24"/>
        </w:rPr>
        <w:t>daljeve është jashtë funksionit për një kohë të gjatë, duke i depozituar të dhënat në një regjistër të përkohshëm shkresor.</w:t>
      </w:r>
    </w:p>
    <w:p w14:paraId="3EDAC502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4. Roja kufitare, në përputhje me pikën 1, mbledh dhe regjistron dokumentacion që përmban të dhëna personale, si më poshtë:</w:t>
      </w:r>
    </w:p>
    <w:p w14:paraId="69C4BF5B" w14:textId="1397AE1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a) formularët e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intervistimit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të personave të kthyer dhe riatdhesuar në Shqipëri, si dhe të personave që kanë kaluar</w:t>
      </w:r>
      <w:r w:rsidR="00F04173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apo tentojnë të kalojnë kufirin në mënyrë të parregullt, kur këto janë të nevojshme për zbulimin e veprave penale dhe shkeljeve administrative apo identifikimin e viktimës/viktimave të mundshme të trafikimit; </w:t>
      </w:r>
    </w:p>
    <w:p w14:paraId="3BEDF9E6" w14:textId="3343D0B0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b) dokumentacion mbështetës për kalimin e kufirit, të tilla si certifikata, ftesa, deklarata noteriale, kontrata etj</w:t>
      </w:r>
      <w:r w:rsidR="006862A4" w:rsidRPr="008C6AF8">
        <w:rPr>
          <w:rFonts w:ascii="Garamond" w:eastAsia="Times New Roman" w:hAnsi="Garamond"/>
          <w:sz w:val="24"/>
          <w:szCs w:val="24"/>
        </w:rPr>
        <w:t>.</w:t>
      </w:r>
      <w:r w:rsidRPr="008C6AF8">
        <w:rPr>
          <w:rFonts w:ascii="Garamond" w:eastAsia="Times New Roman" w:hAnsi="Garamond"/>
          <w:sz w:val="24"/>
          <w:szCs w:val="24"/>
        </w:rPr>
        <w:t>;</w:t>
      </w:r>
    </w:p>
    <w:p w14:paraId="3398BF5A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c) origjinalin ose kopjet e listave të udhëtarëve të mjeteve të transportit që kanë detyrim plotësimin dhe paraqitjen e këtyre listave;</w:t>
      </w:r>
    </w:p>
    <w:p w14:paraId="3FF1D578" w14:textId="4AA1A659" w:rsidR="00A7122D" w:rsidRPr="008C6AF8" w:rsidRDefault="00A7122D" w:rsidP="006862A4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ç) foto dhe video të siguruara me anë të pajisjeve të kontrollit kufitar, kur këto pajisje e mundësojnë këtë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manualisht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ose automatikisht dhe të dhënat në fjalë janë të</w:t>
      </w:r>
      <w:r w:rsidR="006862A4" w:rsidRP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nevojshme për zbulimin e veprave penale dhe kundërvajtjeve administrative, apo për</w:t>
      </w:r>
      <w:r w:rsidR="006862A4" w:rsidRP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identifikimin e viktimës/viktimave të mundshme të trafikimit;</w:t>
      </w:r>
    </w:p>
    <w:p w14:paraId="3B973B4E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d) foto dhe video nga kamerat e sigurisë dhe pajisjet e tjera që janë instaluar në ambientet e përdorura nga Policia Kufitare dhe Migracionit për efekt të kontrollit kufitar.</w:t>
      </w:r>
    </w:p>
    <w:p w14:paraId="33CAE997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5. Roja kufitare, për efekt të kontrollit kufitar, krahas të dhënave personale dhe dokumentacionit të parashikuar në pikat 3 dhe 4, të këtij udhëzimi, konsultojnë dhe shfrytëzojnë dokumentacionin e mëposhtëm që përmban të dhëna personale:</w:t>
      </w:r>
    </w:p>
    <w:p w14:paraId="0A701FEC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a) shënimet, njoftimet dhe informacionet e autoriteteve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ligjzbatuese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>, të shfaqura automatikisht ose me kërkim në sistemet elektronike, si dhe ato që mbërrijnë në rrugë shkresore dhe që përcaktohen si të nevojshme të konsultohen dhe shfrytëzohen gjatë kontrollit kufitar;</w:t>
      </w:r>
    </w:p>
    <w:p w14:paraId="0A8560F4" w14:textId="3B0A9154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b) arkiva </w:t>
      </w:r>
      <w:r w:rsidRPr="00AD77AD">
        <w:rPr>
          <w:rFonts w:ascii="Garamond" w:eastAsia="Times New Roman" w:hAnsi="Garamond"/>
          <w:sz w:val="24"/>
          <w:szCs w:val="24"/>
        </w:rPr>
        <w:t>elektronik</w:t>
      </w:r>
      <w:r w:rsidR="00AD77AD" w:rsidRPr="00AD77AD">
        <w:rPr>
          <w:rFonts w:ascii="Garamond" w:eastAsia="Times New Roman" w:hAnsi="Garamond"/>
          <w:sz w:val="24"/>
          <w:szCs w:val="24"/>
        </w:rPr>
        <w:t>ë</w:t>
      </w:r>
      <w:r w:rsidRPr="008C6AF8">
        <w:rPr>
          <w:rFonts w:ascii="Garamond" w:eastAsia="Times New Roman" w:hAnsi="Garamond"/>
          <w:sz w:val="24"/>
          <w:szCs w:val="24"/>
        </w:rPr>
        <w:t xml:space="preserve"> dhe shkresor</w:t>
      </w:r>
      <w:r w:rsidR="00AD77AD">
        <w:rPr>
          <w:rFonts w:ascii="Garamond" w:eastAsia="Times New Roman" w:hAnsi="Garamond"/>
          <w:sz w:val="24"/>
          <w:szCs w:val="24"/>
        </w:rPr>
        <w:t>ë,</w:t>
      </w:r>
      <w:r w:rsidRPr="008C6AF8">
        <w:rPr>
          <w:rFonts w:ascii="Garamond" w:eastAsia="Times New Roman" w:hAnsi="Garamond"/>
          <w:sz w:val="24"/>
          <w:szCs w:val="24"/>
        </w:rPr>
        <w:t xml:space="preserve"> që me marrëveshje, me ligj ose me vendim të autoriteteve përgjegjëse, përcaktohen si të nevojshme të konsultohen dhe shfrytëzohen gjatë kontrollit kufitar.</w:t>
      </w:r>
    </w:p>
    <w:p w14:paraId="39E5174E" w14:textId="40395A7F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6. Regjistrimet për verifikimet e vijës së dytë dhe ato për identifikimin e viktimës/viktimave</w:t>
      </w:r>
      <w:r w:rsid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të mundshme të trafikimit, kryhen vetëm mbi bazë statistikore që nuk mundëson zbulimin e të dhënave personale të subjekteve. Rregullat praktike për këto raste përcaktohen me Procedura Standarde të Veprimit të Policisë Kufitare dhe Migracionit.</w:t>
      </w:r>
    </w:p>
    <w:p w14:paraId="24BBDAB0" w14:textId="056088B1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7. Mbledhja, regjistrimi, konsultimi dhe shfrytëzimi i të dhënave të parashikuara në pikat 3 dhe 4, të këtij udhëzimi, si dhe konsultimi e shfrytëzimi i të dhënave të parashikuara në pikën 5, kryhet në mënyrë të tillë që roja kufitare që i mbledh, i regjistron, konsultohet me to dhe/ose i shfrytëzon, si dhe punonjësi autorizues</w:t>
      </w:r>
      <w:r w:rsidR="00F04173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apo vendimmarrës</w:t>
      </w:r>
      <w:r w:rsidR="00F04173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për këto veprime të rojës kufitare, të jetë i identifikueshëm.</w:t>
      </w:r>
    </w:p>
    <w:p w14:paraId="55C15320" w14:textId="5C5C5D8C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8. Të gjitha regjistrimet që kryhen në arkiva shkresor</w:t>
      </w:r>
      <w:r w:rsidR="00AD77AD">
        <w:rPr>
          <w:rFonts w:ascii="Garamond" w:eastAsia="Times New Roman" w:hAnsi="Garamond"/>
          <w:sz w:val="24"/>
          <w:szCs w:val="24"/>
        </w:rPr>
        <w:t>ë</w:t>
      </w:r>
      <w:r w:rsidRPr="008C6AF8">
        <w:rPr>
          <w:rFonts w:ascii="Garamond" w:eastAsia="Times New Roman" w:hAnsi="Garamond"/>
          <w:sz w:val="24"/>
          <w:szCs w:val="24"/>
        </w:rPr>
        <w:t xml:space="preserve"> nga roj</w:t>
      </w:r>
      <w:r w:rsidR="00F04173">
        <w:rPr>
          <w:rFonts w:ascii="Garamond" w:eastAsia="Times New Roman" w:hAnsi="Garamond"/>
          <w:sz w:val="24"/>
          <w:szCs w:val="24"/>
        </w:rPr>
        <w:t>a</w:t>
      </w:r>
      <w:r w:rsidRPr="008C6AF8">
        <w:rPr>
          <w:rFonts w:ascii="Garamond" w:eastAsia="Times New Roman" w:hAnsi="Garamond"/>
          <w:sz w:val="24"/>
          <w:szCs w:val="24"/>
        </w:rPr>
        <w:t>t kufitare mund të regjistrohen në arkiva elektronik</w:t>
      </w:r>
      <w:r w:rsidR="00AD77AD">
        <w:rPr>
          <w:rFonts w:ascii="Garamond" w:eastAsia="Times New Roman" w:hAnsi="Garamond"/>
          <w:sz w:val="24"/>
          <w:szCs w:val="24"/>
        </w:rPr>
        <w:t>ë</w:t>
      </w:r>
      <w:r w:rsidRPr="008C6AF8">
        <w:rPr>
          <w:rFonts w:ascii="Garamond" w:eastAsia="Times New Roman" w:hAnsi="Garamond"/>
          <w:sz w:val="24"/>
          <w:szCs w:val="24"/>
        </w:rPr>
        <w:t>, kur është marrë një vendim për krijimin e një arkivi të tillë nga autoritetet përgjegjëse.</w:t>
      </w:r>
    </w:p>
    <w:p w14:paraId="749ECD83" w14:textId="55621ED3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9. Në rastet e parashikuara në pikën 8, arkivat shkresor</w:t>
      </w:r>
      <w:r w:rsidR="00AD77AD">
        <w:rPr>
          <w:rFonts w:ascii="Garamond" w:eastAsia="Times New Roman" w:hAnsi="Garamond"/>
          <w:sz w:val="24"/>
          <w:szCs w:val="24"/>
        </w:rPr>
        <w:t>ë</w:t>
      </w:r>
      <w:r w:rsidR="00F04173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të cil</w:t>
      </w:r>
      <w:r w:rsidR="00AD77AD">
        <w:rPr>
          <w:rFonts w:ascii="Garamond" w:eastAsia="Times New Roman" w:hAnsi="Garamond"/>
          <w:sz w:val="24"/>
          <w:szCs w:val="24"/>
        </w:rPr>
        <w:t>ë</w:t>
      </w:r>
      <w:r w:rsidRPr="008C6AF8">
        <w:rPr>
          <w:rFonts w:ascii="Garamond" w:eastAsia="Times New Roman" w:hAnsi="Garamond"/>
          <w:sz w:val="24"/>
          <w:szCs w:val="24"/>
        </w:rPr>
        <w:t>t regjistrohen në arkiva elektronik</w:t>
      </w:r>
      <w:r w:rsidR="00AD77AD">
        <w:rPr>
          <w:rFonts w:ascii="Garamond" w:eastAsia="Times New Roman" w:hAnsi="Garamond"/>
          <w:sz w:val="24"/>
          <w:szCs w:val="24"/>
        </w:rPr>
        <w:t>ë,</w:t>
      </w:r>
      <w:r w:rsidRPr="008C6AF8">
        <w:rPr>
          <w:rFonts w:ascii="Garamond" w:eastAsia="Times New Roman" w:hAnsi="Garamond"/>
          <w:sz w:val="24"/>
          <w:szCs w:val="24"/>
        </w:rPr>
        <w:t xml:space="preserve"> asgjësohen sa më shpejt të jetë e mundur, por jo më vonë se 30 ditë kalendarike nga regjistrimi në arkiv elektronik. Arkivat e mëparsh</w:t>
      </w:r>
      <w:r w:rsidR="00F04173">
        <w:rPr>
          <w:rFonts w:ascii="Garamond" w:eastAsia="Times New Roman" w:hAnsi="Garamond"/>
          <w:sz w:val="24"/>
          <w:szCs w:val="24"/>
        </w:rPr>
        <w:t>ë</w:t>
      </w:r>
      <w:r w:rsidRPr="008C6AF8">
        <w:rPr>
          <w:rFonts w:ascii="Garamond" w:eastAsia="Times New Roman" w:hAnsi="Garamond"/>
          <w:sz w:val="24"/>
          <w:szCs w:val="24"/>
        </w:rPr>
        <w:t>m shkresor</w:t>
      </w:r>
      <w:r w:rsidR="00AD77AD">
        <w:rPr>
          <w:rFonts w:ascii="Garamond" w:eastAsia="Times New Roman" w:hAnsi="Garamond"/>
          <w:sz w:val="24"/>
          <w:szCs w:val="24"/>
        </w:rPr>
        <w:t>ë</w:t>
      </w:r>
      <w:r w:rsidRPr="008C6AF8">
        <w:rPr>
          <w:rFonts w:ascii="Garamond" w:eastAsia="Times New Roman" w:hAnsi="Garamond"/>
          <w:sz w:val="24"/>
          <w:szCs w:val="24"/>
        </w:rPr>
        <w:t>, të cil</w:t>
      </w:r>
      <w:r w:rsidR="00AD77AD">
        <w:rPr>
          <w:rFonts w:ascii="Garamond" w:eastAsia="Times New Roman" w:hAnsi="Garamond"/>
          <w:sz w:val="24"/>
          <w:szCs w:val="24"/>
        </w:rPr>
        <w:t>ë</w:t>
      </w:r>
      <w:r w:rsidRPr="008C6AF8">
        <w:rPr>
          <w:rFonts w:ascii="Garamond" w:eastAsia="Times New Roman" w:hAnsi="Garamond"/>
          <w:sz w:val="24"/>
          <w:szCs w:val="24"/>
        </w:rPr>
        <w:t>t nuk regjistrohen ose nuk mund të regjistrohen në arkiva elektronik</w:t>
      </w:r>
      <w:r w:rsidR="00AD77AD">
        <w:rPr>
          <w:rFonts w:ascii="Garamond" w:eastAsia="Times New Roman" w:hAnsi="Garamond"/>
          <w:sz w:val="24"/>
          <w:szCs w:val="24"/>
        </w:rPr>
        <w:t>ë</w:t>
      </w:r>
      <w:r w:rsidRPr="008C6AF8">
        <w:rPr>
          <w:rFonts w:ascii="Garamond" w:eastAsia="Times New Roman" w:hAnsi="Garamond"/>
          <w:sz w:val="24"/>
          <w:szCs w:val="24"/>
        </w:rPr>
        <w:t xml:space="preserve">, ruhen deri në afatin e parashikuar për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anonimizim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të pakthyeshëm</w:t>
      </w:r>
      <w:r w:rsidR="00F04173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sipas përcaktimeve të pikës 13</w:t>
      </w:r>
      <w:r w:rsidR="00F04173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apo fshihen sipas përcaktimit të pikës 14, të këtij udhëzimi.</w:t>
      </w:r>
    </w:p>
    <w:p w14:paraId="0B3F0118" w14:textId="5D2E3DA9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10. Të dhënat e subjekteve të parashikuara në pikën 3,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“gj”, regjistrohen detyrimisht në arkivin elektronik të hyrje</w:t>
      </w:r>
      <w:r w:rsidR="00F04173">
        <w:rPr>
          <w:rFonts w:ascii="Garamond" w:eastAsia="Times New Roman" w:hAnsi="Garamond"/>
          <w:sz w:val="24"/>
          <w:szCs w:val="24"/>
        </w:rPr>
        <w:t>-</w:t>
      </w:r>
      <w:r w:rsidRPr="008C6AF8">
        <w:rPr>
          <w:rFonts w:ascii="Garamond" w:eastAsia="Times New Roman" w:hAnsi="Garamond"/>
          <w:sz w:val="24"/>
          <w:szCs w:val="24"/>
        </w:rPr>
        <w:t>daljeve brenda 5 ditëve kalendarike nga rivendosja në funksion e sistemit kompjuterik ku regjistrohen këto të dhëna, ndërsa regjistri shkresor në fjalë asgjësohet brenda 7 ditëve kalendarike nga kalimi i të dhënave në arkiv elektronik.</w:t>
      </w:r>
    </w:p>
    <w:p w14:paraId="0B19BBC8" w14:textId="274E8E89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11. Rregullimet praktike për marrjen e vendimit për regjistrim në regjistër shkresor, mënyrën e këtij regjistrimi dhe mënyrën e kalimit në arkiv elektronik të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dhënave të parashikuara në pikën 3,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lastRenderedPageBreak/>
        <w:t xml:space="preserve">“gj”, si dhe për mënyrën e asgjësimit të regjistrit shkresor përkatës, përcaktohen me Procedura Standarde të Veprimit të Policisë Kufitare dhe Migracionit. </w:t>
      </w:r>
    </w:p>
    <w:p w14:paraId="754594C3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12. Gjatë dhe për efekt të kontrollit kufitar, roja kufitare konsultohet dhe shfrytëzon drejtpërdrejt të dhënat e lartpërmendura, në bazë të nevojës për njohje, sipas afateve në vijim:</w:t>
      </w:r>
    </w:p>
    <w:p w14:paraId="0968E405" w14:textId="71FECD35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a) 2 vjet për arkivin elektronik të hyrje</w:t>
      </w:r>
      <w:r w:rsidR="00F04173">
        <w:rPr>
          <w:rFonts w:ascii="Garamond" w:eastAsia="Times New Roman" w:hAnsi="Garamond"/>
          <w:sz w:val="24"/>
          <w:szCs w:val="24"/>
        </w:rPr>
        <w:t>-</w:t>
      </w:r>
      <w:r w:rsidRPr="008C6AF8">
        <w:rPr>
          <w:rFonts w:ascii="Garamond" w:eastAsia="Times New Roman" w:hAnsi="Garamond"/>
          <w:sz w:val="24"/>
          <w:szCs w:val="24"/>
        </w:rPr>
        <w:t>daljeve;</w:t>
      </w:r>
    </w:p>
    <w:p w14:paraId="18004BF1" w14:textId="300FE254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b) 1 vit për të dhënat e përmendura në pikën 3,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>t “a”, “b”, “c”, “ç”, “d”, “dh”, “e”, “ë” dhe “f”;</w:t>
      </w:r>
    </w:p>
    <w:p w14:paraId="5E6E11E6" w14:textId="4EB0A779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c) respektohen afatet e përcaktuara në </w:t>
      </w:r>
      <w:r w:rsidR="00F04173" w:rsidRPr="008C6AF8">
        <w:rPr>
          <w:rFonts w:ascii="Garamond" w:eastAsia="Times New Roman" w:hAnsi="Garamond"/>
          <w:sz w:val="24"/>
          <w:szCs w:val="24"/>
        </w:rPr>
        <w:t xml:space="preserve">udhëzimin e përbashkët të ministrit </w:t>
      </w:r>
      <w:r w:rsidRPr="008C6AF8">
        <w:rPr>
          <w:rFonts w:ascii="Garamond" w:eastAsia="Times New Roman" w:hAnsi="Garamond"/>
          <w:sz w:val="24"/>
          <w:szCs w:val="24"/>
        </w:rPr>
        <w:t xml:space="preserve">të Punëve të Brendshme dhe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Komisionerit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për të Drejtën e Informimit dhe Mbrojtjes së të Dhënave Personale</w:t>
      </w:r>
      <w:r w:rsidR="00FF6BDB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nr.</w:t>
      </w:r>
      <w:r w:rsidR="006862A4" w:rsidRP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13, datë 21.1.2026</w:t>
      </w:r>
      <w:r w:rsidR="00FF6BDB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“Për mënyrën e organizimit, administrimit, afatit të ruajtjes,</w:t>
      </w:r>
      <w:r w:rsid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 xml:space="preserve">kontrollin dhe fshirjen e të dhënave të mbledhura në rastet e ndalimit të përkohshëm policor, ndalimit dhe arrestimit të personave”, për të dhënat e parashikuara në pikën 3,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“g”;</w:t>
      </w:r>
      <w:r w:rsidR="008C6AF8">
        <w:rPr>
          <w:rFonts w:ascii="Garamond" w:eastAsia="Times New Roman" w:hAnsi="Garamond"/>
          <w:sz w:val="24"/>
          <w:szCs w:val="24"/>
        </w:rPr>
        <w:t xml:space="preserve"> </w:t>
      </w:r>
    </w:p>
    <w:p w14:paraId="192DA4A4" w14:textId="5C0BDF9E" w:rsidR="00A7122D" w:rsidRPr="008C6AF8" w:rsidRDefault="00A7122D" w:rsidP="00FF6BDB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ç) deri në kohën e asgjësimit të regjistrit, për të dhënat e parashikuara në pikën 3,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="00FF6BDB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“gj”;</w:t>
      </w:r>
    </w:p>
    <w:p w14:paraId="0711D8CF" w14:textId="5104CEB4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d) 1 vit për të dhënat e përmendura në pikën 4,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>t “a”, “b” dhe “c”;</w:t>
      </w:r>
    </w:p>
    <w:p w14:paraId="52B73DA3" w14:textId="4E8EA1C4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dh) përgjatë gjithë kohës së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memorizimit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automatik ose manual</w:t>
      </w:r>
      <w:r w:rsidR="00FF6BDB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që ofron pajisja përkatëse</w:t>
      </w:r>
      <w:r w:rsid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 xml:space="preserve">për të dhënat e pikës 4,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>t “ç” dhe “d”, por jo më shumë se 1 vit;</w:t>
      </w:r>
    </w:p>
    <w:p w14:paraId="5AC47825" w14:textId="647AF533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e) pa kufizim për shënimet dhe njoftimet aktive të parashikuara në pikën 5,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“a”;</w:t>
      </w:r>
    </w:p>
    <w:p w14:paraId="3E420CCA" w14:textId="73166608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ë) 1 muaj pas anulimit, revokimit ose përfundimit të afatit të vlefshmërisë së shënimeve dhe njoftimeve të parashikuara në pikën 5,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“a”;</w:t>
      </w:r>
    </w:p>
    <w:p w14:paraId="06F18A10" w14:textId="0AC3C018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f) përgjatë gjithë kohës së fuqisë ligjore të marrëveshjes, ligjit ose vendimit për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aksesim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, për të dhënat e parashikuara në pikën 5,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“b”.</w:t>
      </w:r>
    </w:p>
    <w:p w14:paraId="7B4A31C5" w14:textId="50E0AF39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13. Të dhënat personale të përpunuara në mënyrë elektronike dhe manuale nga roja kufitare, në përputhje me pikat 3 dhe 4,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anonimizohen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në mënyrë të pakthyeshme</w:t>
      </w:r>
      <w:r w:rsidR="00FF6BDB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kur plotësojnë këto afate:</w:t>
      </w:r>
    </w:p>
    <w:p w14:paraId="686447FA" w14:textId="116C665A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a) 2 vjet për të dhënat e parashikuara në pikën 3,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>t “a”, “b”, “ç”, “d”, “dh” , “e”;</w:t>
      </w:r>
    </w:p>
    <w:p w14:paraId="6A2A33EF" w14:textId="262F4F03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b) 6 muaj për të dhënat e parashikuara në pikën 3,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“ë”;</w:t>
      </w:r>
    </w:p>
    <w:p w14:paraId="70174A2A" w14:textId="3E9D6379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c) për aq kohë sa parashikohet nga ligji për kundërvajtjet administrative, për të dhënat e parashikuara në pikën 3,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“f”;</w:t>
      </w:r>
    </w:p>
    <w:p w14:paraId="337C4FAC" w14:textId="12D6F677" w:rsidR="00A7122D" w:rsidRPr="008C6AF8" w:rsidRDefault="00A7122D" w:rsidP="00FF6BDB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ç) 1 vit për të dhënat e parashikuara në pikën 3,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“c” dhe për të dhënat e parashikuara</w:t>
      </w:r>
      <w:r w:rsidR="00FF6BDB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në pikën 4;</w:t>
      </w:r>
    </w:p>
    <w:p w14:paraId="43095619" w14:textId="59E1C2CA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d) për aq kohë sa parashikohet në </w:t>
      </w:r>
      <w:r w:rsidR="00FF6BDB" w:rsidRPr="008C6AF8">
        <w:rPr>
          <w:rFonts w:ascii="Garamond" w:eastAsia="Times New Roman" w:hAnsi="Garamond"/>
          <w:sz w:val="24"/>
          <w:szCs w:val="24"/>
        </w:rPr>
        <w:t xml:space="preserve">udhëzimin e përbashkët të ministrit </w:t>
      </w:r>
      <w:r w:rsidRPr="008C6AF8">
        <w:rPr>
          <w:rFonts w:ascii="Garamond" w:eastAsia="Times New Roman" w:hAnsi="Garamond"/>
          <w:sz w:val="24"/>
          <w:szCs w:val="24"/>
        </w:rPr>
        <w:t xml:space="preserve">të Punëve të Brendshme dhe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Komisionerit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për të Drejtën e Informimit dhe Mbrojtjes së të Dhënave Personale nr.</w:t>
      </w:r>
      <w:r w:rsidR="00FF6BDB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13, datë 21.1.2026</w:t>
      </w:r>
      <w:r w:rsidR="00FF6BDB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“Për mënyrën e organizimit, administrimit, afatit të ruajtjes,</w:t>
      </w:r>
      <w:r w:rsid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 xml:space="preserve">kontrollin dhe fshirjen e të dhënave të mbledhura në rastet e ndalimit të përkohshëm policor, ndalimit dhe arrestimit të personave”, për të dhënat e parashikuara në pikën 3,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“g”;</w:t>
      </w:r>
    </w:p>
    <w:p w14:paraId="5838C40A" w14:textId="5BD50488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dh) 3 muaj pas përfundimit të afatit apo vlefshmërisë së veprimit të kërkuar në</w:t>
      </w:r>
      <w:r w:rsid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 xml:space="preserve">dokumentin shkresor, për të dhënat e parashikuara në pikën 5,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“a”;</w:t>
      </w:r>
    </w:p>
    <w:p w14:paraId="14C58E00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e) 5 vjet për hyrjet dhe daljet e regjistruara në arkiv elektronik.</w:t>
      </w:r>
    </w:p>
    <w:p w14:paraId="79E54BB8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14. Në rast se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anonimizimi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i pakthyeshëm, sipas përcaktimit në pikën 13, të këtij udhëzimi, rezulton teknikisht i parealizueshëm, të dhënat përkatëse i nënshtrohen fshirjes përfundimtare. </w:t>
      </w:r>
    </w:p>
    <w:p w14:paraId="6C96DB1C" w14:textId="29415ACC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15. Drejtoria e Menaxhimit të Informacionit dhe Mbrojtjes së të Dhënave në Policinë e Shtetit, bazuar në të drejtën për njohje që i jep legjislacioni ose marrëveshjet në fuqi, përcakton institucionet dhe strukturat që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aksesojnë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dhe shfrytëzojnë drejtpërdrejt të dhënat e mbledhura dhe regjistruara nga roj</w:t>
      </w:r>
      <w:r w:rsidR="00A1019B">
        <w:rPr>
          <w:rFonts w:ascii="Garamond" w:eastAsia="Times New Roman" w:hAnsi="Garamond"/>
          <w:sz w:val="24"/>
          <w:szCs w:val="24"/>
        </w:rPr>
        <w:t>a</w:t>
      </w:r>
      <w:r w:rsidRPr="008C6AF8">
        <w:rPr>
          <w:rFonts w:ascii="Garamond" w:eastAsia="Times New Roman" w:hAnsi="Garamond"/>
          <w:sz w:val="24"/>
          <w:szCs w:val="24"/>
        </w:rPr>
        <w:t>t kufitare në arkivat elektronik</w:t>
      </w:r>
      <w:r w:rsidR="00AD77AD">
        <w:rPr>
          <w:rFonts w:ascii="Garamond" w:eastAsia="Times New Roman" w:hAnsi="Garamond"/>
          <w:sz w:val="24"/>
          <w:szCs w:val="24"/>
        </w:rPr>
        <w:t>ë</w:t>
      </w:r>
      <w:r w:rsidRPr="008C6AF8">
        <w:rPr>
          <w:rFonts w:ascii="Garamond" w:eastAsia="Times New Roman" w:hAnsi="Garamond"/>
          <w:sz w:val="24"/>
          <w:szCs w:val="24"/>
        </w:rPr>
        <w:t>, si dhe menaxhon përdoruesit.</w:t>
      </w:r>
    </w:p>
    <w:p w14:paraId="7260B861" w14:textId="5BD86EA3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16. Për rastet e çështjeve të veçanta, për të cilat një përdorues i caktuar kërkon, për shkak të</w:t>
      </w:r>
      <w:r w:rsid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 xml:space="preserve">detyrës, të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aksesojë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të dhënat përtej afatit të parashikuar të konsultimit dhe shfrytëzimit të drejtpërdrejtë për strukturën ku përdoruesi bën pjesë, kërkesa për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akses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, miratimi i saj, zbatimi dhe mbyllja e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aksesit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, përcaktohen me </w:t>
      </w:r>
      <w:r w:rsidR="00542CF1" w:rsidRPr="008C6AF8">
        <w:rPr>
          <w:rFonts w:ascii="Garamond" w:eastAsia="Times New Roman" w:hAnsi="Garamond"/>
          <w:sz w:val="24"/>
          <w:szCs w:val="24"/>
        </w:rPr>
        <w:t xml:space="preserve">urdhër të drejtorit të përgjithshëm </w:t>
      </w:r>
      <w:r w:rsidRPr="008C6AF8">
        <w:rPr>
          <w:rFonts w:ascii="Garamond" w:eastAsia="Times New Roman" w:hAnsi="Garamond"/>
          <w:sz w:val="24"/>
          <w:szCs w:val="24"/>
        </w:rPr>
        <w:t>të</w:t>
      </w:r>
      <w:r w:rsidR="008C6AF8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Policisë së Shtetit.</w:t>
      </w:r>
    </w:p>
    <w:p w14:paraId="038E6125" w14:textId="40C076D4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17. Policia Kufitare dhe e Migracionit vendos në dispozicion të autoriteteve të tjera të dhënat e mbledhura prej saj, në kuptim të nenit 32, pika 1, </w:t>
      </w:r>
      <w:r w:rsidR="006862A4" w:rsidRPr="008C6AF8">
        <w:rPr>
          <w:rFonts w:ascii="Garamond" w:eastAsia="Times New Roman" w:hAnsi="Garamond"/>
          <w:sz w:val="24"/>
          <w:szCs w:val="24"/>
        </w:rPr>
        <w:t>germa</w:t>
      </w:r>
      <w:r w:rsidRPr="008C6AF8">
        <w:rPr>
          <w:rFonts w:ascii="Garamond" w:eastAsia="Times New Roman" w:hAnsi="Garamond"/>
          <w:sz w:val="24"/>
          <w:szCs w:val="24"/>
        </w:rPr>
        <w:t xml:space="preserve"> “d”</w:t>
      </w:r>
      <w:r w:rsidR="009A6EA6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të</w:t>
      </w:r>
      <w:r w:rsidR="008C6AF8">
        <w:rPr>
          <w:rFonts w:ascii="Garamond" w:eastAsia="Times New Roman" w:hAnsi="Garamond"/>
          <w:sz w:val="24"/>
          <w:szCs w:val="24"/>
        </w:rPr>
        <w:t xml:space="preserve"> </w:t>
      </w:r>
      <w:r w:rsidR="009A6EA6" w:rsidRPr="008C6AF8">
        <w:rPr>
          <w:rFonts w:ascii="Garamond" w:eastAsia="Times New Roman" w:hAnsi="Garamond"/>
          <w:sz w:val="24"/>
          <w:szCs w:val="24"/>
        </w:rPr>
        <w:t xml:space="preserve">ligjit </w:t>
      </w:r>
      <w:r w:rsidRPr="008C6AF8">
        <w:rPr>
          <w:rFonts w:ascii="Garamond" w:eastAsia="Times New Roman" w:hAnsi="Garamond"/>
          <w:sz w:val="24"/>
          <w:szCs w:val="24"/>
        </w:rPr>
        <w:t>nr. 39/2025, “Për kontrollin e kufirit shtetëror”, vetëm në rast se këto të dhëna nuk mund të konsultohen dhe shfrytëzohen drejtpërdrejt nga autoriteti që i kërkon.</w:t>
      </w:r>
    </w:p>
    <w:p w14:paraId="08317E52" w14:textId="329B802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lastRenderedPageBreak/>
        <w:t xml:space="preserve">18.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Komisioneri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për të Drejtën e Informimit dhe Mbrojtjen e të Dhënave Personale monitoron respektimin e rregullave të përcaktuara në këtë udhëzim të përbashkët. Me qëllim verifikimin e përputhshmërisë së përpunimit të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dhënave personale me legjislacionin për mbrojtjen e të dhënave personale, çdo strukturë përgjegjëse që përpunon të dhëna personale</w:t>
      </w:r>
      <w:r w:rsidR="009A6EA6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sipas përcaktimeve në këtë udhëzim të përbashkët, me kërkesë të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Komisionerit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>, i vendos në dispozicion të gjitha informacionet dhe regjistrimet e nevojshme.</w:t>
      </w:r>
    </w:p>
    <w:p w14:paraId="6DC7B3E7" w14:textId="636AB8FC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19. Subjektet, të dhënat personale të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cilëve përpunohen nga roja kufitare në zbatim të ligjit nr. 39/2025</w:t>
      </w:r>
      <w:r w:rsidR="009A6EA6">
        <w:rPr>
          <w:rFonts w:ascii="Garamond" w:eastAsia="Times New Roman" w:hAnsi="Garamond"/>
          <w:sz w:val="24"/>
          <w:szCs w:val="24"/>
        </w:rPr>
        <w:t>,</w:t>
      </w:r>
      <w:r w:rsidRPr="008C6AF8">
        <w:rPr>
          <w:rFonts w:ascii="Garamond" w:eastAsia="Times New Roman" w:hAnsi="Garamond"/>
          <w:sz w:val="24"/>
          <w:szCs w:val="24"/>
        </w:rPr>
        <w:t xml:space="preserve"> “Për kontrollin e kufirit shtetëror”, gëzojnë të drejtat për informim,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akses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, korrigjim, fshirje ose kufizim të përpunimit, si dhe të drejtën për rishikimin e përgjigjes, sipas ligjit nr. 124/2024. Këto të drejta ushtrohen nëpërmjet strukturave përgjegjëse të Policisë së Shtetit, të përcaktuara me urdhër të </w:t>
      </w:r>
      <w:r w:rsidR="009A6EA6" w:rsidRPr="008C6AF8">
        <w:rPr>
          <w:rFonts w:ascii="Garamond" w:eastAsia="Times New Roman" w:hAnsi="Garamond"/>
          <w:sz w:val="24"/>
          <w:szCs w:val="24"/>
        </w:rPr>
        <w:t xml:space="preserve">drejtorit të përgjithshëm </w:t>
      </w:r>
      <w:r w:rsidRPr="008C6AF8">
        <w:rPr>
          <w:rFonts w:ascii="Garamond" w:eastAsia="Times New Roman" w:hAnsi="Garamond"/>
          <w:sz w:val="24"/>
          <w:szCs w:val="24"/>
        </w:rPr>
        <w:t>të Policisë së Shtetit.</w:t>
      </w:r>
    </w:p>
    <w:p w14:paraId="214D93E4" w14:textId="5C33EA15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20. Departamenti për Kufirin dhe Migracionin merr masat për zbatimin e afateve të parashikuara në këtë udhëzim për arkivat shkresor</w:t>
      </w:r>
      <w:r w:rsidR="00AD77AD">
        <w:rPr>
          <w:rFonts w:ascii="Garamond" w:eastAsia="Times New Roman" w:hAnsi="Garamond"/>
          <w:sz w:val="24"/>
          <w:szCs w:val="24"/>
        </w:rPr>
        <w:t>ë</w:t>
      </w:r>
      <w:r w:rsidRPr="008C6AF8">
        <w:rPr>
          <w:rFonts w:ascii="Garamond" w:eastAsia="Times New Roman" w:hAnsi="Garamond"/>
          <w:sz w:val="24"/>
          <w:szCs w:val="24"/>
        </w:rPr>
        <w:t>.</w:t>
      </w:r>
    </w:p>
    <w:p w14:paraId="382F45C1" w14:textId="443EDF55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21. Struktura përgjegjëse për Teknologjinë dhe Informacionin, në Drejtorinë e Përgjithshme të Policisë së Shtetit merr masat për zbatimin e afateve të ruajtjes,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aksesimit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dhe </w:t>
      </w:r>
      <w:proofErr w:type="spellStart"/>
      <w:r w:rsidRPr="008C6AF8">
        <w:rPr>
          <w:rFonts w:ascii="Garamond" w:eastAsia="Times New Roman" w:hAnsi="Garamond"/>
          <w:sz w:val="24"/>
          <w:szCs w:val="24"/>
        </w:rPr>
        <w:t>anonimizimit</w:t>
      </w:r>
      <w:proofErr w:type="spellEnd"/>
      <w:r w:rsidRPr="008C6AF8">
        <w:rPr>
          <w:rFonts w:ascii="Garamond" w:eastAsia="Times New Roman" w:hAnsi="Garamond"/>
          <w:sz w:val="24"/>
          <w:szCs w:val="24"/>
        </w:rPr>
        <w:t xml:space="preserve"> të pakthyeshëm apo fshirjes së të dhënave personale që përpunohen në arkivat elektronik</w:t>
      </w:r>
      <w:r w:rsidR="00AD77AD">
        <w:rPr>
          <w:rFonts w:ascii="Garamond" w:eastAsia="Times New Roman" w:hAnsi="Garamond"/>
          <w:sz w:val="24"/>
          <w:szCs w:val="24"/>
        </w:rPr>
        <w:t>ë</w:t>
      </w:r>
      <w:r w:rsidRPr="008C6AF8">
        <w:rPr>
          <w:rFonts w:ascii="Garamond" w:eastAsia="Times New Roman" w:hAnsi="Garamond"/>
          <w:sz w:val="24"/>
          <w:szCs w:val="24"/>
        </w:rPr>
        <w:t xml:space="preserve"> për efekt të kontrollit kufitar.</w:t>
      </w:r>
    </w:p>
    <w:p w14:paraId="0893D23C" w14:textId="60BEFD7C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 xml:space="preserve">22. Udhëzimi i </w:t>
      </w:r>
      <w:r w:rsidR="009A6EA6" w:rsidRPr="008C6AF8">
        <w:rPr>
          <w:rFonts w:ascii="Garamond" w:eastAsia="Times New Roman" w:hAnsi="Garamond"/>
          <w:sz w:val="24"/>
          <w:szCs w:val="24"/>
        </w:rPr>
        <w:t>përbashkët n</w:t>
      </w:r>
      <w:r w:rsidRPr="008C6AF8">
        <w:rPr>
          <w:rFonts w:ascii="Garamond" w:eastAsia="Times New Roman" w:hAnsi="Garamond"/>
          <w:sz w:val="24"/>
          <w:szCs w:val="24"/>
        </w:rPr>
        <w:t>r. 515, datë 27.9.2016, “Për përpunimin e të dhënave personale nga roj</w:t>
      </w:r>
      <w:r w:rsidR="00A1019B">
        <w:rPr>
          <w:rFonts w:ascii="Garamond" w:eastAsia="Times New Roman" w:hAnsi="Garamond"/>
          <w:sz w:val="24"/>
          <w:szCs w:val="24"/>
        </w:rPr>
        <w:t>a</w:t>
      </w:r>
      <w:r w:rsidRPr="008C6AF8">
        <w:rPr>
          <w:rFonts w:ascii="Garamond" w:eastAsia="Times New Roman" w:hAnsi="Garamond"/>
          <w:sz w:val="24"/>
          <w:szCs w:val="24"/>
        </w:rPr>
        <w:t>t kufitare”, shfuqizohet.</w:t>
      </w:r>
    </w:p>
    <w:p w14:paraId="29F50876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b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Ky Udhëzim hyn në fuqi pas botimit në Fletoren Zyrtare.</w:t>
      </w:r>
    </w:p>
    <w:p w14:paraId="38526757" w14:textId="77777777" w:rsidR="00A7122D" w:rsidRPr="008C6AF8" w:rsidRDefault="00A7122D" w:rsidP="00A7122D">
      <w:pPr>
        <w:spacing w:after="0" w:line="240" w:lineRule="auto"/>
        <w:ind w:firstLine="284"/>
        <w:jc w:val="both"/>
        <w:rPr>
          <w:rFonts w:ascii="Garamond" w:eastAsia="Times New Roman" w:hAnsi="Garamond"/>
          <w:b/>
          <w:sz w:val="24"/>
          <w:szCs w:val="24"/>
        </w:rPr>
      </w:pPr>
    </w:p>
    <w:p w14:paraId="336DF7A8" w14:textId="0CC42886" w:rsidR="00A7122D" w:rsidRPr="008C6AF8" w:rsidRDefault="00A7122D" w:rsidP="009A6EA6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MINISTËR I PUNËVE</w:t>
      </w:r>
      <w:r w:rsidR="009A6EA6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TË BRENDSHME</w:t>
      </w:r>
    </w:p>
    <w:p w14:paraId="7391FC57" w14:textId="77777777" w:rsidR="00A7122D" w:rsidRPr="008C6AF8" w:rsidRDefault="00A7122D" w:rsidP="00A7122D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eastAsia="en-GB"/>
        </w:rPr>
      </w:pPr>
      <w:r w:rsidRPr="008C6AF8">
        <w:rPr>
          <w:rFonts w:ascii="Garamond" w:eastAsia="Times New Roman" w:hAnsi="Garamond"/>
          <w:b/>
          <w:bCs/>
          <w:sz w:val="24"/>
          <w:szCs w:val="24"/>
          <w:lang w:eastAsia="en-GB"/>
        </w:rPr>
        <w:t xml:space="preserve">Besfort </w:t>
      </w:r>
      <w:proofErr w:type="spellStart"/>
      <w:r w:rsidRPr="008C6AF8">
        <w:rPr>
          <w:rFonts w:ascii="Garamond" w:eastAsia="Times New Roman" w:hAnsi="Garamond"/>
          <w:b/>
          <w:bCs/>
          <w:sz w:val="24"/>
          <w:szCs w:val="24"/>
          <w:lang w:eastAsia="en-GB"/>
        </w:rPr>
        <w:t>Lamallari</w:t>
      </w:r>
      <w:proofErr w:type="spellEnd"/>
    </w:p>
    <w:p w14:paraId="428A8D44" w14:textId="77777777" w:rsidR="00A7122D" w:rsidRPr="008C6AF8" w:rsidRDefault="00A7122D" w:rsidP="00A7122D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</w:p>
    <w:p w14:paraId="585A46B0" w14:textId="51342F46" w:rsidR="00A7122D" w:rsidRPr="008C6AF8" w:rsidRDefault="00A7122D" w:rsidP="00A7122D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</w:rPr>
      </w:pPr>
      <w:bookmarkStart w:id="0" w:name="_Hlk230704753"/>
      <w:r w:rsidRPr="008C6AF8">
        <w:rPr>
          <w:rFonts w:ascii="Garamond" w:eastAsia="Times New Roman" w:hAnsi="Garamond"/>
          <w:sz w:val="24"/>
          <w:szCs w:val="24"/>
        </w:rPr>
        <w:t>KOMISIONER</w:t>
      </w:r>
      <w:r w:rsidR="009A6EA6">
        <w:rPr>
          <w:rFonts w:ascii="Garamond" w:eastAsia="Times New Roman" w:hAnsi="Garamond"/>
          <w:sz w:val="24"/>
          <w:szCs w:val="24"/>
        </w:rPr>
        <w:t xml:space="preserve"> </w:t>
      </w:r>
      <w:r w:rsidRPr="008C6AF8">
        <w:rPr>
          <w:rFonts w:ascii="Garamond" w:eastAsia="Times New Roman" w:hAnsi="Garamond"/>
          <w:sz w:val="24"/>
          <w:szCs w:val="24"/>
        </w:rPr>
        <w:t>PËR TË DREJTËN</w:t>
      </w:r>
    </w:p>
    <w:p w14:paraId="18263A53" w14:textId="77777777" w:rsidR="000B2108" w:rsidRDefault="00A7122D" w:rsidP="00A7122D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</w:rPr>
      </w:pPr>
      <w:r w:rsidRPr="008C6AF8">
        <w:rPr>
          <w:rFonts w:ascii="Garamond" w:eastAsia="Times New Roman" w:hAnsi="Garamond"/>
          <w:sz w:val="24"/>
          <w:szCs w:val="24"/>
        </w:rPr>
        <w:t>E INFORMIMIT DHE MBROJTJEN</w:t>
      </w:r>
      <w:r w:rsidR="000B2108">
        <w:rPr>
          <w:rFonts w:ascii="Garamond" w:eastAsia="Times New Roman" w:hAnsi="Garamond"/>
          <w:sz w:val="24"/>
          <w:szCs w:val="24"/>
        </w:rPr>
        <w:t xml:space="preserve"> </w:t>
      </w:r>
    </w:p>
    <w:p w14:paraId="1A56B7BD" w14:textId="514D28E2" w:rsidR="00A7122D" w:rsidRPr="008C6AF8" w:rsidRDefault="000B2108" w:rsidP="00A7122D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</w:rPr>
      </w:pPr>
      <w:bookmarkStart w:id="1" w:name="_GoBack"/>
      <w:bookmarkEnd w:id="1"/>
      <w:r>
        <w:rPr>
          <w:rFonts w:ascii="Garamond" w:eastAsia="Times New Roman" w:hAnsi="Garamond"/>
          <w:sz w:val="24"/>
          <w:szCs w:val="24"/>
        </w:rPr>
        <w:t>E TË DHËNAVE PERSONALE</w:t>
      </w:r>
    </w:p>
    <w:p w14:paraId="0BD3936C" w14:textId="77777777" w:rsidR="00A7122D" w:rsidRPr="008C6AF8" w:rsidRDefault="00A7122D" w:rsidP="00A7122D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eastAsia="en-GB"/>
        </w:rPr>
      </w:pPr>
      <w:r w:rsidRPr="008C6AF8">
        <w:rPr>
          <w:rFonts w:ascii="Garamond" w:eastAsia="Times New Roman" w:hAnsi="Garamond"/>
          <w:b/>
          <w:bCs/>
          <w:sz w:val="24"/>
          <w:szCs w:val="24"/>
          <w:lang w:eastAsia="en-GB"/>
        </w:rPr>
        <w:t>Besnik Dervishi</w:t>
      </w:r>
    </w:p>
    <w:bookmarkEnd w:id="0"/>
    <w:p w14:paraId="4ECB4DD5" w14:textId="77777777" w:rsidR="00A7122D" w:rsidRPr="008C6AF8" w:rsidRDefault="00A7122D" w:rsidP="00A7122D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  <w:lang w:eastAsia="en-GB"/>
        </w:rPr>
      </w:pPr>
    </w:p>
    <w:p w14:paraId="39DB7B57" w14:textId="77777777" w:rsidR="00E57538" w:rsidRPr="008C6AF8" w:rsidRDefault="00E57538" w:rsidP="00A7122D"/>
    <w:sectPr w:rsidR="00E57538" w:rsidRPr="008C6AF8" w:rsidSect="00A7122D">
      <w:pgSz w:w="12240" w:h="15840"/>
      <w:pgMar w:top="993" w:right="1440" w:bottom="851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9DB568" w14:textId="77777777" w:rsidR="000B2108" w:rsidRDefault="000B2108" w:rsidP="00942743">
      <w:pPr>
        <w:spacing w:after="0" w:line="240" w:lineRule="auto"/>
      </w:pPr>
      <w:r>
        <w:separator/>
      </w:r>
    </w:p>
  </w:endnote>
  <w:endnote w:type="continuationSeparator" w:id="0">
    <w:p w14:paraId="73E94929" w14:textId="77777777" w:rsidR="000B2108" w:rsidRDefault="000B2108" w:rsidP="00942743">
      <w:pPr>
        <w:spacing w:after="0" w:line="240" w:lineRule="auto"/>
      </w:pPr>
      <w:r>
        <w:continuationSeparator/>
      </w:r>
    </w:p>
  </w:endnote>
  <w:endnote w:type="continuationNotice" w:id="1">
    <w:p w14:paraId="7C5315AC" w14:textId="77777777" w:rsidR="000B2108" w:rsidRDefault="000B21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C7E0A" w14:textId="77777777" w:rsidR="000B2108" w:rsidRDefault="000B2108" w:rsidP="00942743">
      <w:pPr>
        <w:spacing w:after="0" w:line="240" w:lineRule="auto"/>
      </w:pPr>
      <w:r>
        <w:separator/>
      </w:r>
    </w:p>
  </w:footnote>
  <w:footnote w:type="continuationSeparator" w:id="0">
    <w:p w14:paraId="36BE090D" w14:textId="77777777" w:rsidR="000B2108" w:rsidRDefault="000B2108" w:rsidP="00942743">
      <w:pPr>
        <w:spacing w:after="0" w:line="240" w:lineRule="auto"/>
      </w:pPr>
      <w:r>
        <w:continuationSeparator/>
      </w:r>
    </w:p>
  </w:footnote>
  <w:footnote w:type="continuationNotice" w:id="1">
    <w:p w14:paraId="1EFB2620" w14:textId="77777777" w:rsidR="000B2108" w:rsidRDefault="000B21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0B2108"/>
    <w:rsid w:val="00126159"/>
    <w:rsid w:val="001949C0"/>
    <w:rsid w:val="001A766A"/>
    <w:rsid w:val="002347D3"/>
    <w:rsid w:val="002A5708"/>
    <w:rsid w:val="002F5A4E"/>
    <w:rsid w:val="003526E3"/>
    <w:rsid w:val="0042711A"/>
    <w:rsid w:val="00431796"/>
    <w:rsid w:val="00490A48"/>
    <w:rsid w:val="004B00E3"/>
    <w:rsid w:val="004C5A9B"/>
    <w:rsid w:val="00535EB9"/>
    <w:rsid w:val="00542CF1"/>
    <w:rsid w:val="00565A95"/>
    <w:rsid w:val="005B2858"/>
    <w:rsid w:val="00657016"/>
    <w:rsid w:val="006862A4"/>
    <w:rsid w:val="00690756"/>
    <w:rsid w:val="006A25D5"/>
    <w:rsid w:val="006E797D"/>
    <w:rsid w:val="0077742D"/>
    <w:rsid w:val="0078796D"/>
    <w:rsid w:val="007A554F"/>
    <w:rsid w:val="007F3F3D"/>
    <w:rsid w:val="00894C94"/>
    <w:rsid w:val="008B070C"/>
    <w:rsid w:val="008C6AF8"/>
    <w:rsid w:val="008E3FB9"/>
    <w:rsid w:val="00942743"/>
    <w:rsid w:val="009A6EA6"/>
    <w:rsid w:val="009F6A26"/>
    <w:rsid w:val="00A1019B"/>
    <w:rsid w:val="00A7122D"/>
    <w:rsid w:val="00A846D4"/>
    <w:rsid w:val="00AC2BF7"/>
    <w:rsid w:val="00AD77AD"/>
    <w:rsid w:val="00B17D52"/>
    <w:rsid w:val="00B6143A"/>
    <w:rsid w:val="00B61C86"/>
    <w:rsid w:val="00BB611C"/>
    <w:rsid w:val="00BE5438"/>
    <w:rsid w:val="00C11185"/>
    <w:rsid w:val="00C5431F"/>
    <w:rsid w:val="00C55E10"/>
    <w:rsid w:val="00C647E9"/>
    <w:rsid w:val="00C73B3B"/>
    <w:rsid w:val="00C74A47"/>
    <w:rsid w:val="00CB1ADB"/>
    <w:rsid w:val="00CC7678"/>
    <w:rsid w:val="00CD6D54"/>
    <w:rsid w:val="00D21CEE"/>
    <w:rsid w:val="00D829C8"/>
    <w:rsid w:val="00DA7334"/>
    <w:rsid w:val="00DF4FB9"/>
    <w:rsid w:val="00E02977"/>
    <w:rsid w:val="00E36361"/>
    <w:rsid w:val="00E52A91"/>
    <w:rsid w:val="00E57538"/>
    <w:rsid w:val="00EA5A28"/>
    <w:rsid w:val="00EC743C"/>
    <w:rsid w:val="00F04173"/>
    <w:rsid w:val="00F64F54"/>
    <w:rsid w:val="00FB2E5A"/>
    <w:rsid w:val="00FF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B7B56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27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2743"/>
  </w:style>
  <w:style w:type="paragraph" w:styleId="Footer">
    <w:name w:val="footer"/>
    <w:basedOn w:val="Normal"/>
    <w:link w:val="FooterChar"/>
    <w:uiPriority w:val="99"/>
    <w:semiHidden/>
    <w:unhideWhenUsed/>
    <w:rsid w:val="009427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2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2026-06-18T11:02:30Z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2026-06-18T00:00:00Z</Date_x0020_protokolli>
    <Titulli xmlns="0e656187-b300-4fb0-8bf4-3a50f872073c">Për përcaktimin e rregullave për administrimin e të dhënave të grumbulluara në zbatim të ligjit për kontrollin e kufirit shtetëror</Titulli>
    <Modifikuesi xmlns="0e656187-b300-4fb0-8bf4-3a50f872073c">alma.lisaku</Modifikuesi>
    <Nr_x002e__x0020_prot_x0020_QBZ xmlns="0e656187-b300-4fb0-8bf4-3a50f872073c">1359/1</Nr_x002e__x0020_prot_x0020_QBZ>
    <Data_x0020_e_x0020_Modifikimit xmlns="0e656187-b300-4fb0-8bf4-3a50f872073c">2026-06-19T11:21:24Z</Data_x0020_e_x0020_Modifikimit>
    <Dekretuar xmlns="0e656187-b300-4fb0-8bf4-3a50f872073c">false</Dekretuar>
    <Data xmlns="0e656187-b300-4fb0-8bf4-3a50f872073c">2026-06-04T00:00:00Z</Data>
    <Nr_x002e__x0020_protokolli_x0020_i_x0020_aktit xmlns="0e656187-b300-4fb0-8bf4-3a50f872073c">2118/4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52C0802F094775ABCBA355593F41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52C0802F094775ABCBA355593F41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6865B3-5E59-4E02-8542-F0E53BDA0564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A3231F8-F57A-4B56-B814-271A67F593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BBB2A5-28B7-402D-8651-BF7D5D616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FEB2F3-6DE6-466B-806C-8410E1DAB3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009B97-23A1-477F-B48E-0B78A45D1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për administrimin e të dhënave të grumbulluara në zbatim të ligjit për kontrollin e kufirit shtetëror</vt:lpstr>
    </vt:vector>
  </TitlesOfParts>
  <Company/>
  <LinksUpToDate>false</LinksUpToDate>
  <CharactersWithSpaces>13248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për administrimin e të dhënave të grumbulluara në zbatim të ligjit për kontrollin e kufirit shtetëror</dc:title>
  <dc:creator>Entela Suli</dc:creator>
  <cp:lastModifiedBy>Amarilda Muja</cp:lastModifiedBy>
  <cp:revision>13</cp:revision>
  <dcterms:created xsi:type="dcterms:W3CDTF">2026-06-18T11:15:00Z</dcterms:created>
  <dcterms:modified xsi:type="dcterms:W3CDTF">2026-06-22T08:15:00Z</dcterms:modified>
</cp:coreProperties>
</file>