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E63" w:rsidRPr="004C1E3A" w:rsidRDefault="00567E63" w:rsidP="00567E63">
      <w:pPr>
        <w:pStyle w:val="Akti"/>
        <w:rPr>
          <w:lang w:val="sq-AL"/>
        </w:rPr>
      </w:pPr>
      <w:bookmarkStart w:id="0" w:name="_GoBack"/>
      <w:bookmarkEnd w:id="0"/>
      <w:r w:rsidRPr="004C1E3A">
        <w:rPr>
          <w:lang w:val="sq-AL"/>
        </w:rPr>
        <w:t>UDHËZIM</w:t>
      </w:r>
    </w:p>
    <w:p w:rsidR="00567E63" w:rsidRPr="004C1E3A" w:rsidRDefault="00567E63" w:rsidP="00567E63">
      <w:pPr>
        <w:pStyle w:val="NumriData"/>
        <w:rPr>
          <w:lang w:val="sq-AL"/>
        </w:rPr>
      </w:pPr>
      <w:r w:rsidRPr="004C1E3A">
        <w:rPr>
          <w:lang w:val="sq-AL"/>
        </w:rPr>
        <w:t>Nr.4160, datë 12.9.2006</w:t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4C1E3A" w:rsidRDefault="00567E63" w:rsidP="00567E63">
      <w:pPr>
        <w:pStyle w:val="Titulli"/>
        <w:rPr>
          <w:lang w:val="sq-AL"/>
        </w:rPr>
      </w:pPr>
      <w:r w:rsidRPr="004C1E3A">
        <w:rPr>
          <w:lang w:val="sq-AL"/>
        </w:rPr>
        <w:t>PËR ZBATIMIN E VENDIMIT TË KËSHILLIT TË MINISTRAVE NR.555, DATË 1</w:t>
      </w:r>
      <w:r>
        <w:rPr>
          <w:lang w:val="sq-AL"/>
        </w:rPr>
        <w:t xml:space="preserve">6.8.2006 “PËR </w:t>
      </w:r>
      <w:r w:rsidRPr="004C1E3A">
        <w:rPr>
          <w:lang w:val="sq-AL"/>
        </w:rPr>
        <w:t>KTHIMIN E F</w:t>
      </w:r>
      <w:r>
        <w:rPr>
          <w:lang w:val="sq-AL"/>
        </w:rPr>
        <w:t>ONDEVE FINANCIARE NGA SUBJEKTET</w:t>
      </w:r>
      <w:r w:rsidRPr="004C1E3A">
        <w:rPr>
          <w:lang w:val="sq-AL"/>
        </w:rPr>
        <w:t xml:space="preserve"> QË PËRFITOJNË NGA PËRDORIMI I FONDIT KUNDËRPARTI TË GRANTEVE JAPONEZE, PËR PROJEKT</w:t>
      </w:r>
      <w:r>
        <w:rPr>
          <w:lang w:val="sq-AL"/>
        </w:rPr>
        <w:t>IN “RRITJA E PRODHIMIT USHQIMOR</w:t>
      </w:r>
      <w:r w:rsidRPr="004C1E3A">
        <w:rPr>
          <w:lang w:val="sq-AL"/>
        </w:rPr>
        <w:t xml:space="preserve"> 2KR” DHE PËR NJË NDRYSHIM NË VENDIMET NR.479, DATË 19.7.2001, NR.373, DATË 5.6.2003</w:t>
      </w:r>
      <w:r>
        <w:rPr>
          <w:lang w:val="sq-AL"/>
        </w:rPr>
        <w:t xml:space="preserve"> DHE NR.114, DATË 25.2.2005</w:t>
      </w:r>
      <w:r w:rsidRPr="004C1E3A">
        <w:rPr>
          <w:lang w:val="sq-AL"/>
        </w:rPr>
        <w:t xml:space="preserve"> TË KËSHILLIT TË MINISTRAVE”</w:t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Në mbështetje të nenit 102, pika 4 të Kushtetutës dhe vendimit të Këshillit të Ministrave nr.555, datë 16.8.2006 </w:t>
      </w:r>
      <w:r>
        <w:rPr>
          <w:lang w:val="sq-AL"/>
        </w:rPr>
        <w:t>“Për k</w:t>
      </w:r>
      <w:r w:rsidRPr="0023542E">
        <w:rPr>
          <w:lang w:val="sq-AL"/>
        </w:rPr>
        <w:t>thimin e f</w:t>
      </w:r>
      <w:r>
        <w:rPr>
          <w:lang w:val="sq-AL"/>
        </w:rPr>
        <w:t>ondeve financiare nga subjektet</w:t>
      </w:r>
      <w:r w:rsidRPr="0023542E">
        <w:rPr>
          <w:lang w:val="sq-AL"/>
        </w:rPr>
        <w:t xml:space="preserve"> që përfitojnë nga përdorimi i fondit</w:t>
      </w:r>
      <w:r>
        <w:rPr>
          <w:lang w:val="sq-AL"/>
        </w:rPr>
        <w:t xml:space="preserve"> kundërparti të granteve j</w:t>
      </w:r>
      <w:r w:rsidRPr="0023542E">
        <w:rPr>
          <w:lang w:val="sq-AL"/>
        </w:rPr>
        <w:t>aponeze, për projekt</w:t>
      </w:r>
      <w:r>
        <w:rPr>
          <w:lang w:val="sq-AL"/>
        </w:rPr>
        <w:t>in “Rritja e prodhimit ushqimor 2KR”</w:t>
      </w:r>
      <w:r w:rsidRPr="0023542E">
        <w:rPr>
          <w:lang w:val="sq-AL"/>
        </w:rPr>
        <w:t xml:space="preserve"> dhe për një ndryshim në vendimet nr.479, datë 19.7.2001, nr.373, datë 5.6.2003 dhe nr.114, datë 25.2.2005 të Këshillit të Ministrave”, Ministri i Bujqësisë Ushqimit dhe Mbrojtjes së Konsumatorit dhe Ministri i Financave</w:t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4C1E3A" w:rsidRDefault="00567E63" w:rsidP="00567E63">
      <w:pPr>
        <w:pStyle w:val="VENDOSI"/>
        <w:rPr>
          <w:lang w:val="sq-AL"/>
        </w:rPr>
      </w:pPr>
      <w:r w:rsidRPr="004C1E3A">
        <w:rPr>
          <w:lang w:val="sq-AL"/>
        </w:rPr>
        <w:t>UDHËZOJNË:</w:t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23542E" w:rsidRDefault="00567E63" w:rsidP="00567E63">
      <w:pPr>
        <w:pStyle w:val="Paragrafi"/>
        <w:rPr>
          <w:lang w:val="sq-AL"/>
        </w:rPr>
      </w:pPr>
      <w:r>
        <w:rPr>
          <w:lang w:val="sq-AL"/>
        </w:rPr>
        <w:t>1. Të gjitha</w:t>
      </w:r>
      <w:r w:rsidRPr="0023542E">
        <w:rPr>
          <w:lang w:val="sq-AL"/>
        </w:rPr>
        <w:t xml:space="preserve"> subjektet për</w:t>
      </w:r>
      <w:r>
        <w:rPr>
          <w:lang w:val="sq-AL"/>
        </w:rPr>
        <w:t>fituese, që janë financuar nga njësia e menaxhimit të p</w:t>
      </w:r>
      <w:r w:rsidRPr="0023542E">
        <w:rPr>
          <w:lang w:val="sq-AL"/>
        </w:rPr>
        <w:t>rojektit “Rritja e prodhimit ushqimor 2KR”</w:t>
      </w:r>
      <w:r>
        <w:rPr>
          <w:lang w:val="sq-AL"/>
        </w:rPr>
        <w:t>,</w:t>
      </w:r>
      <w:r w:rsidRPr="0023542E">
        <w:rPr>
          <w:lang w:val="sq-AL"/>
        </w:rPr>
        <w:t xml:space="preserve"> për periudhën nga 1999 e në vazhdim</w:t>
      </w:r>
      <w:r>
        <w:rPr>
          <w:lang w:val="sq-AL"/>
        </w:rPr>
        <w:t>,</w:t>
      </w:r>
      <w:r w:rsidRPr="0023542E">
        <w:rPr>
          <w:lang w:val="sq-AL"/>
        </w:rPr>
        <w:t xml:space="preserve"> të lidhin kontratë me </w:t>
      </w:r>
      <w:r>
        <w:rPr>
          <w:lang w:val="sq-AL"/>
        </w:rPr>
        <w:t>“</w:t>
      </w:r>
      <w:r w:rsidRPr="0023542E">
        <w:rPr>
          <w:lang w:val="sq-AL"/>
        </w:rPr>
        <w:t>Projektin 2K</w:t>
      </w:r>
      <w:r>
        <w:rPr>
          <w:lang w:val="sq-AL"/>
        </w:rPr>
        <w:t>R” për mallrat, pajisjet,</w:t>
      </w:r>
      <w:r w:rsidRPr="0023542E">
        <w:rPr>
          <w:lang w:val="sq-AL"/>
        </w:rPr>
        <w:t xml:space="preserve"> linjat teknologjike të agropërpunimit dhe serat me ngrohje.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2. Autorizohet drejtori i </w:t>
      </w:r>
      <w:r>
        <w:rPr>
          <w:lang w:val="sq-AL"/>
        </w:rPr>
        <w:t>“</w:t>
      </w:r>
      <w:r w:rsidRPr="0023542E">
        <w:rPr>
          <w:lang w:val="sq-AL"/>
        </w:rPr>
        <w:t>Projektit 2KR</w:t>
      </w:r>
      <w:r>
        <w:rPr>
          <w:lang w:val="sq-AL"/>
        </w:rPr>
        <w:t>”</w:t>
      </w:r>
      <w:r w:rsidRPr="0023542E">
        <w:rPr>
          <w:lang w:val="sq-AL"/>
        </w:rPr>
        <w:t>, për lidhjen dhe nënshkrimin e kontratave me subjektet përfituese.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3. Vlera financiare e përfituar për mallrat, pajisjet, linjat teknologjike dhe serat me ngrohje, që janë financuar nga “</w:t>
      </w:r>
      <w:r w:rsidRPr="004454DE">
        <w:rPr>
          <w:i/>
          <w:lang w:val="sq-AL"/>
        </w:rPr>
        <w:t>Non Projekt Grant Aid</w:t>
      </w:r>
      <w:r w:rsidRPr="0023542E">
        <w:rPr>
          <w:lang w:val="sq-AL"/>
        </w:rPr>
        <w:t>” dhe përdorimi i fondit kun</w:t>
      </w:r>
      <w:r>
        <w:rPr>
          <w:lang w:val="sq-AL"/>
        </w:rPr>
        <w:t>dërparti në kuadër të granteve j</w:t>
      </w:r>
      <w:r w:rsidRPr="0023542E">
        <w:rPr>
          <w:lang w:val="sq-AL"/>
        </w:rPr>
        <w:t>aponez</w:t>
      </w:r>
      <w:r>
        <w:rPr>
          <w:lang w:val="sq-AL"/>
        </w:rPr>
        <w:t>e</w:t>
      </w:r>
      <w:r w:rsidRPr="0023542E">
        <w:rPr>
          <w:lang w:val="sq-AL"/>
        </w:rPr>
        <w:t>, të shlyhen si fonde kundërparti nga subjektet përfituese me këste, pa interes, me vlerën e barasvlefshme në “lekë” të çmimit të blerjes FOB, brenda një afati prej shtatë vjetësh, duke filluar nga data e marrjes në dorëzim. Konvertimi në lekë i çmimit të blerjes FOB të bëhet sipas kursit zyrtar të këmbimit të valutës në lekë, në datën e marrjes në dorëzim të mallrave, pajisjeve, linjave dhe serave me ngrohje.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4. Për mallrat, pajisjet, linjat tekn</w:t>
      </w:r>
      <w:r>
        <w:rPr>
          <w:lang w:val="sq-AL"/>
        </w:rPr>
        <w:t>ologjike dhe serat me ngrohje, të</w:t>
      </w:r>
      <w:r w:rsidRPr="0023542E">
        <w:rPr>
          <w:lang w:val="sq-AL"/>
        </w:rPr>
        <w:t xml:space="preserve"> cilat janë marrë në dorëzim para daljes së këtij udhëzimi, detyrimi të llogaritet  në mënyrë proporcionale për periudhën e mbetur nga data e lidhjes së kont</w:t>
      </w:r>
      <w:r>
        <w:rPr>
          <w:lang w:val="sq-AL"/>
        </w:rPr>
        <w:t>ratës, duke respektuar pikën 3 të</w:t>
      </w:r>
      <w:r w:rsidRPr="0023542E">
        <w:rPr>
          <w:lang w:val="sq-AL"/>
        </w:rPr>
        <w:t xml:space="preserve"> këtij udhëzimi.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5. </w:t>
      </w:r>
      <w:r>
        <w:rPr>
          <w:lang w:val="sq-AL"/>
        </w:rPr>
        <w:t>“</w:t>
      </w:r>
      <w:r w:rsidRPr="0023542E">
        <w:rPr>
          <w:lang w:val="sq-AL"/>
        </w:rPr>
        <w:t>Projekti 2KR</w:t>
      </w:r>
      <w:r>
        <w:rPr>
          <w:lang w:val="sq-AL"/>
        </w:rPr>
        <w:t>”</w:t>
      </w:r>
      <w:r w:rsidRPr="0023542E">
        <w:rPr>
          <w:lang w:val="sq-AL"/>
        </w:rPr>
        <w:t xml:space="preserve"> lidh kontratë me subjektet përfituese brenda një afati 2-mujor nga data e hyrjes në fuqi të këtij udhëzimi.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6. Diferencat financiare ndërmjet çmimeve CIF dhe FOB, të evidentohe</w:t>
      </w:r>
      <w:r>
        <w:rPr>
          <w:lang w:val="sq-AL"/>
        </w:rPr>
        <w:t>n nga p</w:t>
      </w:r>
      <w:r w:rsidRPr="0023542E">
        <w:rPr>
          <w:lang w:val="sq-AL"/>
        </w:rPr>
        <w:t>rojek</w:t>
      </w:r>
      <w:r>
        <w:rPr>
          <w:lang w:val="sq-AL"/>
        </w:rPr>
        <w:t>ti “Rritja e prodhimit ushqimor</w:t>
      </w:r>
      <w:r w:rsidRPr="0023542E">
        <w:rPr>
          <w:lang w:val="sq-AL"/>
        </w:rPr>
        <w:t xml:space="preserve"> 2KR” në pakësim të fondeve kundërparti.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7. Brenda strukturës organizative të miratuar të sektorit të</w:t>
      </w:r>
      <w:r>
        <w:rPr>
          <w:lang w:val="sq-AL"/>
        </w:rPr>
        <w:t xml:space="preserve"> fondit kundërparti drejtori i p</w:t>
      </w:r>
      <w:r w:rsidRPr="0023542E">
        <w:rPr>
          <w:lang w:val="sq-AL"/>
        </w:rPr>
        <w:t>rojekti</w:t>
      </w:r>
      <w:r>
        <w:rPr>
          <w:lang w:val="sq-AL"/>
        </w:rPr>
        <w:t>t ngarkon specialistë të veçantë</w:t>
      </w:r>
      <w:r w:rsidRPr="0023542E">
        <w:rPr>
          <w:lang w:val="sq-AL"/>
        </w:rPr>
        <w:t xml:space="preserve"> për monitorimin, menaxhimin e linjave dhe kthimin e fondit k</w:t>
      </w:r>
      <w:r>
        <w:rPr>
          <w:lang w:val="sq-AL"/>
        </w:rPr>
        <w:t>undërparti nga çdo subjekt. Këta specialistë mbajnë dokumentacion të plotë</w:t>
      </w:r>
      <w:r w:rsidRPr="0023542E">
        <w:rPr>
          <w:lang w:val="sq-AL"/>
        </w:rPr>
        <w:t xml:space="preserve"> dhe ndjekin punën për shlyerjen e vlerës së përcaktuar të mallrave, pajisjeve, linjave të agropërpunimit dhe serave me ngrohje. 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8. </w:t>
      </w:r>
      <w:r>
        <w:rPr>
          <w:lang w:val="sq-AL"/>
        </w:rPr>
        <w:t>“</w:t>
      </w:r>
      <w:r w:rsidRPr="0023542E">
        <w:rPr>
          <w:lang w:val="sq-AL"/>
        </w:rPr>
        <w:t>Projekti 2KR</w:t>
      </w:r>
      <w:r>
        <w:rPr>
          <w:lang w:val="sq-AL"/>
        </w:rPr>
        <w:t>”</w:t>
      </w:r>
      <w:r w:rsidRPr="0023542E">
        <w:rPr>
          <w:lang w:val="sq-AL"/>
        </w:rPr>
        <w:t>, në bashkëpunim me organet tatimore, ka të drejtë të ushtrojë kontroll teknik e financiar mbi veprimtarinë ekonomike që subjekti kryen, gjendjen teknike etj. për sa kohë që nuk është paguar kësti i fundit.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9. Subjekti përfitues është i detyruar të raportojë e të japë informacion në </w:t>
      </w:r>
      <w:r>
        <w:rPr>
          <w:lang w:val="sq-AL"/>
        </w:rPr>
        <w:t>“</w:t>
      </w:r>
      <w:r w:rsidRPr="0023542E">
        <w:rPr>
          <w:lang w:val="sq-AL"/>
        </w:rPr>
        <w:t>Projektin 2KR</w:t>
      </w:r>
      <w:r>
        <w:rPr>
          <w:lang w:val="sq-AL"/>
        </w:rPr>
        <w:t>”</w:t>
      </w:r>
      <w:r w:rsidRPr="0023542E">
        <w:rPr>
          <w:lang w:val="sq-AL"/>
        </w:rPr>
        <w:t xml:space="preserve"> për të dhënat që i kërkohen prej tij dhe mban përgjegjësi për saktësinë e tyre.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10. Numri i kësteve për çdo vit kalendarik do të jetë 2-3, gjë që do të pasqyrohet në kontratë. 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11. Kuot</w:t>
      </w:r>
      <w:r>
        <w:rPr>
          <w:lang w:val="sq-AL"/>
        </w:rPr>
        <w:t>a e arkëtimit të këstit të parë</w:t>
      </w:r>
      <w:r w:rsidRPr="0023542E">
        <w:rPr>
          <w:lang w:val="sq-AL"/>
        </w:rPr>
        <w:t xml:space="preserve"> në llogarinë e </w:t>
      </w:r>
      <w:r>
        <w:rPr>
          <w:lang w:val="sq-AL"/>
        </w:rPr>
        <w:t>“</w:t>
      </w:r>
      <w:r w:rsidRPr="0023542E">
        <w:rPr>
          <w:lang w:val="sq-AL"/>
        </w:rPr>
        <w:t>Projektit 2KR</w:t>
      </w:r>
      <w:r>
        <w:rPr>
          <w:lang w:val="sq-AL"/>
        </w:rPr>
        <w:t>”</w:t>
      </w:r>
      <w:r w:rsidRPr="0023542E">
        <w:rPr>
          <w:lang w:val="sq-AL"/>
        </w:rPr>
        <w:t xml:space="preserve"> të jetë jo më pak se vlera e çdo kësti caktuar sipas pikës 10 të këtij udhëzimi. 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Subjekti përfitues mund të bëjë në çdo kohë likuidim të menjëhershëm të disa kësteve, kjo e parashikuar në kontratën </w:t>
      </w:r>
      <w:r>
        <w:rPr>
          <w:lang w:val="sq-AL"/>
        </w:rPr>
        <w:t>ndërmjet</w:t>
      </w:r>
      <w:r w:rsidRPr="0023542E">
        <w:rPr>
          <w:lang w:val="sq-AL"/>
        </w:rPr>
        <w:t xml:space="preserve"> palëve. 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12. Për rastet e mospagimit në kohë të këstit</w:t>
      </w:r>
      <w:r>
        <w:rPr>
          <w:lang w:val="sq-AL"/>
        </w:rPr>
        <w:t>,</w:t>
      </w:r>
      <w:r w:rsidRPr="0023542E">
        <w:rPr>
          <w:lang w:val="sq-AL"/>
        </w:rPr>
        <w:t xml:space="preserve"> subjekti përfitues i mallrave, pajisjeve, linjave të agropërpunimit dhe serave me ngrohje, penalizohet me një kamat</w:t>
      </w:r>
      <w:r>
        <w:rPr>
          <w:lang w:val="sq-AL"/>
        </w:rPr>
        <w:t>ë</w:t>
      </w:r>
      <w:r w:rsidRPr="0023542E">
        <w:rPr>
          <w:lang w:val="sq-AL"/>
        </w:rPr>
        <w:t>vonesë ditore 1 % t</w:t>
      </w:r>
      <w:r>
        <w:rPr>
          <w:lang w:val="sq-AL"/>
        </w:rPr>
        <w:t>ë vlerës së këstit të papaguar</w:t>
      </w:r>
      <w:r w:rsidRPr="0023542E">
        <w:rPr>
          <w:lang w:val="sq-AL"/>
        </w:rPr>
        <w:t xml:space="preserve"> e llogaritur kjo për çdo ditë punë.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lastRenderedPageBreak/>
        <w:t>13. Kur subjekti përfitues, pagues i rregullt i këstev</w:t>
      </w:r>
      <w:r>
        <w:rPr>
          <w:lang w:val="sq-AL"/>
        </w:rPr>
        <w:t>e nuk paguan dy këste të radhës</w:t>
      </w:r>
      <w:r w:rsidRPr="0023542E">
        <w:rPr>
          <w:lang w:val="sq-AL"/>
        </w:rPr>
        <w:t xml:space="preserve"> të cilat janë të pasqyruara në kontratë, mallrat, pajisjet, linjat e agropërpunimit dhe serat me ngrohje sekuestrohen në përputhje me dispozitat ligjore në fuqi, pa asnjë rimbursim të kësteve të mëparshme. </w:t>
      </w:r>
    </w:p>
    <w:p w:rsidR="00567E63" w:rsidRPr="0023542E" w:rsidRDefault="00567E63" w:rsidP="00567E63">
      <w:pPr>
        <w:pStyle w:val="Paragrafi"/>
        <w:rPr>
          <w:lang w:val="sq-AL"/>
        </w:rPr>
      </w:pPr>
      <w:r>
        <w:rPr>
          <w:lang w:val="sq-AL"/>
        </w:rPr>
        <w:t>14. Subjekti përfitues</w:t>
      </w:r>
      <w:r w:rsidRPr="0023542E">
        <w:rPr>
          <w:lang w:val="sq-AL"/>
        </w:rPr>
        <w:t xml:space="preserve"> që nuk paguan </w:t>
      </w:r>
      <w:r>
        <w:rPr>
          <w:lang w:val="sq-AL"/>
        </w:rPr>
        <w:t>asnjë këst apo nuk bie dakord ta</w:t>
      </w:r>
      <w:r w:rsidRPr="0023542E">
        <w:rPr>
          <w:lang w:val="sq-AL"/>
        </w:rPr>
        <w:t xml:space="preserve"> nënshkruaj</w:t>
      </w:r>
      <w:r>
        <w:rPr>
          <w:lang w:val="sq-AL"/>
        </w:rPr>
        <w:t>ë</w:t>
      </w:r>
      <w:r w:rsidRPr="0023542E">
        <w:rPr>
          <w:lang w:val="sq-AL"/>
        </w:rPr>
        <w:t xml:space="preserve"> kontratën me </w:t>
      </w:r>
      <w:r>
        <w:rPr>
          <w:lang w:val="sq-AL"/>
        </w:rPr>
        <w:t>“</w:t>
      </w:r>
      <w:r w:rsidRPr="0023542E">
        <w:rPr>
          <w:lang w:val="sq-AL"/>
        </w:rPr>
        <w:t>Projektin 2KR</w:t>
      </w:r>
      <w:r>
        <w:rPr>
          <w:lang w:val="sq-AL"/>
        </w:rPr>
        <w:t>”</w:t>
      </w:r>
      <w:r w:rsidRPr="0023542E">
        <w:rPr>
          <w:lang w:val="sq-AL"/>
        </w:rPr>
        <w:t>, mallrat, pajisjet, linja e agropërpunimit ose sera</w:t>
      </w:r>
      <w:r>
        <w:rPr>
          <w:lang w:val="sq-AL"/>
        </w:rPr>
        <w:t>t</w:t>
      </w:r>
      <w:r w:rsidRPr="0023542E">
        <w:rPr>
          <w:lang w:val="sq-AL"/>
        </w:rPr>
        <w:t xml:space="preserve"> me ngrohje që ka përfituar sekuestrohet në përputhje me legjislacionin në fuqi. Njëkohësisht ndaj këtyre subjekteve bëhet kallëzim penal pranë prokurorisë.</w:t>
      </w:r>
    </w:p>
    <w:p w:rsidR="00567E63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15. Për pikat 13 dhe 14 të këtij udhëzimi, drejtori i </w:t>
      </w:r>
      <w:r>
        <w:rPr>
          <w:lang w:val="sq-AL"/>
        </w:rPr>
        <w:t>“</w:t>
      </w:r>
      <w:r w:rsidRPr="0023542E">
        <w:rPr>
          <w:lang w:val="sq-AL"/>
        </w:rPr>
        <w:t>Projektit 2KR</w:t>
      </w:r>
      <w:r>
        <w:rPr>
          <w:lang w:val="sq-AL"/>
        </w:rPr>
        <w:t>”</w:t>
      </w:r>
      <w:r w:rsidRPr="0023542E">
        <w:rPr>
          <w:lang w:val="sq-AL"/>
        </w:rPr>
        <w:t xml:space="preserve"> urdhëron sekuestrimin e mallrave, pajisjeve, linjave të agropërpunimit ose serës me ngrohje. Ky urdhër përbën titull ekzekutiv.</w:t>
      </w:r>
    </w:p>
    <w:p w:rsidR="00567E63" w:rsidRDefault="00567E63" w:rsidP="00567E63">
      <w:pPr>
        <w:pStyle w:val="Paragrafi"/>
        <w:rPr>
          <w:lang w:val="sq-AL"/>
        </w:rPr>
      </w:pP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16. Në rast sekuestrimi, organet kompetente bllokojnë veprimtarinë ekonomike të subjektit dhe </w:t>
      </w:r>
      <w:r>
        <w:rPr>
          <w:lang w:val="sq-AL"/>
        </w:rPr>
        <w:t>“</w:t>
      </w:r>
      <w:r w:rsidRPr="0023542E">
        <w:rPr>
          <w:lang w:val="sq-AL"/>
        </w:rPr>
        <w:t>Projekti 2KR</w:t>
      </w:r>
      <w:r>
        <w:rPr>
          <w:lang w:val="sq-AL"/>
        </w:rPr>
        <w:t>”</w:t>
      </w:r>
      <w:r w:rsidRPr="0023542E">
        <w:rPr>
          <w:lang w:val="sq-AL"/>
        </w:rPr>
        <w:t xml:space="preserve"> planifikon punën për çmontimin e linjës (serës) dhe rishpërndarjen e saj në subjekte të reja përfituese, duke respektuar udhëzimin në fuqi. </w:t>
      </w:r>
    </w:p>
    <w:p w:rsidR="00567E63" w:rsidRPr="0023542E" w:rsidRDefault="00567E63" w:rsidP="00567E63">
      <w:pPr>
        <w:pStyle w:val="Paragrafi"/>
        <w:rPr>
          <w:lang w:val="sq-AL"/>
        </w:rPr>
      </w:pPr>
      <w:r>
        <w:rPr>
          <w:lang w:val="sq-AL"/>
        </w:rPr>
        <w:t>17. Kalimi i pronësisë s</w:t>
      </w:r>
      <w:r w:rsidRPr="0023542E">
        <w:rPr>
          <w:lang w:val="sq-AL"/>
        </w:rPr>
        <w:t xml:space="preserve">ë mallrave, pajisjeve, linjave të agropërpunimit apo serës me ngrohje nga </w:t>
      </w:r>
      <w:r>
        <w:rPr>
          <w:lang w:val="sq-AL"/>
        </w:rPr>
        <w:t>“</w:t>
      </w:r>
      <w:r w:rsidRPr="0023542E">
        <w:rPr>
          <w:lang w:val="sq-AL"/>
        </w:rPr>
        <w:t>Projekti 2KR</w:t>
      </w:r>
      <w:r>
        <w:rPr>
          <w:lang w:val="sq-AL"/>
        </w:rPr>
        <w:t>”</w:t>
      </w:r>
      <w:r w:rsidRPr="0023542E">
        <w:rPr>
          <w:lang w:val="sq-AL"/>
        </w:rPr>
        <w:t xml:space="preserve"> te subjekti përfitues, bëhet vetëm pasi ky i fundit të ketë likuiduar edhe këstin e f</w:t>
      </w:r>
      <w:r>
        <w:rPr>
          <w:lang w:val="sq-AL"/>
        </w:rPr>
        <w:t>undit në përputhje me kontratën</w:t>
      </w:r>
      <w:r w:rsidRPr="0023542E">
        <w:rPr>
          <w:lang w:val="sq-AL"/>
        </w:rPr>
        <w:t xml:space="preserve"> duke shlyer vlerën FOB të linjës apo serës.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Në këtë rast </w:t>
      </w:r>
      <w:r>
        <w:rPr>
          <w:lang w:val="sq-AL"/>
        </w:rPr>
        <w:t>“</w:t>
      </w:r>
      <w:r w:rsidRPr="0023542E">
        <w:rPr>
          <w:lang w:val="sq-AL"/>
        </w:rPr>
        <w:t>Projekti 2KR</w:t>
      </w:r>
      <w:r>
        <w:rPr>
          <w:lang w:val="sq-AL"/>
        </w:rPr>
        <w:t>”</w:t>
      </w:r>
      <w:r w:rsidRPr="0023542E">
        <w:rPr>
          <w:lang w:val="sq-AL"/>
        </w:rPr>
        <w:t xml:space="preserve"> i kalon pronësinë subjektit përfitues duke e pajisur atë me “Vërtetim pronësie”.</w:t>
      </w:r>
    </w:p>
    <w:p w:rsidR="00567E63" w:rsidRPr="0023542E" w:rsidRDefault="00567E63" w:rsidP="00567E63">
      <w:pPr>
        <w:pStyle w:val="Paragrafi"/>
        <w:rPr>
          <w:lang w:val="sq-AL"/>
        </w:rPr>
      </w:pPr>
      <w:r>
        <w:rPr>
          <w:lang w:val="sq-AL"/>
        </w:rPr>
        <w:t>18. Për rastet e pa</w:t>
      </w:r>
      <w:r w:rsidRPr="0023542E">
        <w:rPr>
          <w:lang w:val="sq-AL"/>
        </w:rPr>
        <w:t>trajtuara nga ky u</w:t>
      </w:r>
      <w:r>
        <w:rPr>
          <w:lang w:val="sq-AL"/>
        </w:rPr>
        <w:t>dhëzim, nëse gjykohet për efekt</w:t>
      </w:r>
      <w:r w:rsidRPr="0023542E">
        <w:rPr>
          <w:lang w:val="sq-AL"/>
        </w:rPr>
        <w:t xml:space="preserve"> të faktorëve objektive, me propozim të drejtorit të </w:t>
      </w:r>
      <w:r>
        <w:rPr>
          <w:lang w:val="sq-AL"/>
        </w:rPr>
        <w:t>“</w:t>
      </w:r>
      <w:r w:rsidRPr="0023542E">
        <w:rPr>
          <w:lang w:val="sq-AL"/>
        </w:rPr>
        <w:t>Projektit 2KR</w:t>
      </w:r>
      <w:r>
        <w:rPr>
          <w:lang w:val="sq-AL"/>
        </w:rPr>
        <w:t>”,</w:t>
      </w:r>
      <w:r w:rsidRPr="0023542E">
        <w:rPr>
          <w:lang w:val="sq-AL"/>
        </w:rPr>
        <w:t xml:space="preserve"> Ministri i Bujqësisë, Ushqimi</w:t>
      </w:r>
      <w:r>
        <w:rPr>
          <w:lang w:val="sq-AL"/>
        </w:rPr>
        <w:t>t dhe Mbrojtjes së Konsumatorit</w:t>
      </w:r>
      <w:r w:rsidRPr="0023542E">
        <w:rPr>
          <w:lang w:val="sq-AL"/>
        </w:rPr>
        <w:t xml:space="preserve"> përcakton mënyrën e zgjidhjes me urdhër të veçantë.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Ky udhëzim hyn në fuqi menjëherë.</w:t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 xml:space="preserve">MINISTRI </w:t>
      </w:r>
      <w:r>
        <w:rPr>
          <w:lang w:val="sq-AL"/>
        </w:rPr>
        <w:t xml:space="preserve">I </w:t>
      </w:r>
      <w:r w:rsidRPr="0023542E">
        <w:rPr>
          <w:lang w:val="sq-AL"/>
        </w:rPr>
        <w:t>BUJQËSISË, USHQIMIT</w:t>
      </w:r>
      <w:r w:rsidRPr="0023542E">
        <w:rPr>
          <w:lang w:val="sq-AL"/>
        </w:rPr>
        <w:tab/>
      </w:r>
      <w:r w:rsidRPr="0023542E">
        <w:rPr>
          <w:lang w:val="sq-AL"/>
        </w:rPr>
        <w:tab/>
      </w:r>
      <w:r w:rsidRPr="0023542E">
        <w:rPr>
          <w:lang w:val="sq-AL"/>
        </w:rPr>
        <w:tab/>
        <w:t xml:space="preserve">MINISTRI </w:t>
      </w:r>
      <w:r>
        <w:rPr>
          <w:lang w:val="sq-AL"/>
        </w:rPr>
        <w:t xml:space="preserve">I </w:t>
      </w:r>
      <w:r w:rsidRPr="0023542E">
        <w:rPr>
          <w:lang w:val="sq-AL"/>
        </w:rPr>
        <w:t>FINANCAVE</w:t>
      </w:r>
    </w:p>
    <w:p w:rsidR="00567E63" w:rsidRPr="0023542E" w:rsidRDefault="00567E63" w:rsidP="00567E63">
      <w:pPr>
        <w:pStyle w:val="Paragrafi"/>
        <w:rPr>
          <w:lang w:val="sq-AL"/>
        </w:rPr>
      </w:pPr>
      <w:r w:rsidRPr="0023542E">
        <w:rPr>
          <w:lang w:val="sq-AL"/>
        </w:rPr>
        <w:t>DHE MBROJTJES SË KONSUMATORIT</w:t>
      </w:r>
      <w:r w:rsidRPr="0023542E">
        <w:rPr>
          <w:lang w:val="sq-AL"/>
        </w:rPr>
        <w:tab/>
      </w:r>
      <w:r w:rsidRPr="0023542E">
        <w:rPr>
          <w:lang w:val="sq-AL"/>
        </w:rPr>
        <w:tab/>
      </w:r>
      <w:r w:rsidRPr="003B0365">
        <w:rPr>
          <w:rStyle w:val="AutoritetiEmerChar"/>
        </w:rPr>
        <w:t>Ridvan Bode</w:t>
      </w:r>
    </w:p>
    <w:p w:rsidR="00567E63" w:rsidRPr="0023542E" w:rsidRDefault="00567E63" w:rsidP="00567E63">
      <w:pPr>
        <w:pStyle w:val="AutoritetiEmer"/>
        <w:ind w:firstLine="720"/>
        <w:jc w:val="left"/>
      </w:pPr>
      <w:r w:rsidRPr="0023542E">
        <w:t>Jemin Gjana</w:t>
      </w:r>
      <w:r w:rsidRPr="0023542E">
        <w:tab/>
      </w:r>
      <w:r w:rsidRPr="0023542E">
        <w:tab/>
      </w:r>
      <w:r w:rsidRPr="0023542E">
        <w:tab/>
      </w:r>
      <w:r w:rsidRPr="0023542E">
        <w:tab/>
      </w:r>
      <w:r w:rsidRPr="0023542E">
        <w:tab/>
      </w:r>
    </w:p>
    <w:p w:rsidR="00567E63" w:rsidRPr="0023542E" w:rsidRDefault="00567E63" w:rsidP="00567E63">
      <w:pPr>
        <w:pStyle w:val="Paragrafi"/>
        <w:rPr>
          <w:lang w:val="sq-AL"/>
        </w:rPr>
      </w:pPr>
    </w:p>
    <w:p w:rsidR="000178C2" w:rsidRPr="00C84B66" w:rsidRDefault="000178C2" w:rsidP="00567E6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7E63"/>
    <w:rsid w:val="000178C2"/>
    <w:rsid w:val="00567E63"/>
    <w:rsid w:val="006279EA"/>
    <w:rsid w:val="00B479C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C43E94-EF23-4BDA-912F-0691367E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479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479C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B479C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479C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B479C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479C4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B479C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479C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479C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B479C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">
    <w:name w:val="Aneksi"/>
    <w:next w:val="Normal"/>
    <w:rsid w:val="00B479C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479C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Bllok">
    <w:name w:val="Bllok"/>
    <w:next w:val="Norma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B479C4"/>
    <w:pPr>
      <w:widowControl w:val="0"/>
      <w:outlineLvl w:val="2"/>
    </w:pPr>
    <w:rPr>
      <w:rFonts w:ascii="CG Times" w:hAnsi="CG Times"/>
      <w:sz w:val="22"/>
    </w:rPr>
  </w:style>
  <w:style w:type="paragraph" w:customStyle="1" w:styleId="Kapakufund">
    <w:name w:val="Kapaku_fund"/>
    <w:next w:val="Normal"/>
    <w:rsid w:val="00B479C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B479C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479C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479C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479C4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479C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479C4"/>
    <w:rPr>
      <w:rFonts w:ascii="CG Times" w:hAnsi="CG Times"/>
      <w:sz w:val="22"/>
      <w:lang w:val="en-GB"/>
    </w:rPr>
  </w:style>
  <w:style w:type="paragraph" w:customStyle="1" w:styleId="TitulliNr">
    <w:name w:val="T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67E6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