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2EA" w:rsidRPr="00D45DBA" w:rsidRDefault="003662EA" w:rsidP="003662EA">
      <w:pPr>
        <w:pStyle w:val="Akti"/>
        <w:rPr>
          <w:lang w:val="sq-AL"/>
        </w:rPr>
      </w:pPr>
      <w:r w:rsidRPr="00D45DBA">
        <w:rPr>
          <w:lang w:val="sq-AL"/>
        </w:rPr>
        <w:t>UDHËZIM</w:t>
      </w:r>
    </w:p>
    <w:p w:rsidR="003662EA" w:rsidRPr="00D45DBA" w:rsidRDefault="003662EA" w:rsidP="003662EA">
      <w:pPr>
        <w:pStyle w:val="NumriData"/>
        <w:rPr>
          <w:lang w:val="sq-AL"/>
        </w:rPr>
      </w:pPr>
      <w:r>
        <w:rPr>
          <w:lang w:val="sq-AL"/>
        </w:rPr>
        <w:t>Nr. 10, datë 20</w:t>
      </w:r>
      <w:r w:rsidRPr="00D45DBA">
        <w:rPr>
          <w:lang w:val="sq-AL"/>
        </w:rPr>
        <w:t>.6.2014</w:t>
      </w:r>
    </w:p>
    <w:p w:rsidR="003662EA" w:rsidRPr="00D45DBA" w:rsidRDefault="003662EA" w:rsidP="003662EA">
      <w:pPr>
        <w:pStyle w:val="Hapesira7"/>
        <w:rPr>
          <w:lang w:val="sq-AL"/>
        </w:rPr>
      </w:pPr>
    </w:p>
    <w:p w:rsidR="003662EA" w:rsidRPr="00D45DBA" w:rsidRDefault="003662EA" w:rsidP="003662EA">
      <w:pPr>
        <w:pStyle w:val="Titulli"/>
        <w:rPr>
          <w:lang w:val="sq-AL"/>
        </w:rPr>
      </w:pPr>
      <w:r w:rsidRPr="00D45DBA">
        <w:rPr>
          <w:lang w:val="sq-AL"/>
        </w:rPr>
        <w:t>PËR PROCEDURAT, KRITERET E PËRFITIMIT TË HUAS, SHLYERJES  SË DETYRIMEVE DHE MËNYRA E ADMINISTRIMIT TË FONDIT KUNDËRPARTI, TË MBLEDHURA NGA GRANTET JAPONEZE PËR SEKTORIN E BUJQËSISË</w:t>
      </w:r>
    </w:p>
    <w:p w:rsidR="003662EA" w:rsidRPr="00D45DBA" w:rsidRDefault="003662EA" w:rsidP="003662EA">
      <w:pPr>
        <w:pStyle w:val="Hapesira7"/>
        <w:rPr>
          <w:lang w:val="sq-AL"/>
        </w:rPr>
      </w:pP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Në mbështetje të nenit 102, pika 4, të Kushtetutës dhe vendimit nr. 374,  datë 11.06.2014  të Këshillit të Ministrave “Për miratimin e mënyrës së përdorimit të fondeve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kundërparti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, të mbledhura nga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grantet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japoneze për sektorin e bujqësisë”, </w:t>
      </w:r>
    </w:p>
    <w:p w:rsidR="003662EA" w:rsidRPr="00D45DBA" w:rsidRDefault="003662EA" w:rsidP="003662EA">
      <w:pPr>
        <w:pStyle w:val="Hapesira7"/>
        <w:rPr>
          <w:lang w:val="sq-AL"/>
        </w:rPr>
      </w:pPr>
    </w:p>
    <w:p w:rsidR="003662EA" w:rsidRPr="00D45DBA" w:rsidRDefault="003662EA" w:rsidP="003662EA">
      <w:pPr>
        <w:pStyle w:val="Titull-Titull"/>
        <w:rPr>
          <w:lang w:val="sq-AL"/>
        </w:rPr>
      </w:pPr>
      <w:r w:rsidRPr="00D45DBA">
        <w:rPr>
          <w:lang w:val="sq-AL"/>
        </w:rPr>
        <w:t>UDHËZOJMË:</w:t>
      </w:r>
    </w:p>
    <w:p w:rsidR="003662EA" w:rsidRPr="00D45DBA" w:rsidRDefault="003662EA" w:rsidP="003662EA">
      <w:pPr>
        <w:pStyle w:val="Hapesira7"/>
        <w:rPr>
          <w:lang w:val="sq-AL"/>
        </w:rPr>
      </w:pP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1. </w:t>
      </w:r>
      <w:r w:rsidRPr="00D45DBA">
        <w:rPr>
          <w:rFonts w:ascii="Garamond" w:eastAsia="MS Mincho" w:hAnsi="Garamond" w:cs="CG Times"/>
          <w:sz w:val="24"/>
          <w:lang w:val="sq-AL"/>
        </w:rPr>
        <w:t>TË PËRGJITHSHME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Fondet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kundërparti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, të krijuara nga arkëtimet prej subjekteve që kanë përfituar nga projekti i Qeverisë Japoneze dhe të mbledhura nga Agjencia për Zhvillimin Bujqësor dhe Rural (AZHBR), në shumën 130.517.500 (njëqind e tridhjetë milionë e pesëqind e shtatëmbëdhjetë mijë e pesëqind) lekë, të trajtohen si të ardhura jashtë limiti dhe të përdoren nëpërmjet llogarisë së thesarit, brenda vitit 2014. 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1.2</w:t>
      </w:r>
      <w:r w:rsidRPr="00D45DBA">
        <w:rPr>
          <w:lang w:val="sq-AL"/>
        </w:rPr>
        <w:t xml:space="preserve"> Fondet </w:t>
      </w:r>
      <w:proofErr w:type="spellStart"/>
      <w:r w:rsidRPr="00D45DBA">
        <w:rPr>
          <w:lang w:val="sq-AL"/>
        </w:rPr>
        <w:t>kundërparti</w:t>
      </w:r>
      <w:proofErr w:type="spellEnd"/>
      <w:r w:rsidRPr="00D45DBA">
        <w:rPr>
          <w:lang w:val="sq-AL"/>
        </w:rPr>
        <w:t xml:space="preserve"> të përdoren për financimin e projekteve investuese në bujqësi apo </w:t>
      </w:r>
      <w:proofErr w:type="spellStart"/>
      <w:r w:rsidRPr="00D45DBA">
        <w:rPr>
          <w:lang w:val="sq-AL"/>
        </w:rPr>
        <w:t>agroindustri</w:t>
      </w:r>
      <w:proofErr w:type="spellEnd"/>
      <w:r w:rsidRPr="00D45DBA">
        <w:rPr>
          <w:lang w:val="sq-AL"/>
        </w:rPr>
        <w:t>, në formën e huave pa interes me kohëzgjatje 7-vjeçare, ku viti i parë është periudhë “Pa paguar”,me qëllim nxitjen, rritjen e prodhimit bujqësor e blegtoral dhe përpunimit të këtyre produkteve.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Përkufizime. Në këtë udhëzim termat e mëposhtëm kanë këtë kuptimin: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“Fondet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kundërparti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(Fondi)”, është fondi total prej 130.517.500 (njëqind e tridhjetë milionë e pesëqind e shtatëmbëdhjetë mijë e pesëqind) lekë, të miratuar nga Qeveria Shqiptare, që të përdoren nga AZHBR-ja në formën e huas pa interes.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“Komisioni i Vlerësimit dhe i Miratimit (Komisioni)” është struktura më e lartë vendimmarrëse, përgjegjëse për vlerësimin dhe miratim e huas, pa interes për  projektet të cilat financohen.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1.3.3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“Sekretariati” është struktura e AZHBR-së, e  ngritur me urdhër të drejtorit të AZHBR-së, i cili kontrollon përputhshmërinë nga ana formale e dokumentacionit të subjekteve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aplikuese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, sipas formularit të dorëzimit të dokumentacionit.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1.3.4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“Hua” është shuma e miratuar për financimin e projekteve investuese në formën e kredisë pa interes për çdo subjekt përfitues.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1.3.5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Disbursim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” është livrimi i huas  në llogaritë e subjekteve përfituese. 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1.3.6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“Subjekti përfitues” është subjekti për të cilin Komisioni ka miratuar dhënien e huas dhe me të cilin lidhet kontrata e huas.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1.3.7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“Këst” është shuma e përcaktuar që subjekti duhet të paguajë për kthimin e huas, në intervale kohore të përcaktuara në grafikun e  kontratës.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1.3.8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“Pa paguar” është periudha gjatë së cilës subjekti përfitues, në bazë të kushteve të kontratës, nuk paguan këste. 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1.3.9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“Formular” dhe “Kontratat tip huaje dhe hipoteke”, janë pjesë integrale e këtij udhëzimi.</w:t>
      </w:r>
    </w:p>
    <w:p w:rsidR="003662EA" w:rsidRPr="00D45DBA" w:rsidRDefault="003662EA" w:rsidP="003662EA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</w:t>
      </w:r>
      <w:r w:rsidRPr="00D45DBA">
        <w:rPr>
          <w:rFonts w:ascii="Garamond" w:eastAsia="MS Mincho" w:hAnsi="Garamond" w:cs="CG Times"/>
          <w:sz w:val="24"/>
          <w:lang w:val="sq-AL"/>
        </w:rPr>
        <w:t>STRUKTURA MENAXHUESE DHE ADMI-NISTRIMI I FONDIT KUNDËRPARTI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Komisioni i Vlerësimit dhe i Miratimit është përgjegjës për vlerësimin dhe miratimin e projekteve. Komisioni përbëhet nga 5 (pesë) anëtarë, si vijon: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>- 1 (një) përfaqësues nga Ministria e Bujqësisë, Zhvillimit Rural dhe Administrimit të Ujërave (MBZHRAU);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-   1(një) përfaqësues nga Ministria e Financës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-   3 (tre) përfaqësues nga AZHBR-ja.</w:t>
      </w:r>
    </w:p>
    <w:p w:rsidR="003662E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Kryetari dhe anëtarët e komisionit emërohen dhe shkarkohen nga Ministri i Bujqësisë, Zhvillimit Rural dhe Administrimit të Ujërave, me propozim me shkrim nga institucioni përkatës. Kryetari i Komisionit emërohet nga Ministri i Bujqësisë, Zhvillimit Rural dhe Administrimit të Ujërave  me propozim të titullarit të AZHBR-së.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>2.3 Mbledhja e Komisionit zhvillohet sa herë të jetë e nevojshme për të kryer vlerësimin e projekteve investuese dhe shpalljen e subjekteve përfitues. Vendimet konsiderohen të vlefshme kur në mbledhje marrin pjesë të paktën 3 anëtarë. Vendimet e Komisionit merren me shumicë të thjeshtë votash dhe në rastet e votave të barabarta, vota e kryetarit është përcaktuese.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 xml:space="preserve">2.4 Agjencia zbatuese, AZHBR-ja, është struktura ekzekutive e fondit </w:t>
      </w:r>
      <w:proofErr w:type="spellStart"/>
      <w:r w:rsidRPr="00D45DBA">
        <w:rPr>
          <w:lang w:val="sq-AL"/>
        </w:rPr>
        <w:t>kundërparti</w:t>
      </w:r>
      <w:proofErr w:type="spellEnd"/>
      <w:r w:rsidRPr="00D45DBA">
        <w:rPr>
          <w:lang w:val="sq-AL"/>
        </w:rPr>
        <w:t xml:space="preserve">, e cila është </w:t>
      </w:r>
      <w:proofErr w:type="spellStart"/>
      <w:r w:rsidRPr="00D45DBA">
        <w:rPr>
          <w:lang w:val="sq-AL"/>
        </w:rPr>
        <w:t>pёrgjegjёse</w:t>
      </w:r>
      <w:proofErr w:type="spellEnd"/>
      <w:r w:rsidRPr="00D45DBA">
        <w:rPr>
          <w:lang w:val="sq-AL"/>
        </w:rPr>
        <w:t xml:space="preserve"> për menaxhimin e tij. Konkretisht, AZHBR-ja është përgjegjëse për: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2.4.1</w:t>
      </w:r>
      <w:r w:rsidRPr="00D45DBA">
        <w:rPr>
          <w:lang w:val="sq-AL"/>
        </w:rPr>
        <w:t xml:space="preserve"> Informimin e </w:t>
      </w:r>
      <w:proofErr w:type="spellStart"/>
      <w:r w:rsidRPr="00D45DBA">
        <w:rPr>
          <w:lang w:val="sq-AL"/>
        </w:rPr>
        <w:t>aplikuesve</w:t>
      </w:r>
      <w:proofErr w:type="spellEnd"/>
      <w:r w:rsidRPr="00D45DBA">
        <w:rPr>
          <w:lang w:val="sq-AL"/>
        </w:rPr>
        <w:t xml:space="preserve"> të mundshëm, mbi kërkesat dhe procedurat për përfitimin e financimit;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2.4.2</w:t>
      </w:r>
      <w:r w:rsidRPr="00D45DBA">
        <w:rPr>
          <w:lang w:val="sq-AL"/>
        </w:rPr>
        <w:t xml:space="preserve"> Pranimin e aplikimeve dhe dokumenteve nga </w:t>
      </w:r>
      <w:proofErr w:type="spellStart"/>
      <w:r w:rsidRPr="00D45DBA">
        <w:rPr>
          <w:lang w:val="sq-AL"/>
        </w:rPr>
        <w:t>aplikantët</w:t>
      </w:r>
      <w:proofErr w:type="spellEnd"/>
      <w:r w:rsidRPr="00D45DBA">
        <w:rPr>
          <w:lang w:val="sq-AL"/>
        </w:rPr>
        <w:t>, si dhe dorëzimin e tyre pranë Komisionit për vlerësim;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2.4.3</w:t>
      </w:r>
      <w:r w:rsidRPr="00D45DBA">
        <w:rPr>
          <w:lang w:val="sq-AL"/>
        </w:rPr>
        <w:t xml:space="preserve"> Kryerjen e shërbimit të sekretariatit të Komisionit të Vlerësimit dhe Miratimit, përfshirë përgatitjen, regjistrimin dhe administrimin e gjithë dokumentacionit zyrtar të veprimtarisë së këtij Komisioni;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2.4.4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Komunikimin zyrtar me vlerësuesit e pasurive, ekspertëve të licencuar dhe të miratuar, për përgatitjen e raporteve të vlerësimit për pasuritë që ofrohen si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kur subjekti shpallet fitues;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2.4.5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Llogaritjen e vlerës së këstit dhe intervalet e pagesës se tij bazuar në kohëzgjatjen e huas, duke konsideruar 1 (një) vit periudhë “pa paguar ” nga data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disbursimit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fundit;</w:t>
      </w:r>
    </w:p>
    <w:p w:rsidR="003662EA" w:rsidRPr="00D45DBA" w:rsidRDefault="003662EA" w:rsidP="003662EA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2.4.6</w:t>
      </w:r>
      <w:r w:rsidRPr="00D45DBA">
        <w:rPr>
          <w:rStyle w:val="ParagrafiCharChar"/>
          <w:szCs w:val="24"/>
          <w:lang w:val="sq-AL"/>
        </w:rPr>
        <w:t xml:space="preserve"> Kontrollin e pagesës se kësteve nga çdo subjekt përfitues dhe llogaritjen e kamatë vonesave përkatëse;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2.4.7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Hartimin e nënshkrimin e kontratës së </w:t>
      </w:r>
      <w:r>
        <w:rPr>
          <w:rFonts w:ascii="Garamond" w:eastAsia="MS Mincho" w:hAnsi="Garamond" w:cs="CG Times"/>
          <w:sz w:val="24"/>
          <w:lang w:val="sq-AL"/>
        </w:rPr>
        <w:t>h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uas dhe kontratës së hipotekës/pengut midis AZHBR-së dhe subjekteve përfituese, në përputhje me kushtet e miratuara nga Komisioni. Kontrata firmoset nga drejtori i AZHBR-së dhe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i shpallur fitues;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2.4.8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Përgatitjen e dokumentacionit për vendosjen e barrës siguruese/hipotekës mbi pasurinë/pasuritë që do të shërbejnë si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, dhe ndjek realizimin e këtij procesi me zyrat e regjistrimit të pasurive të paluajtshme (ZRPP) dhe Regjistrin e Barrës Siguruese (RBS);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2.4.9 Njoftimin e subjekteve përfituese për kostot e aplikimit deri në livrimin e fondit, të cilat mbulohen nga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(të gjitha detyrimet që lindin nga vlerësimi i pasurisë/pasurive,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noterizimi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i kontratave, si dhe nga akti i bllokimit në hipotekë dhe regjistri i barrës siguruese);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2.4.10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Kryerjen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disbursimit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huas në përputhje me kushtet e kontratës së huas;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2.4.11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Administrimin e fondit, mbajtjen e llogarive dhe të dhënave për çdo projekt të financuar, dhe përgatitjen e raporteve të nevojshme;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2.4.12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Ndjekjen e ecurisë së projekteve dhe pagesave të kësteve sipas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skeduleve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miratuara, dhe mbajtjen e dokumentacionit në lidhje me pagesat e kësteve;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2.4.13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Monitorimin e zbatimit të projekteve sipas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biznesplanit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paraqitur;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2.4.14 Ndjekjen e të gjitha procedurave gjyqësore dhe administrative për ekzekutimin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kolateraleve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për subjektet që nuk kryejnë pagesën e huas sipas kushteve të kontratës.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3. KRITERET E PËRFITIMIT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Përfitojnë subjektet fizike/juridike që përmbushin kriteret e mëposhtme: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Ushtrojnë aktivitet në një nga fushat përcaktuara, si dhe paraqesin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projektinvestimin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në  përputhje me përcaktimet e vendimin të Këshillit të Ministrave me nr. 374, datë 11.06.2014 “Për miratimin e mënyrës së përdorimit të fondeve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kundërparti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, të mbledhura nga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grantet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japoneze për sektorin e bujqësisë”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Ofrojnë garanci pasurore (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) për garantimin e kredisë. Si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koletarale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pranueshme konsiderohen pasuri të paluajtshme: tokë truall, ndërtesa, linjat prodhimi/përpunimi, garanci </w:t>
      </w:r>
      <w:r w:rsidRPr="00D45DBA">
        <w:rPr>
          <w:rFonts w:ascii="Garamond" w:eastAsia="MS Mincho" w:hAnsi="Garamond" w:cs="CG Times"/>
          <w:sz w:val="24"/>
          <w:lang w:val="sq-AL"/>
        </w:rPr>
        <w:lastRenderedPageBreak/>
        <w:t>bankare me kohëzgjatje të njëjtë me atë të huas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3.3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Vlera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ofruar nuk duhet të jetë më pak se 100 % (njëqind për qind) e vlerës së financuar nga AZHBR-ja.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3.4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Nuk kanë detyrime të pashlyera  ndaj organeve tatimore, ish-projekti 2-KR/AZHBR, si dhe institucioneve të tjera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huadhënëse</w:t>
      </w:r>
      <w:proofErr w:type="spellEnd"/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3.5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Garanton, nëpërmjet një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vetëdeklarimi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, se huaja e marrë nuk  do të ndryshojë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destinacionin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e përfitimit.(formulari nr. 2).</w:t>
      </w:r>
    </w:p>
    <w:p w:rsidR="003662E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3662E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4. FUSHAT E INVESTIMIT DHE SHKALLA E FINANCIMIT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Në varësi të llojit të investimit, shkalla e financimit për subjektet përfituese do të jetë si më poshtë: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4.1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Ndërtim/rikonstruksion të stallave, pularive apo modernizim të komplekseve blegtorale dhe instalimin e impianteve të tyre ndihmëse deri në 70% të vlerës së përllogaritur të investimit, por jo më shumë se 25.000.000 (njëzet e pesë milionë) lekë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4.2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Ndërtim/rikonstruksion (përfshirë edhe ser</w:t>
      </w:r>
      <w:r>
        <w:rPr>
          <w:rFonts w:ascii="Garamond" w:eastAsia="MS Mincho" w:hAnsi="Garamond" w:cs="CG Times"/>
          <w:sz w:val="24"/>
          <w:lang w:val="sq-AL"/>
        </w:rPr>
        <w:t>r</w:t>
      </w:r>
      <w:r w:rsidRPr="00D45DBA">
        <w:rPr>
          <w:rFonts w:ascii="Garamond" w:eastAsia="MS Mincho" w:hAnsi="Garamond" w:cs="CG Times"/>
          <w:sz w:val="24"/>
          <w:lang w:val="sq-AL"/>
        </w:rPr>
        <w:t>a), blerje dhe instalim të linjave për ruajtje, përpunim dhe ambalazhim të produkteve bujqësore deri në 80% të vlerës së përllogaritur të investimit, por jo më shumë se 25.000.000(njëzet e pesë milionë) lekë.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. APLIKIMI PËR FINANCIM 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>4.1 Aplikimet për mbështetje financiare paraqiten në AZHBR, në Drejtorinë Qendrore, Tiranë brenda 15-</w:t>
      </w:r>
      <w:proofErr w:type="spellStart"/>
      <w:r w:rsidRPr="00D45DBA">
        <w:rPr>
          <w:lang w:val="sq-AL"/>
        </w:rPr>
        <w:t>ditëshit</w:t>
      </w:r>
      <w:proofErr w:type="spellEnd"/>
      <w:r w:rsidRPr="00D45DBA">
        <w:rPr>
          <w:lang w:val="sq-AL"/>
        </w:rPr>
        <w:t xml:space="preserve"> të parë të muajit korrik. Kërkesa për financim, (formulari nr. 1) dhe dokumentet e aplikimit dorëzohen në zyrën e protokollit të AZHBR-së. Zyra e protokollit pajis subjektin </w:t>
      </w:r>
      <w:proofErr w:type="spellStart"/>
      <w:r w:rsidRPr="00D45DBA">
        <w:rPr>
          <w:lang w:val="sq-AL"/>
        </w:rPr>
        <w:t>aplikues</w:t>
      </w:r>
      <w:proofErr w:type="spellEnd"/>
      <w:r w:rsidRPr="00D45DBA">
        <w:rPr>
          <w:lang w:val="sq-AL"/>
        </w:rPr>
        <w:t xml:space="preserve"> me një kopje të protokolluar të formularit të aplikimit (formulari nr. 3) dhe listën për dokumentacionin e dorëzuar. Zyra e protokollit i dorëzon Sekretariatit dosjet e </w:t>
      </w:r>
      <w:proofErr w:type="spellStart"/>
      <w:r w:rsidRPr="00D45DBA">
        <w:rPr>
          <w:lang w:val="sq-AL"/>
        </w:rPr>
        <w:t>aplikantëve</w:t>
      </w:r>
      <w:proofErr w:type="spellEnd"/>
      <w:r w:rsidRPr="00D45DBA">
        <w:rPr>
          <w:lang w:val="sq-AL"/>
        </w:rPr>
        <w:t xml:space="preserve"> Sekretariatit.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>4.2 Sekretariati, i ngritur me urdhër të drejtorit të AZHBR-së, brenda 5 (pesë) ditëve nga afati përfundimtar i aplikimit, përcjell dosjet tek Komisioni i Vlerësimit dhe i Miratimit. Pjesë e dokumentacionit është edhe lista emërore e subjekteve, aplikimet e të cilëve nuk janë të shoqëruara me dokumentacionin e kërkuar, duke specifikuar mangësitë e konstatuara (formulari nr. 4).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>4.3 Procesi i vlerësimit të projekteve nga Komisioni i Vlerësimit dhe Miratimit, përfundon brenda 15 (pesëmbëdhjetë) ditëve nga data e dorëzimit të dosjeve nga sekretariati. Komisioni mund të kërkojë informacion dhe dokumente shtesë nëse e shikon të nevojshme, me qëllim shqyrtimin sa më të drejtë të aplikimit. Paraqitja e dokumentacionit shtesë bëhet me qëllim që të rikonfirmohet dokumentacioni ekzistues brenda 5 ditëve pune, ky dokumentacion  nuk duhet të ndryshojë statusin aktual të dosjes.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 xml:space="preserve">4.4 Pas përfundimit të procesit të vlerësimit, komisioni i përcjell AZHBR-së, listën e fituesve, procesverbalin e shqyrtimit dhe të vlerësimit të dokumentacionit dhe listën e subjekteve të kualifikuara dhe të </w:t>
      </w:r>
      <w:proofErr w:type="spellStart"/>
      <w:r w:rsidRPr="00D45DBA">
        <w:rPr>
          <w:lang w:val="sq-AL"/>
        </w:rPr>
        <w:t>skualifikuara</w:t>
      </w:r>
      <w:proofErr w:type="spellEnd"/>
      <w:r w:rsidRPr="00D45DBA">
        <w:rPr>
          <w:lang w:val="sq-AL"/>
        </w:rPr>
        <w:t>(formulari nr. 5 dhe formulari nr. 6).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 xml:space="preserve">4.5 Ankesat e </w:t>
      </w:r>
      <w:proofErr w:type="spellStart"/>
      <w:r w:rsidRPr="00D45DBA">
        <w:rPr>
          <w:lang w:val="sq-AL"/>
        </w:rPr>
        <w:t>aplikantëve</w:t>
      </w:r>
      <w:proofErr w:type="spellEnd"/>
      <w:r w:rsidRPr="00D45DBA">
        <w:rPr>
          <w:lang w:val="sq-AL"/>
        </w:rPr>
        <w:t xml:space="preserve"> paraqiten pranë AZHBR-së brenda 10 ditëve pas shpalljes së listës së fituesve. Drejtori i AZHBR-së pas marrjes së ankimeve, krijon një komision të ndryshëm nga i pari,  brenda strukturave të AZHBR-së i cili shqyrton ankesën-kërkesën. Komisioni përbëhet nga 3 zyrtarë  të AZHBR–së, ndjek dhe zbaton detyrimet sipas udhëzimit, administron  proces-verbalin mbi procedurën e ndjekur të ankimit. Në përfundim njofton “Titullarin” mbi vendimin e marrë.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5. DOKUMENTACIONI I KËRKUAR: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5.1 Dokumentacioni ligjor: 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Person juridik/fizik/shoqëria e bashkëpu</w:t>
      </w:r>
      <w:r>
        <w:rPr>
          <w:rFonts w:ascii="Garamond" w:eastAsia="MS Mincho" w:hAnsi="Garamond" w:cs="CG Times"/>
          <w:sz w:val="24"/>
          <w:lang w:val="sq-AL"/>
        </w:rPr>
        <w:t>ni</w:t>
      </w:r>
      <w:r w:rsidRPr="00D45DBA">
        <w:rPr>
          <w:rFonts w:ascii="Garamond" w:eastAsia="MS Mincho" w:hAnsi="Garamond" w:cs="CG Times"/>
          <w:sz w:val="24"/>
          <w:lang w:val="sq-AL"/>
        </w:rPr>
        <w:t>mit bujqësor (SHBB)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5.1.1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Fotokopje e kartës së identitetit  ose e pasaportës së personit fizik ose përfaqësuesit ligjor të personit juridik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5.1.2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Ekstraktin historik të personit fizik/personit juridik, SHBB të lëshuar nga QKR-ja jo më parë se 30 ditë nga dita e aplikimit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lastRenderedPageBreak/>
        <w:t>5.1.3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Kopje të statutit të shoqërisë, nëse subjekti është person juridik/SHBB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5.1.4 Vendimi i asamblesë së ortakëve për marrjen e huas pranë AZHBR, nëse subjekti është person juridik ose SHBB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5.1.5 Dëshmi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penaliteti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për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apo përfaqësuesin e personit juridik/fizik apo të përfaqësuesin e SHBB</w:t>
      </w:r>
      <w:r>
        <w:rPr>
          <w:rFonts w:ascii="Garamond" w:eastAsia="MS Mincho" w:hAnsi="Garamond" w:cs="CG Times"/>
          <w:sz w:val="24"/>
          <w:lang w:val="sq-AL"/>
        </w:rPr>
        <w:t>-së;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5.1.6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Të gjitha dokumentacionet dhe lejet përkatëse (leje ndërtimi, leja e QKL,etj.)  në varësi të llojit të investimit, sipas legjislacionit në fuqi.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Dokumentacioni financiar lidhur me planin e investimit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5.2.1 Pasqyrat financiare të 3(tre) viteve paraardhëse, kopje të njehsuar nga organet tatimore  (për bizneset që kanë ushtruar aktivitet gjatë kësaj periudhe). Për aktivitetet që janë start-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up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, ( për herë të parë) vërtetim nga organet tatimore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5.2.2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Vërtetim nga zyra e tatimeve që nuk ka detyrime tatimore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5.2.3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Plani i biznesit i detajuar me pasqyrat e </w:t>
      </w:r>
      <w:proofErr w:type="spellStart"/>
      <w:r w:rsidRPr="00D45DBA">
        <w:rPr>
          <w:rFonts w:ascii="Garamond" w:eastAsia="MS Mincho" w:hAnsi="Garamond" w:cs="CG Times"/>
          <w:i/>
          <w:sz w:val="24"/>
          <w:lang w:val="sq-AL"/>
        </w:rPr>
        <w:t>cash</w:t>
      </w:r>
      <w:proofErr w:type="spellEnd"/>
      <w:r w:rsidRPr="00D45DBA">
        <w:rPr>
          <w:rFonts w:ascii="Garamond" w:eastAsia="MS Mincho" w:hAnsi="Garamond" w:cs="CG Times"/>
          <w:i/>
          <w:sz w:val="24"/>
          <w:lang w:val="sq-AL"/>
        </w:rPr>
        <w:t xml:space="preserve"> </w:t>
      </w:r>
      <w:proofErr w:type="spellStart"/>
      <w:r w:rsidRPr="00D45DBA">
        <w:rPr>
          <w:rFonts w:ascii="Garamond" w:eastAsia="MS Mincho" w:hAnsi="Garamond" w:cs="CG Times"/>
          <w:i/>
          <w:sz w:val="24"/>
          <w:lang w:val="sq-AL"/>
        </w:rPr>
        <w:t>flow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,  i firmosur për të paktën 3(tre) vjet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5.2.4 </w:t>
      </w:r>
      <w:r w:rsidRPr="00D45DBA">
        <w:rPr>
          <w:rFonts w:ascii="Garamond" w:eastAsia="MS Mincho" w:hAnsi="Garamond" w:cs="CG Times"/>
          <w:sz w:val="24"/>
          <w:lang w:val="sq-AL"/>
        </w:rPr>
        <w:t>Oferta/ofertë për blerjen e pajisje-makinerive etj. marrëveshje paraprake për blerje të pajisje-makinerive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5.2.5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Preventivë punimesh ose kontrata për  ndërtim-rikonstruksion dhe specifikimet përkatëse në varësi të llojit të investimit, si dhe licencën e inxhinierit  të ndërtimit/zbatimit  për punimet e ndërtimit/</w:t>
      </w:r>
      <w:r>
        <w:rPr>
          <w:rFonts w:ascii="Garamond" w:eastAsia="MS Mincho" w:hAnsi="Garamond" w:cs="CG Times"/>
          <w:sz w:val="24"/>
          <w:lang w:val="sq-AL"/>
        </w:rPr>
        <w:t>rikonstruksion;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5.2.6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Vërtetim për numrin e llogarisë bankare dhe IBAN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Default="003662EA" w:rsidP="003662EA">
      <w:pPr>
        <w:pStyle w:val="Paragrafi02"/>
        <w:rPr>
          <w:lang w:val="sq-AL"/>
        </w:rPr>
      </w:pP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 xml:space="preserve">5.2.7 Dokumenti mbi statusin e </w:t>
      </w:r>
      <w:proofErr w:type="spellStart"/>
      <w:r w:rsidRPr="00D45DBA">
        <w:rPr>
          <w:lang w:val="sq-AL"/>
        </w:rPr>
        <w:t>aplikantit</w:t>
      </w:r>
      <w:proofErr w:type="spellEnd"/>
      <w:r w:rsidRPr="00D45DBA">
        <w:rPr>
          <w:lang w:val="sq-AL"/>
        </w:rPr>
        <w:t>/personit fizik/juridik/SHBB nga Regjistri i Kredisë në Bankën e Shqipërisë (në emër të personit fizik dhe në emër të personit juridik apo përfaqësuesit të SHBB)</w:t>
      </w:r>
      <w:r>
        <w:rPr>
          <w:lang w:val="sq-AL"/>
        </w:rPr>
        <w:t>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5.3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Dokumentacioni në lidhje me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e ofruar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5.3.1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Certifikata e pronësisë /me kopjen origjinale të kartelës së pronës, me hartën treguese (për të dyja rastet të lëshuara sipas legjislacionit në fuqi)  ose fotokopje të noterizuar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5.3.2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Vlerësimi i pasurisë që do të lihet si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 nga eksperti i licencuar dhe të miratuar, duhet të mbulojë  vlerën e kredisë në masën 100%  në momentin e likuidimit.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6. Kriteret e vlerësimit/pikëzimit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6.1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Biznesplani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i detajuar për periudhën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për të cilën merr</w:t>
      </w:r>
      <w:r>
        <w:rPr>
          <w:rFonts w:ascii="Garamond" w:eastAsia="MS Mincho" w:hAnsi="Garamond" w:cs="CG Times"/>
          <w:sz w:val="24"/>
          <w:lang w:val="sq-AL"/>
        </w:rPr>
        <w:t xml:space="preserve">et kredia               </w:t>
      </w:r>
      <w:r>
        <w:rPr>
          <w:rFonts w:ascii="Garamond" w:eastAsia="MS Mincho" w:hAnsi="Garamond" w:cs="CG Times"/>
          <w:sz w:val="24"/>
          <w:lang w:val="sq-AL"/>
        </w:rPr>
        <w:tab/>
      </w:r>
      <w:r w:rsidRPr="00D45DBA">
        <w:rPr>
          <w:rFonts w:ascii="Garamond" w:eastAsia="MS Mincho" w:hAnsi="Garamond" w:cs="CG Times"/>
          <w:sz w:val="24"/>
          <w:lang w:val="sq-AL"/>
        </w:rPr>
        <w:t>40 pikë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6.2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Vlera totale e investimit sipas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aplikimit me</w:t>
      </w:r>
      <w:r>
        <w:rPr>
          <w:rFonts w:ascii="Garamond" w:eastAsia="MS Mincho" w:hAnsi="Garamond" w:cs="CG Times"/>
          <w:sz w:val="24"/>
          <w:lang w:val="sq-AL"/>
        </w:rPr>
        <w:t xml:space="preserve"> vlerën më të madhe            </w:t>
      </w:r>
      <w:r w:rsidRPr="00D45DBA">
        <w:rPr>
          <w:rFonts w:ascii="Garamond" w:eastAsia="MS Mincho" w:hAnsi="Garamond" w:cs="CG Times"/>
          <w:sz w:val="24"/>
          <w:lang w:val="sq-AL"/>
        </w:rPr>
        <w:t>20 pikë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Statusi </w:t>
      </w:r>
      <w:r>
        <w:rPr>
          <w:rFonts w:ascii="Garamond" w:eastAsia="MS Mincho" w:hAnsi="Garamond" w:cs="CG Times"/>
          <w:sz w:val="24"/>
          <w:lang w:val="sq-AL"/>
        </w:rPr>
        <w:t xml:space="preserve">i </w:t>
      </w:r>
      <w:proofErr w:type="spellStart"/>
      <w:r>
        <w:rPr>
          <w:rFonts w:ascii="Garamond" w:eastAsia="MS Mincho" w:hAnsi="Garamond" w:cs="CG Times"/>
          <w:sz w:val="24"/>
          <w:lang w:val="sq-AL"/>
        </w:rPr>
        <w:t>aplikantit</w:t>
      </w:r>
      <w:proofErr w:type="spellEnd"/>
      <w:r>
        <w:rPr>
          <w:rFonts w:ascii="Garamond" w:eastAsia="MS Mincho" w:hAnsi="Garamond" w:cs="CG Times"/>
          <w:sz w:val="24"/>
          <w:lang w:val="sq-AL"/>
        </w:rPr>
        <w:t>, pikët maksimale:</w:t>
      </w:r>
      <w:r>
        <w:rPr>
          <w:rFonts w:ascii="Garamond" w:eastAsia="MS Mincho" w:hAnsi="Garamond" w:cs="CG Times"/>
          <w:sz w:val="24"/>
          <w:lang w:val="sq-AL"/>
        </w:rPr>
        <w:tab/>
      </w:r>
      <w:r w:rsidRPr="00D45DBA">
        <w:rPr>
          <w:rFonts w:ascii="Garamond" w:eastAsia="MS Mincho" w:hAnsi="Garamond" w:cs="CG Times"/>
          <w:sz w:val="24"/>
          <w:lang w:val="sq-AL"/>
        </w:rPr>
        <w:t>15 pikë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i/>
          <w:sz w:val="24"/>
          <w:lang w:val="sq-AL"/>
        </w:rPr>
        <w:t>i</w:t>
      </w:r>
      <w:r w:rsidRPr="00F23920">
        <w:rPr>
          <w:rFonts w:ascii="Garamond" w:eastAsia="MS Mincho" w:hAnsi="Garamond" w:cs="CG Times"/>
          <w:i/>
          <w:spacing w:val="-4"/>
          <w:sz w:val="24"/>
          <w:lang w:val="sq-AL"/>
        </w:rPr>
        <w:t>) Shoqëritë e bashkëpunimit bujqësor (SHBB</w:t>
      </w:r>
      <w:r w:rsidRPr="00D45DBA">
        <w:rPr>
          <w:rFonts w:ascii="Garamond" w:eastAsia="MS Mincho" w:hAnsi="Garamond" w:cs="CG Times"/>
          <w:i/>
          <w:sz w:val="24"/>
          <w:lang w:val="sq-AL"/>
        </w:rPr>
        <w:t>)</w:t>
      </w:r>
      <w:r w:rsidRPr="00D45DBA">
        <w:rPr>
          <w:rFonts w:ascii="Garamond" w:eastAsia="MS Mincho" w:hAnsi="Garamond" w:cs="CG Times"/>
          <w:sz w:val="24"/>
          <w:lang w:val="sq-AL"/>
        </w:rPr>
        <w:t>15 pikë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i/>
          <w:sz w:val="24"/>
          <w:lang w:val="sq-AL"/>
        </w:rPr>
      </w:pPr>
      <w:r w:rsidRPr="00D45DBA">
        <w:rPr>
          <w:rFonts w:ascii="Garamond" w:eastAsia="MS Mincho" w:hAnsi="Garamond" w:cs="CG Times"/>
          <w:i/>
          <w:sz w:val="24"/>
          <w:lang w:val="sq-AL"/>
        </w:rPr>
        <w:t xml:space="preserve">ii) Persona fizikë ose juridikë (prodhues,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i/>
          <w:sz w:val="24"/>
          <w:lang w:val="sq-AL"/>
        </w:rPr>
        <w:t xml:space="preserve">tregtues apo fermerë) </w:t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 w:rsidRPr="00D45DBA">
        <w:rPr>
          <w:rFonts w:ascii="Garamond" w:eastAsia="MS Mincho" w:hAnsi="Garamond" w:cs="CG Times"/>
          <w:sz w:val="24"/>
          <w:lang w:val="sq-AL"/>
        </w:rPr>
        <w:t>10 pikë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a) Investime në linja sa më të plota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(cikël të mbyllur)  </w:t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  <w:t>10 pikë;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b) Eksperienca të mëparshme në këtë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fushë </w:t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 w:rsidRPr="00D45DBA">
        <w:rPr>
          <w:rFonts w:ascii="Garamond" w:eastAsia="MS Mincho" w:hAnsi="Garamond" w:cs="CG Times"/>
          <w:sz w:val="24"/>
          <w:lang w:val="sq-AL"/>
        </w:rPr>
        <w:t>10 pikë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c) Fermer nën moshën 40 vjeç ose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gjinia femër        </w:t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>
        <w:rPr>
          <w:rFonts w:ascii="Garamond" w:eastAsia="MS Mincho" w:hAnsi="Garamond" w:cs="CG Times"/>
          <w:sz w:val="24"/>
          <w:lang w:val="sq-AL"/>
        </w:rPr>
        <w:tab/>
      </w:r>
      <w:r w:rsidRPr="00D45DBA">
        <w:rPr>
          <w:rFonts w:ascii="Garamond" w:eastAsia="MS Mincho" w:hAnsi="Garamond" w:cs="CG Times"/>
          <w:sz w:val="24"/>
          <w:lang w:val="sq-AL"/>
        </w:rPr>
        <w:t>5 pikë</w:t>
      </w:r>
      <w:r>
        <w:rPr>
          <w:rFonts w:ascii="Garamond" w:eastAsia="MS Mincho" w:hAnsi="Garamond" w:cs="CG Times"/>
          <w:sz w:val="24"/>
          <w:lang w:val="sq-AL"/>
        </w:rPr>
        <w:t>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Pikët e shprehura janë pikë maksimale dhe për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aplikantët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e tjerë vlerësohet proporcionalisht.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Në rastet kur aplikimi rezultojnë me pikë të barabarta, aplikohet parimi “Kush aplikon i pari, renditet i pari”.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6. DISBURSIMI I HUAS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Pas shpalljes nga Komisioni i Vlerësimit dhe Miratimit të listës së përfituesve, AZHBR-ja  fillon </w:t>
      </w:r>
      <w:r w:rsidRPr="00D45DBA">
        <w:rPr>
          <w:rFonts w:ascii="Garamond" w:eastAsia="MS Mincho" w:hAnsi="Garamond" w:cs="CG Times"/>
          <w:sz w:val="24"/>
          <w:lang w:val="sq-AL"/>
        </w:rPr>
        <w:lastRenderedPageBreak/>
        <w:t xml:space="preserve">procedurën e nënshkrimit të kontratave të huas/hipotekimit dhe të livrimit të huave në përputhje me kushtet e miratuara.  Përpara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disbursimit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çdo shume, AZHBR-ja kontrollon dhe sigurohet që në dosjen e përfituesit ndodhen: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6.1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Kontratat, t</w:t>
      </w:r>
      <w:r>
        <w:rPr>
          <w:rFonts w:ascii="Garamond" w:eastAsia="MS Mincho" w:hAnsi="Garamond" w:cs="CG Times"/>
          <w:sz w:val="24"/>
          <w:lang w:val="sq-AL"/>
        </w:rPr>
        <w:t>ë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cilat  janë nënshkruar dhe noterizuar.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6.2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Subjekti ka hipotekuar në favor te AZHBR- së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dhe ka paraqitur certifikatën e hipotekimit të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kolaralit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6.3 Subjekti ka siguruar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(ndërtesa, linja etj.) nga rreziqet pranë një kompanie sigurimi.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6.4 Në dosjen e  përfituesit ndodhen të gjitha lejet e nevojshme për kryerjen e investimit dhe ushtrimin e aktivitetit.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6.5</w:t>
      </w:r>
      <w:r w:rsidRPr="00D45DBA">
        <w:rPr>
          <w:lang w:val="sq-AL"/>
        </w:rPr>
        <w:t xml:space="preserve"> Subjekti ka dorëzuar numrin e llogarisë bankare ku do të depozitohet huaja.</w:t>
      </w:r>
    </w:p>
    <w:p w:rsidR="003662EA" w:rsidRPr="00D45DBA" w:rsidRDefault="003662EA" w:rsidP="003662EA">
      <w:pPr>
        <w:pStyle w:val="Paragrafi02"/>
        <w:rPr>
          <w:lang w:val="sq-AL"/>
        </w:rPr>
      </w:pPr>
      <w:r w:rsidRPr="00D45DBA">
        <w:rPr>
          <w:lang w:val="sq-AL"/>
        </w:rPr>
        <w:t xml:space="preserve">6.6 Përpara </w:t>
      </w:r>
      <w:proofErr w:type="spellStart"/>
      <w:r w:rsidRPr="00D45DBA">
        <w:rPr>
          <w:lang w:val="sq-AL"/>
        </w:rPr>
        <w:t>disbursimit</w:t>
      </w:r>
      <w:proofErr w:type="spellEnd"/>
      <w:r w:rsidRPr="00D45DBA">
        <w:rPr>
          <w:lang w:val="sq-AL"/>
        </w:rPr>
        <w:t xml:space="preserve"> AZHBR-ja monitoron investimin/blerjen e makineri-pajisjeve të cilat detyrimisht  duhet të jenë të realizuar në raport me masën e financimit të huas, si dhe  investimit  të kryer të vetë përfituesit.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6.7</w:t>
      </w:r>
      <w:r w:rsidRPr="00D45DBA">
        <w:rPr>
          <w:lang w:val="sq-AL"/>
        </w:rPr>
        <w:t xml:space="preserve"> </w:t>
      </w:r>
      <w:proofErr w:type="spellStart"/>
      <w:r w:rsidRPr="00D45DBA">
        <w:rPr>
          <w:lang w:val="sq-AL"/>
        </w:rPr>
        <w:t>Disbursimi</w:t>
      </w:r>
      <w:proofErr w:type="spellEnd"/>
      <w:r w:rsidRPr="00D45DBA">
        <w:rPr>
          <w:lang w:val="sq-AL"/>
        </w:rPr>
        <w:t xml:space="preserve"> i kredisë, për projektet që përfshijnë punimet e ndërtimit/rikonstruksion, </w:t>
      </w:r>
      <w:proofErr w:type="spellStart"/>
      <w:r w:rsidRPr="00D45DBA">
        <w:rPr>
          <w:lang w:val="sq-AL"/>
        </w:rPr>
        <w:t>disbursimi</w:t>
      </w:r>
      <w:proofErr w:type="spellEnd"/>
      <w:r w:rsidRPr="00D45DBA">
        <w:rPr>
          <w:lang w:val="sq-AL"/>
        </w:rPr>
        <w:t xml:space="preserve"> do të bëhet me 2 këste, në varësi të investimit,  për blerje/pajisje-makineri </w:t>
      </w:r>
      <w:proofErr w:type="spellStart"/>
      <w:r w:rsidRPr="00D45DBA">
        <w:rPr>
          <w:lang w:val="sq-AL"/>
        </w:rPr>
        <w:t>disbursimi</w:t>
      </w:r>
      <w:proofErr w:type="spellEnd"/>
      <w:r w:rsidRPr="00D45DBA">
        <w:rPr>
          <w:lang w:val="sq-AL"/>
        </w:rPr>
        <w:t xml:space="preserve"> do të bëhet me paraqitjen e faturave me TVSH, pas kontrollit të ushtruar në vend nga struktura përkatëse e AZHBR-së.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6.8 Vendosja e barrës së dytë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hipotekore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do të pranohet nga komisioni i vlerësimit dhe i miratimit, vetëm në ato raste kur vlera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që do të lihet si hipotekë sipas vlerësimit të ekspertit është jo më pak se 150% e vlerës totale të huave  (të mbetur) për të cilat është vendosur prona si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,  duke përfshirë edhe huan e fondit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kundërparti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6.9 Për vendosjen e barrës së dytë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hipotekore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duhet të jepet më parë pëlqimi i hipotekuesit të radhës së parë.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6.10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Në qoftë se projekti përfundon para afatit të kontraktuar, me kërkesën zyrtare të subjektit dhe verifikimit në terren bëhet edhe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disbursimi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i plotë i kredisë.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7. TË TJERA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7.1</w:t>
      </w:r>
      <w:r w:rsidRPr="00D45DBA">
        <w:rPr>
          <w:lang w:val="sq-AL"/>
        </w:rPr>
        <w:t xml:space="preserve"> Subjekti përfitues është i detyruar të raportojë dhe të japë informacion në AZHBR, për të dhënat që kërkohen prej tij dhe mban përgjegjësi për saktësinë e tyre.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7.2</w:t>
      </w:r>
      <w:r w:rsidRPr="00D45DBA">
        <w:rPr>
          <w:lang w:val="sq-AL"/>
        </w:rPr>
        <w:t xml:space="preserve"> Shlyerja e kredisë të jetë me këste me një periudhë “Pa paguar” prej 1 (një) vit, që fillon nga </w:t>
      </w:r>
      <w:proofErr w:type="spellStart"/>
      <w:r w:rsidRPr="00D45DBA">
        <w:rPr>
          <w:lang w:val="sq-AL"/>
        </w:rPr>
        <w:t>disbursimi</w:t>
      </w:r>
      <w:proofErr w:type="spellEnd"/>
      <w:r w:rsidRPr="00D45DBA">
        <w:rPr>
          <w:lang w:val="sq-AL"/>
        </w:rPr>
        <w:t xml:space="preserve"> i fundit. Këstet do të jenë 3-mujore(tremujore) dhe kthimi i kredisë të arkëtohet në llogarinë rrjedhëse të përcaktuar nga AZHBR-ja.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7.3</w:t>
      </w:r>
      <w:r w:rsidRPr="00D45DBA">
        <w:rPr>
          <w:lang w:val="sq-AL"/>
        </w:rPr>
        <w:t xml:space="preserve"> Për rastet e mospagimit në kohë të këstit ose të një pjese të këstit, subjekti përfitues </w:t>
      </w:r>
      <w:proofErr w:type="spellStart"/>
      <w:r w:rsidRPr="00D45DBA">
        <w:rPr>
          <w:lang w:val="sq-AL"/>
        </w:rPr>
        <w:t>penalizohet</w:t>
      </w:r>
      <w:proofErr w:type="spellEnd"/>
      <w:r w:rsidRPr="00D45DBA">
        <w:rPr>
          <w:lang w:val="sq-AL"/>
        </w:rPr>
        <w:t xml:space="preserve"> me një kamatëvonesë mbi vlerën e shumës së papaguar të këstit, e llogaritur kjo për çdo ditë vonesë. Kamatëvonesa do të llogaritet nga dita që është me  vonesë në pagesë. Norma vjetore e interesit për llogaritjen e shumës së kamatë vonesës do të jetë 10%.</w:t>
      </w:r>
    </w:p>
    <w:p w:rsidR="003662EA" w:rsidRPr="00D45DBA" w:rsidRDefault="003662EA" w:rsidP="003662EA">
      <w:pPr>
        <w:pStyle w:val="Paragrafi02"/>
        <w:rPr>
          <w:lang w:val="sq-AL"/>
        </w:rPr>
      </w:pPr>
      <w:r>
        <w:rPr>
          <w:lang w:val="sq-AL"/>
        </w:rPr>
        <w:t>7.4</w:t>
      </w:r>
      <w:r w:rsidRPr="00D45DBA">
        <w:rPr>
          <w:lang w:val="sq-AL"/>
        </w:rPr>
        <w:t xml:space="preserve"> Kur subjekti fitues nuk paguan 2 (dy) këste radhazi, të cilat janë pasqyruar në kontratë, AZHBR-së i lind e drejta t’i drejtohet organeve kompetente gjyqësore, për përmbushjen e detyrimeve </w:t>
      </w:r>
      <w:proofErr w:type="spellStart"/>
      <w:r w:rsidRPr="00D45DBA">
        <w:rPr>
          <w:lang w:val="sq-AL"/>
        </w:rPr>
        <w:t>kontraktuale</w:t>
      </w:r>
      <w:proofErr w:type="spellEnd"/>
      <w:r w:rsidRPr="00D45DBA">
        <w:rPr>
          <w:lang w:val="sq-AL"/>
        </w:rPr>
        <w:t>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7.5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Kur përfituesi nuk plotëson kushtet e kontratës së lidhur mes palëve dhe kur përfituesi devijon qëllimin e përdorimit të kredisë, AZHBR-ja ka të drejtë të bllokojë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disbursimin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e kredisë së mbetur dhe të kërkojë kthimin e shumës së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disbursuar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, kamatëvonesat e përllogaritura,  deri në atë periudhë.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7.6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Çdo kërkesë për ndryshimin e 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vendosura si hipotekë në favor të AZHBR, do të merret në shqyrtim vetëm pasi të jenë paraqitur i gjithë dokumentacioni dhe kërkesa mbi arsyet e ndryshimit,  pasi të jetë bërë vlerësimi nga ekspertët vlerësues për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e ri të ofruar në masën 100% të kredisë së marrë, si dhe të jenë shlyer këstet sipas përcaktimeve të bëra në kontratën e huas.</w:t>
      </w:r>
    </w:p>
    <w:p w:rsidR="003662EA" w:rsidRPr="00D45DBA" w:rsidRDefault="003662EA" w:rsidP="003662EA">
      <w:pPr>
        <w:rPr>
          <w:lang w:val="sq-AL"/>
        </w:rPr>
      </w:pPr>
    </w:p>
    <w:p w:rsidR="003662EA" w:rsidRPr="00D45DBA" w:rsidRDefault="003662EA" w:rsidP="003662EA">
      <w:pPr>
        <w:pStyle w:val="AutoritetiEmer"/>
        <w:rPr>
          <w:lang w:val="sq-AL"/>
        </w:rPr>
      </w:pPr>
    </w:p>
    <w:p w:rsidR="003662EA" w:rsidRPr="00D45DBA" w:rsidRDefault="003662EA" w:rsidP="003662EA">
      <w:pPr>
        <w:rPr>
          <w:lang w:val="sq-AL"/>
        </w:rPr>
      </w:pPr>
    </w:p>
    <w:p w:rsidR="003662EA" w:rsidRPr="00D45DBA" w:rsidRDefault="003662EA" w:rsidP="003662EA">
      <w:pPr>
        <w:rPr>
          <w:lang w:val="sq-AL"/>
        </w:rPr>
      </w:pPr>
    </w:p>
    <w:p w:rsidR="003662EA" w:rsidRPr="00D45DBA" w:rsidRDefault="003662EA" w:rsidP="003662EA">
      <w:pPr>
        <w:rPr>
          <w:lang w:val="sq-AL"/>
        </w:rPr>
      </w:pPr>
    </w:p>
    <w:p w:rsidR="003662EA" w:rsidRPr="00D45DBA" w:rsidRDefault="003662EA" w:rsidP="003662EA">
      <w:pPr>
        <w:rPr>
          <w:lang w:val="sq-AL"/>
        </w:rPr>
      </w:pPr>
    </w:p>
    <w:p w:rsidR="003662EA" w:rsidRPr="00D45DBA" w:rsidRDefault="003662EA" w:rsidP="003662EA">
      <w:pPr>
        <w:rPr>
          <w:lang w:val="sq-AL"/>
        </w:rPr>
      </w:pPr>
    </w:p>
    <w:p w:rsidR="003662EA" w:rsidRPr="00D45DBA" w:rsidRDefault="003662EA" w:rsidP="003662EA">
      <w:pPr>
        <w:rPr>
          <w:lang w:val="sq-AL"/>
        </w:rPr>
      </w:pPr>
    </w:p>
    <w:p w:rsidR="003662EA" w:rsidRPr="00D45DB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Default="003662EA" w:rsidP="003662EA">
      <w:pPr>
        <w:rPr>
          <w:lang w:val="sq-AL"/>
        </w:rPr>
      </w:pP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7.7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Drejtori i AZHBR ngre një komision prej 3 specialistësh i cili merr në shqyrtim  kërkesën për ndryshime në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, ai ndjek dhe zbaton  të gjitha procedurat  ligjore në përputhje me legjislacionin për vendosjen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kolateralit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ri. Të gjitha shpenzimet e lidhura me këtë proces, mbulohen nga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aplikantët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.  </w:t>
      </w:r>
    </w:p>
    <w:p w:rsidR="003662EA" w:rsidRPr="00D45DBA" w:rsidRDefault="003662EA" w:rsidP="003662E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Ky udhëzim hyn në fuqi pas botimit  në Fletoren Zyrtare.</w:t>
      </w:r>
    </w:p>
    <w:p w:rsidR="003662EA" w:rsidRPr="00D45DBA" w:rsidRDefault="003662EA" w:rsidP="003662EA">
      <w:pPr>
        <w:pStyle w:val="Hapesira7"/>
        <w:rPr>
          <w:lang w:val="sq-AL"/>
        </w:rPr>
      </w:pPr>
    </w:p>
    <w:p w:rsidR="003662EA" w:rsidRPr="00D45DBA" w:rsidRDefault="003662EA" w:rsidP="003662EA">
      <w:pPr>
        <w:pStyle w:val="Autoriteti"/>
        <w:rPr>
          <w:lang w:val="sq-AL"/>
        </w:rPr>
      </w:pPr>
      <w:r>
        <w:rPr>
          <w:lang w:val="sq-AL"/>
        </w:rPr>
        <w:t xml:space="preserve">MINISTRI I BUJQËSISË,  </w:t>
      </w:r>
      <w:r w:rsidRPr="00D45DBA">
        <w:rPr>
          <w:lang w:val="sq-AL"/>
        </w:rPr>
        <w:t xml:space="preserve">ZHVILLIMIT RURAL DHE ADMINISTRIMIT TË UJËRAVE       </w:t>
      </w:r>
    </w:p>
    <w:p w:rsidR="003662EA" w:rsidRPr="00D45DBA" w:rsidRDefault="003662EA" w:rsidP="003662EA">
      <w:pPr>
        <w:pStyle w:val="AutoritetiEmer"/>
        <w:rPr>
          <w:lang w:val="sq-AL"/>
        </w:rPr>
      </w:pPr>
      <w:proofErr w:type="spellStart"/>
      <w:r w:rsidRPr="00D45DBA">
        <w:rPr>
          <w:lang w:val="sq-AL"/>
        </w:rPr>
        <w:t>Edmond</w:t>
      </w:r>
      <w:proofErr w:type="spellEnd"/>
      <w:r w:rsidRPr="00D45DBA">
        <w:rPr>
          <w:lang w:val="sq-AL"/>
        </w:rPr>
        <w:t xml:space="preserve"> Panariti</w:t>
      </w:r>
    </w:p>
    <w:p w:rsidR="003662EA" w:rsidRPr="00D45DBA" w:rsidRDefault="003662EA" w:rsidP="003662EA">
      <w:pPr>
        <w:pStyle w:val="Hapesira7"/>
        <w:rPr>
          <w:lang w:val="sq-AL"/>
        </w:rPr>
      </w:pPr>
    </w:p>
    <w:p w:rsidR="003662EA" w:rsidRPr="00D45DBA" w:rsidRDefault="003662EA" w:rsidP="003662EA">
      <w:pPr>
        <w:pStyle w:val="Autoriteti"/>
        <w:rPr>
          <w:lang w:val="sq-AL"/>
        </w:rPr>
      </w:pPr>
      <w:r>
        <w:rPr>
          <w:lang w:val="sq-AL"/>
        </w:rPr>
        <w:t>MINISTRI I</w:t>
      </w:r>
      <w:r w:rsidRPr="00D45DBA">
        <w:rPr>
          <w:lang w:val="sq-AL"/>
        </w:rPr>
        <w:t xml:space="preserve"> FINANCAVE</w:t>
      </w:r>
    </w:p>
    <w:p w:rsidR="00FD57DC" w:rsidRDefault="003662EA" w:rsidP="003662EA">
      <w:r>
        <w:rPr>
          <w:rFonts w:cs="CG Times"/>
        </w:rPr>
        <w:tab/>
      </w:r>
      <w:r>
        <w:tab/>
      </w:r>
      <w:r>
        <w:tab/>
      </w:r>
      <w:r>
        <w:tab/>
      </w:r>
      <w:proofErr w:type="spellStart"/>
      <w:r w:rsidRPr="00D45DBA">
        <w:t>Shkëlqim</w:t>
      </w:r>
      <w:proofErr w:type="spellEnd"/>
      <w:r w:rsidRPr="00D45DBA">
        <w:t xml:space="preserve"> </w:t>
      </w:r>
      <w:proofErr w:type="spellStart"/>
      <w:r w:rsidRPr="00D45DBA">
        <w:t>Cani</w:t>
      </w:r>
      <w:proofErr w:type="spellEnd"/>
    </w:p>
    <w:sectPr w:rsidR="00FD57DC" w:rsidSect="00A940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62EA"/>
    <w:rsid w:val="002E7553"/>
    <w:rsid w:val="003662EA"/>
    <w:rsid w:val="00A3508F"/>
    <w:rsid w:val="00A94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2E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62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662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3662E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662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3662E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662E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3662E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3662E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662E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662E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662E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662E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662E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662EA"/>
    <w:rPr>
      <w:sz w:val="14"/>
      <w:szCs w:val="24"/>
    </w:rPr>
  </w:style>
  <w:style w:type="character" w:customStyle="1" w:styleId="ParagrafiCharChar">
    <w:name w:val="Paragrafi Char Char"/>
    <w:rsid w:val="003662EA"/>
    <w:rPr>
      <w:rFonts w:ascii="CG Times" w:hAnsi="CG Times"/>
      <w:sz w:val="22"/>
      <w:lang w:val="en-US" w:eastAsia="en-US" w:bidi="ar-SA"/>
    </w:rPr>
  </w:style>
  <w:style w:type="paragraph" w:customStyle="1" w:styleId="Paragrafi02">
    <w:name w:val="Paragrafi 0.2"/>
    <w:basedOn w:val="Normal"/>
    <w:qFormat/>
    <w:rsid w:val="003662EA"/>
    <w:pPr>
      <w:widowControl w:val="0"/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2599</Words>
  <Characters>14817</Characters>
  <Application>Microsoft Office Word</Application>
  <DocSecurity>0</DocSecurity>
  <Lines>123</Lines>
  <Paragraphs>34</Paragraphs>
  <ScaleCrop>false</ScaleCrop>
  <Company>Grizli777</Company>
  <LinksUpToDate>false</LinksUpToDate>
  <CharactersWithSpaces>17382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2014-11-17T09:21:00Z</dcterms:created>
  <dcterms:modified xsi:type="dcterms:W3CDTF">2014-11-17T09:22:00Z</dcterms:modified>
</cp:coreProperties>
</file>