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E31" w:rsidRPr="00F875A2" w:rsidRDefault="00280E31" w:rsidP="00280E31">
      <w:pPr>
        <w:pStyle w:val="Akti"/>
        <w:keepNext w:val="0"/>
        <w:rPr>
          <w:lang w:val="sq-AL"/>
        </w:rPr>
      </w:pPr>
      <w:r w:rsidRPr="00F875A2">
        <w:rPr>
          <w:lang w:val="sq-AL"/>
        </w:rPr>
        <w:t>UDHËZIM</w:t>
      </w:r>
    </w:p>
    <w:p w:rsidR="00280E31" w:rsidRPr="00F875A2" w:rsidRDefault="00280E31" w:rsidP="00280E31">
      <w:pPr>
        <w:pStyle w:val="NumriData"/>
        <w:keepNext w:val="0"/>
        <w:rPr>
          <w:lang w:val="sq-AL"/>
        </w:rPr>
      </w:pPr>
      <w:r w:rsidRPr="00F875A2">
        <w:rPr>
          <w:lang w:val="sq-AL"/>
        </w:rPr>
        <w:t>Nr. 12, datë 15.7.2014</w:t>
      </w:r>
    </w:p>
    <w:p w:rsidR="00280E31" w:rsidRPr="00F875A2" w:rsidRDefault="00280E31" w:rsidP="00280E31">
      <w:pPr>
        <w:pStyle w:val="Paragrafi"/>
        <w:rPr>
          <w:sz w:val="14"/>
          <w:lang w:val="sq-AL"/>
        </w:rPr>
      </w:pPr>
    </w:p>
    <w:p w:rsidR="00280E31" w:rsidRPr="00F875A2" w:rsidRDefault="00280E31" w:rsidP="00280E31">
      <w:pPr>
        <w:pStyle w:val="Titulli"/>
        <w:keepNext w:val="0"/>
        <w:rPr>
          <w:lang w:val="sq-AL"/>
        </w:rPr>
      </w:pPr>
      <w:r w:rsidRPr="00F875A2">
        <w:rPr>
          <w:lang w:val="sq-AL"/>
        </w:rPr>
        <w:t>PËR PËRCAKTIMIN E TREGUESVE TË SIGURISË DHE CILËSISË SË MIELLIT TË GRURIT TË PARAPAKETUAR, PËR T</w:t>
      </w:r>
      <w:r>
        <w:rPr>
          <w:lang w:val="sq-AL"/>
        </w:rPr>
        <w:t>’</w:t>
      </w:r>
      <w:r w:rsidRPr="00F875A2">
        <w:rPr>
          <w:lang w:val="sq-AL"/>
        </w:rPr>
        <w:t>U SHITUR TE KONSUMATORI I FUNDIT OSE PËR PRODHIMIN E PRODUKTEVE TË TJERA USHQIMORE</w:t>
      </w:r>
    </w:p>
    <w:p w:rsidR="00280E31" w:rsidRPr="00F875A2" w:rsidRDefault="00280E31" w:rsidP="00280E31">
      <w:pPr>
        <w:pStyle w:val="Paragrafi"/>
        <w:rPr>
          <w:sz w:val="14"/>
          <w:lang w:val="sq-AL"/>
        </w:rPr>
      </w:pPr>
    </w:p>
    <w:p w:rsidR="00280E31" w:rsidRPr="00F875A2" w:rsidRDefault="00280E31" w:rsidP="00280E31">
      <w:pPr>
        <w:pStyle w:val="Paragrafi"/>
        <w:rPr>
          <w:lang w:val="sq-AL"/>
        </w:rPr>
      </w:pPr>
      <w:r w:rsidRPr="00F875A2">
        <w:rPr>
          <w:lang w:val="sq-AL"/>
        </w:rPr>
        <w:t>Në mbështetje të nenit 102, pika 4, të Kushtetutës, nenit 23 pika</w:t>
      </w:r>
      <w:r>
        <w:rPr>
          <w:lang w:val="sq-AL"/>
        </w:rPr>
        <w:t xml:space="preserve"> 2 të ligjit nr. 9863, datë 28.</w:t>
      </w:r>
      <w:r w:rsidRPr="00F875A2">
        <w:rPr>
          <w:lang w:val="sq-AL"/>
        </w:rPr>
        <w:t>1.2008, “Për ushqimin”, i ndryshuar,</w:t>
      </w:r>
    </w:p>
    <w:p w:rsidR="00280E31" w:rsidRPr="00F875A2" w:rsidRDefault="00280E31" w:rsidP="00280E31">
      <w:pPr>
        <w:pStyle w:val="Paragrafi"/>
        <w:rPr>
          <w:sz w:val="14"/>
          <w:lang w:val="sq-AL"/>
        </w:rPr>
      </w:pPr>
    </w:p>
    <w:p w:rsidR="00280E31" w:rsidRPr="00F875A2" w:rsidRDefault="00280E31" w:rsidP="00280E31">
      <w:pPr>
        <w:pStyle w:val="VENDOSI"/>
        <w:keepNext w:val="0"/>
        <w:rPr>
          <w:lang w:val="sq-AL"/>
        </w:rPr>
      </w:pPr>
      <w:r w:rsidRPr="00F875A2">
        <w:rPr>
          <w:lang w:val="sq-AL"/>
        </w:rPr>
        <w:t>UDHËZOJ:</w:t>
      </w:r>
    </w:p>
    <w:p w:rsidR="00280E31" w:rsidRPr="00F875A2" w:rsidRDefault="00280E31" w:rsidP="00280E31">
      <w:pPr>
        <w:pStyle w:val="Paragrafi"/>
        <w:rPr>
          <w:sz w:val="14"/>
          <w:lang w:val="sq-AL"/>
        </w:rPr>
      </w:pPr>
    </w:p>
    <w:p w:rsidR="00280E31" w:rsidRPr="00F875A2" w:rsidRDefault="00280E31" w:rsidP="00280E31">
      <w:pPr>
        <w:pStyle w:val="Paragrafi"/>
        <w:rPr>
          <w:lang w:val="sq-AL"/>
        </w:rPr>
      </w:pPr>
      <w:r w:rsidRPr="00F875A2">
        <w:rPr>
          <w:lang w:val="sq-AL"/>
        </w:rPr>
        <w:t xml:space="preserve">1. A. Udhëzimi të zbatohet për miellin e grurit për konsum njerëzor të përgatitur nga gruri i zakonshëm, </w:t>
      </w:r>
      <w:r w:rsidRPr="00F875A2">
        <w:rPr>
          <w:i/>
          <w:lang w:val="sq-AL"/>
        </w:rPr>
        <w:t>Triticum aestivum, Triticum</w:t>
      </w:r>
      <w:r w:rsidRPr="00F875A2">
        <w:rPr>
          <w:lang w:val="sq-AL"/>
        </w:rPr>
        <w:t xml:space="preserve"> </w:t>
      </w:r>
      <w:r w:rsidRPr="00B07AB0">
        <w:rPr>
          <w:i/>
          <w:lang w:val="sq-AL"/>
        </w:rPr>
        <w:t>vulgare</w:t>
      </w:r>
      <w:r w:rsidRPr="00F875A2">
        <w:rPr>
          <w:lang w:val="sq-AL"/>
        </w:rPr>
        <w:t xml:space="preserve"> ose grurë i species </w:t>
      </w:r>
      <w:r w:rsidRPr="00F875A2">
        <w:rPr>
          <w:i/>
          <w:lang w:val="sq-AL"/>
        </w:rPr>
        <w:t>Triticium compactum Host</w:t>
      </w:r>
      <w:r w:rsidRPr="00F875A2">
        <w:rPr>
          <w:lang w:val="sq-AL"/>
        </w:rPr>
        <w:t xml:space="preserve"> ose nga përzierja e tyre, e cila parapaketohet për shitje për konsumatorin e fundit ose për prodhimin e produkteve të tjera ushqimore.</w:t>
      </w:r>
    </w:p>
    <w:p w:rsidR="00280E31" w:rsidRPr="00F875A2" w:rsidRDefault="00280E31" w:rsidP="00280E31">
      <w:pPr>
        <w:pStyle w:val="Paragrafi"/>
        <w:rPr>
          <w:lang w:val="sq-AL"/>
        </w:rPr>
      </w:pPr>
      <w:r w:rsidRPr="00F875A2">
        <w:rPr>
          <w:lang w:val="sq-AL"/>
        </w:rPr>
        <w:t>B. Udhëzimi të mos zbatohet:</w:t>
      </w:r>
    </w:p>
    <w:p w:rsidR="00280E31" w:rsidRPr="00F875A2" w:rsidRDefault="00280E31" w:rsidP="00280E31">
      <w:pPr>
        <w:pStyle w:val="Paragrafi"/>
        <w:rPr>
          <w:lang w:val="sq-AL"/>
        </w:rPr>
      </w:pPr>
      <w:r w:rsidRPr="00F875A2">
        <w:rPr>
          <w:lang w:val="sq-AL"/>
        </w:rPr>
        <w:t xml:space="preserve">a) Për çdo produkt që përgatitet nga grurë i fortë, </w:t>
      </w:r>
      <w:r w:rsidRPr="00F875A2">
        <w:rPr>
          <w:i/>
          <w:lang w:val="sq-AL"/>
        </w:rPr>
        <w:t>Triticum durum Desf</w:t>
      </w:r>
      <w:r w:rsidRPr="00F875A2">
        <w:rPr>
          <w:lang w:val="sq-AL"/>
        </w:rPr>
        <w:t>, vetëm ose i kombinuar me grurë tjetër;</w:t>
      </w:r>
    </w:p>
    <w:p w:rsidR="00280E31" w:rsidRPr="00F875A2" w:rsidRDefault="00280E31" w:rsidP="00280E31">
      <w:pPr>
        <w:pStyle w:val="Paragrafi"/>
        <w:rPr>
          <w:lang w:val="sq-AL"/>
        </w:rPr>
      </w:pPr>
      <w:r w:rsidRPr="00F875A2">
        <w:rPr>
          <w:lang w:val="sq-AL"/>
        </w:rPr>
        <w:t xml:space="preserve">b) Për miell integral, miell të afërt me atë integral ose </w:t>
      </w:r>
      <w:r w:rsidRPr="009C3B83">
        <w:rPr>
          <w:i/>
          <w:lang w:val="sq-AL"/>
        </w:rPr>
        <w:t>semolina</w:t>
      </w:r>
      <w:r w:rsidRPr="00F875A2">
        <w:rPr>
          <w:lang w:val="sq-AL"/>
        </w:rPr>
        <w:t xml:space="preserve"> (grimca endosperme pas pasurimit që shkojnë për bluarje) nga grurë i zakonshëm</w:t>
      </w:r>
      <w:r w:rsidRPr="00F875A2">
        <w:rPr>
          <w:i/>
          <w:lang w:val="sq-AL"/>
        </w:rPr>
        <w:t>, Triticum aestivum L</w:t>
      </w:r>
      <w:r w:rsidRPr="00F875A2">
        <w:rPr>
          <w:lang w:val="sq-AL"/>
        </w:rPr>
        <w:t xml:space="preserve">, ose grurë i species </w:t>
      </w:r>
      <w:r w:rsidRPr="00F875A2">
        <w:rPr>
          <w:i/>
          <w:lang w:val="sq-AL"/>
        </w:rPr>
        <w:t>Triticium compactum Host</w:t>
      </w:r>
      <w:r w:rsidRPr="00F875A2">
        <w:rPr>
          <w:lang w:val="sq-AL"/>
        </w:rPr>
        <w:t xml:space="preserve"> ose përzierjet e tyre;</w:t>
      </w:r>
    </w:p>
    <w:p w:rsidR="00280E31" w:rsidRPr="00F875A2" w:rsidRDefault="00280E31" w:rsidP="00280E31">
      <w:pPr>
        <w:pStyle w:val="Paragrafi"/>
        <w:rPr>
          <w:lang w:val="sq-AL"/>
        </w:rPr>
      </w:pPr>
      <w:r w:rsidRPr="00F875A2">
        <w:rPr>
          <w:lang w:val="sq-AL"/>
        </w:rPr>
        <w:t>c) Për miell që përdoret si shtesë në industrinë e birrës ose për prodhimin e amidonit ose glutenit;</w:t>
      </w:r>
    </w:p>
    <w:p w:rsidR="00280E31" w:rsidRPr="00F875A2" w:rsidRDefault="00280E31" w:rsidP="00280E31">
      <w:pPr>
        <w:pStyle w:val="Paragrafi"/>
        <w:rPr>
          <w:lang w:val="sq-AL"/>
        </w:rPr>
      </w:pPr>
      <w:r w:rsidRPr="00F875A2">
        <w:rPr>
          <w:lang w:val="sq-AL"/>
        </w:rPr>
        <w:t xml:space="preserve">d) Për miell gruri që nuk përdoret në industrinë ushqimore; </w:t>
      </w:r>
    </w:p>
    <w:p w:rsidR="00280E31" w:rsidRDefault="00280E31" w:rsidP="00280E31">
      <w:pPr>
        <w:pStyle w:val="Paragrafi"/>
        <w:rPr>
          <w:lang w:val="sq-AL"/>
        </w:rPr>
      </w:pPr>
      <w:r w:rsidRPr="00F875A2">
        <w:rPr>
          <w:lang w:val="sq-AL"/>
        </w:rPr>
        <w:t>e) Për miellrat që kanë përmbajtje të ulët proteine ose që pas procesit të blojës kanë nevojë për trajtim special, përveç tharjes ose zbardhimit dhe/ose te të cilët janë shtuar përbërës që nuk përfshihen në pikat 3.b.ii dhe 4.</w:t>
      </w:r>
    </w:p>
    <w:p w:rsidR="00280E31" w:rsidRPr="00F875A2" w:rsidRDefault="00280E31" w:rsidP="00280E31">
      <w:pPr>
        <w:pStyle w:val="Paragrafi"/>
        <w:rPr>
          <w:lang w:val="sq-AL"/>
        </w:rPr>
      </w:pPr>
      <w:r w:rsidRPr="00F875A2">
        <w:rPr>
          <w:lang w:val="sq-AL"/>
        </w:rPr>
        <w:t xml:space="preserve">2. Mielli i grurit është produkt i përgatitur nga grurë i zakonshëm, </w:t>
      </w:r>
      <w:r w:rsidRPr="00F875A2">
        <w:rPr>
          <w:i/>
          <w:lang w:val="sq-AL"/>
        </w:rPr>
        <w:t>Triticum aestivum L</w:t>
      </w:r>
      <w:r w:rsidRPr="00F875A2">
        <w:rPr>
          <w:lang w:val="sq-AL"/>
        </w:rPr>
        <w:t xml:space="preserve">, ose grurë i zakonshëm, </w:t>
      </w:r>
      <w:r w:rsidRPr="00F875A2">
        <w:rPr>
          <w:i/>
          <w:lang w:val="sq-AL"/>
        </w:rPr>
        <w:t>Triticium compactum Host</w:t>
      </w:r>
      <w:r w:rsidRPr="00F875A2">
        <w:rPr>
          <w:lang w:val="sq-AL"/>
        </w:rPr>
        <w:t xml:space="preserve"> ose përzierjet e tyre, me anë të copëtimit ose proceseve të bluarjes, në të cilën janë hequr pjesërisht cipa dhe embrioni dhe mbetja bluhet në një shkallë të përshtatshme imtësie.</w:t>
      </w:r>
    </w:p>
    <w:p w:rsidR="00280E31" w:rsidRPr="00F875A2" w:rsidRDefault="00280E31" w:rsidP="00280E31">
      <w:pPr>
        <w:pStyle w:val="Paragrafi"/>
        <w:rPr>
          <w:lang w:val="sq-AL"/>
        </w:rPr>
      </w:pPr>
      <w:r w:rsidRPr="00F875A2">
        <w:rPr>
          <w:lang w:val="sq-AL"/>
        </w:rPr>
        <w:t>3. Mielli i grurit duhet të plotësojë treguesit cilësor</w:t>
      </w:r>
      <w:r>
        <w:rPr>
          <w:lang w:val="sq-AL"/>
        </w:rPr>
        <w:t>ë</w:t>
      </w:r>
      <w:r w:rsidRPr="00F875A2">
        <w:rPr>
          <w:lang w:val="sq-AL"/>
        </w:rPr>
        <w:t xml:space="preserve"> të mëposhtëm:</w:t>
      </w:r>
    </w:p>
    <w:p w:rsidR="00280E31" w:rsidRPr="00F875A2" w:rsidRDefault="00280E31" w:rsidP="00280E31">
      <w:pPr>
        <w:pStyle w:val="Paragrafi"/>
        <w:rPr>
          <w:lang w:val="sq-AL"/>
        </w:rPr>
      </w:pPr>
      <w:r w:rsidRPr="00F875A2">
        <w:rPr>
          <w:lang w:val="sq-AL"/>
        </w:rPr>
        <w:t>a) Të përgjithshëm</w:t>
      </w:r>
      <w:r>
        <w:rPr>
          <w:lang w:val="sq-AL"/>
        </w:rPr>
        <w:t>:</w:t>
      </w:r>
    </w:p>
    <w:p w:rsidR="00280E31" w:rsidRPr="00F875A2" w:rsidRDefault="00280E31" w:rsidP="00280E31">
      <w:pPr>
        <w:pStyle w:val="Paragrafi"/>
        <w:rPr>
          <w:lang w:val="sq-AL"/>
        </w:rPr>
      </w:pPr>
      <w:r w:rsidRPr="00F875A2">
        <w:rPr>
          <w:lang w:val="sq-AL"/>
        </w:rPr>
        <w:t>i) Mielli i grurit dhe çdo përbërës që shtohet duhet të jetë i sigurt dhe i p</w:t>
      </w:r>
      <w:r>
        <w:rPr>
          <w:lang w:val="sq-AL"/>
        </w:rPr>
        <w:t>ërshtatshëm për konsum njerëzor;</w:t>
      </w:r>
    </w:p>
    <w:p w:rsidR="00280E31" w:rsidRPr="00653A34" w:rsidRDefault="00280E31" w:rsidP="00280E31">
      <w:pPr>
        <w:pStyle w:val="Paragrafi"/>
        <w:rPr>
          <w:spacing w:val="-4"/>
          <w:lang w:val="sq-AL"/>
        </w:rPr>
      </w:pPr>
      <w:r w:rsidRPr="00653A34">
        <w:rPr>
          <w:spacing w:val="-4"/>
          <w:lang w:val="sq-AL"/>
        </w:rPr>
        <w:t>ii) Mielli i grurit duhet të jetë pa erë dhe shije jonormale dhe pa insekte të gjalla;</w:t>
      </w:r>
    </w:p>
    <w:p w:rsidR="00280E31" w:rsidRPr="00F875A2" w:rsidRDefault="00280E31" w:rsidP="00280E31">
      <w:pPr>
        <w:pStyle w:val="Paragrafi"/>
        <w:rPr>
          <w:lang w:val="sq-AL"/>
        </w:rPr>
      </w:pPr>
      <w:r w:rsidRPr="00F875A2">
        <w:rPr>
          <w:lang w:val="sq-AL"/>
        </w:rPr>
        <w:t>iii) Mielli i grurit duhet të jetë pa papastërti me origjinë shtazore (duke përfshirë dhe insektet e ngordhura) në sasi të dëmshme për shëndetin e njeriut.</w:t>
      </w:r>
    </w:p>
    <w:p w:rsidR="00280E31" w:rsidRPr="00F875A2" w:rsidRDefault="00280E31" w:rsidP="00280E31">
      <w:pPr>
        <w:pStyle w:val="Paragrafi"/>
        <w:rPr>
          <w:lang w:val="sq-AL"/>
        </w:rPr>
      </w:pPr>
      <w:r w:rsidRPr="00F875A2">
        <w:rPr>
          <w:lang w:val="sq-AL"/>
        </w:rPr>
        <w:lastRenderedPageBreak/>
        <w:t xml:space="preserve">b) </w:t>
      </w:r>
      <w:r>
        <w:rPr>
          <w:lang w:val="sq-AL"/>
        </w:rPr>
        <w:t>Specifike:</w:t>
      </w:r>
    </w:p>
    <w:p w:rsidR="00280E31" w:rsidRPr="00F875A2" w:rsidRDefault="00280E31" w:rsidP="00280E31">
      <w:pPr>
        <w:pStyle w:val="Paragrafi"/>
        <w:rPr>
          <w:lang w:val="sq-AL"/>
        </w:rPr>
      </w:pPr>
      <w:r w:rsidRPr="00F875A2">
        <w:rPr>
          <w:lang w:val="sq-AL"/>
        </w:rPr>
        <w:t xml:space="preserve">i) Përmbajtja e </w:t>
      </w:r>
      <w:r>
        <w:rPr>
          <w:lang w:val="sq-AL"/>
        </w:rPr>
        <w:t>lagështisë 15.5% masë/masë maks;</w:t>
      </w:r>
    </w:p>
    <w:p w:rsidR="00280E31" w:rsidRPr="00F875A2" w:rsidRDefault="00280E31" w:rsidP="00280E31">
      <w:pPr>
        <w:pStyle w:val="Paragrafi"/>
        <w:rPr>
          <w:lang w:val="sq-AL"/>
        </w:rPr>
      </w:pPr>
      <w:r w:rsidRPr="00F875A2">
        <w:rPr>
          <w:lang w:val="sq-AL"/>
        </w:rPr>
        <w:t xml:space="preserve">Kufijtë më të ulët të lagështisë duhet të kërkohen për destinacione të caktuara në lidhje me klimën, kohën e transportit dhe </w:t>
      </w:r>
      <w:r>
        <w:rPr>
          <w:lang w:val="sq-AL"/>
        </w:rPr>
        <w:t>të ruajtjes;</w:t>
      </w:r>
    </w:p>
    <w:p w:rsidR="00280E31" w:rsidRPr="00F875A2" w:rsidRDefault="00280E31" w:rsidP="00280E31">
      <w:pPr>
        <w:pStyle w:val="Paragrafi"/>
        <w:rPr>
          <w:lang w:val="sq-AL"/>
        </w:rPr>
      </w:pPr>
      <w:r w:rsidRPr="00F875A2">
        <w:rPr>
          <w:lang w:val="sq-AL"/>
        </w:rPr>
        <w:t>ii) Përbërësit e mëposhtëm mund të shtohen në miellin e grurit në sasi të nevojshme për qëllime teknologjike:</w:t>
      </w:r>
    </w:p>
    <w:p w:rsidR="00280E31" w:rsidRPr="00F875A2" w:rsidRDefault="00280E31" w:rsidP="00280E31">
      <w:pPr>
        <w:pStyle w:val="Paragrafi"/>
        <w:rPr>
          <w:lang w:val="sq-AL"/>
        </w:rPr>
      </w:pPr>
      <w:r w:rsidRPr="00F875A2">
        <w:rPr>
          <w:lang w:val="sq-AL"/>
        </w:rPr>
        <w:t>- Produkte të maltuara me aktivitet enzimatik të prodhuara nga gruri, elbi ose thekra;</w:t>
      </w:r>
    </w:p>
    <w:p w:rsidR="00280E31" w:rsidRPr="00F875A2" w:rsidRDefault="00280E31" w:rsidP="00280E31">
      <w:pPr>
        <w:pStyle w:val="Paragrafi"/>
        <w:rPr>
          <w:lang w:val="sq-AL"/>
        </w:rPr>
      </w:pPr>
      <w:r w:rsidRPr="00F875A2">
        <w:rPr>
          <w:lang w:val="sq-AL"/>
        </w:rPr>
        <w:t>- Gluten vital gruri;</w:t>
      </w:r>
    </w:p>
    <w:p w:rsidR="00280E31" w:rsidRPr="00F875A2" w:rsidRDefault="00280E31" w:rsidP="00280E31">
      <w:pPr>
        <w:pStyle w:val="Paragrafi"/>
        <w:rPr>
          <w:lang w:val="sq-AL"/>
        </w:rPr>
      </w:pPr>
      <w:r w:rsidRPr="00F875A2">
        <w:rPr>
          <w:lang w:val="sq-AL"/>
        </w:rPr>
        <w:t>- Miell soje dhe miell leguminozesh.</w:t>
      </w:r>
    </w:p>
    <w:p w:rsidR="00280E31" w:rsidRPr="00F875A2" w:rsidRDefault="00280E31" w:rsidP="00280E31">
      <w:pPr>
        <w:pStyle w:val="Paragrafi"/>
        <w:rPr>
          <w:lang w:val="sq-AL"/>
        </w:rPr>
      </w:pPr>
      <w:r w:rsidRPr="00F875A2">
        <w:rPr>
          <w:lang w:val="sq-AL"/>
        </w:rPr>
        <w:t>4. Niveli maksimal në produktin përfundimtar të enzimave dhe agjentëve përpunues të miellit</w:t>
      </w:r>
      <w:r>
        <w:rPr>
          <w:lang w:val="sq-AL"/>
        </w:rPr>
        <w:t>,</w:t>
      </w:r>
      <w:r w:rsidRPr="00F875A2">
        <w:rPr>
          <w:lang w:val="sq-AL"/>
        </w:rPr>
        <w:t xml:space="preserve"> përcaktohet në </w:t>
      </w:r>
      <w:r>
        <w:rPr>
          <w:lang w:val="sq-AL"/>
        </w:rPr>
        <w:t>shtojcën 1</w:t>
      </w:r>
      <w:r w:rsidRPr="00F875A2">
        <w:rPr>
          <w:lang w:val="sq-AL"/>
        </w:rPr>
        <w:t xml:space="preserve"> bashkëlidhur këtij udhëzimi.</w:t>
      </w:r>
    </w:p>
    <w:p w:rsidR="00280E31" w:rsidRPr="00653A34" w:rsidRDefault="00280E31" w:rsidP="00280E31">
      <w:pPr>
        <w:pStyle w:val="Paragrafi"/>
        <w:rPr>
          <w:spacing w:val="-4"/>
          <w:lang w:val="sq-AL"/>
        </w:rPr>
      </w:pPr>
      <w:r w:rsidRPr="00653A34">
        <w:rPr>
          <w:spacing w:val="-4"/>
          <w:lang w:val="sq-AL"/>
        </w:rPr>
        <w:t>5. Mielli i grurit duhet të jetë pa metale të rënda në sasi të dëmshme për shëndetin e njeriut. Ato duhet të jenë në përputhje me nivelet e vendosura në udhëzimin nr. 13, datë 29.9.2010, “Për vendosjen e niveleve maksimale për disa kontaminues në produktet ushqimore”.</w:t>
      </w:r>
    </w:p>
    <w:p w:rsidR="00280E31" w:rsidRPr="00F875A2" w:rsidRDefault="00280E31" w:rsidP="00280E31">
      <w:pPr>
        <w:pStyle w:val="Paragrafi"/>
        <w:rPr>
          <w:lang w:val="sq-AL"/>
        </w:rPr>
      </w:pPr>
      <w:r w:rsidRPr="00F875A2">
        <w:rPr>
          <w:lang w:val="sq-AL"/>
        </w:rPr>
        <w:t>6. Mielli i grurit nuk duhet të ketë mbetje pesticidesh më shumë se vlera maksimale e lejuar për këtë produkt e vendos</w:t>
      </w:r>
      <w:r>
        <w:rPr>
          <w:lang w:val="sq-AL"/>
        </w:rPr>
        <w:t>ur në udhëzimin nr. 5, datë 14.</w:t>
      </w:r>
      <w:r w:rsidRPr="00F875A2">
        <w:rPr>
          <w:lang w:val="sq-AL"/>
        </w:rPr>
        <w:t xml:space="preserve">5.2014, “Për nivelin maksimal të mbetjeve të pesticideve në banane, domate, grurë, kastravecë, mollë, patate, rrush tavoline, rrush për verë, speca, ullinj tavoline”. </w:t>
      </w:r>
    </w:p>
    <w:p w:rsidR="00280E31" w:rsidRPr="00F875A2" w:rsidRDefault="00280E31" w:rsidP="00280E31">
      <w:pPr>
        <w:pStyle w:val="Paragrafi"/>
        <w:rPr>
          <w:lang w:val="sq-AL"/>
        </w:rPr>
      </w:pPr>
      <w:r w:rsidRPr="00F875A2">
        <w:rPr>
          <w:lang w:val="sq-AL"/>
        </w:rPr>
        <w:t>7. Mielli i grurit nuk duhet të ketë mykotoksina më shumë se vlera maksimale e lejuar për këtë produkt në përcaktimet e udhëzimit nr. 13, datë 29.9.2010, “Për vendosjen e niveleve maksimale për disa kontaminues në produktet ushqimore”.</w:t>
      </w:r>
    </w:p>
    <w:p w:rsidR="00280E31" w:rsidRPr="00F875A2" w:rsidRDefault="00280E31" w:rsidP="00280E31">
      <w:pPr>
        <w:pStyle w:val="Paragrafi"/>
        <w:rPr>
          <w:lang w:val="sq-AL"/>
        </w:rPr>
      </w:pPr>
      <w:r w:rsidRPr="00F875A2">
        <w:rPr>
          <w:lang w:val="sq-AL"/>
        </w:rPr>
        <w:t>8. Mielli i grurit duhet të plotësojë kushtet higjienike</w:t>
      </w:r>
      <w:r>
        <w:rPr>
          <w:lang w:val="sq-AL"/>
        </w:rPr>
        <w:t>,</w:t>
      </w:r>
      <w:r w:rsidRPr="00F875A2">
        <w:rPr>
          <w:lang w:val="sq-AL"/>
        </w:rPr>
        <w:t xml:space="preserve"> të vendosura si më poshtë:</w:t>
      </w:r>
    </w:p>
    <w:p w:rsidR="00280E31" w:rsidRPr="00F875A2" w:rsidRDefault="00280E31" w:rsidP="00280E31">
      <w:pPr>
        <w:pStyle w:val="Paragrafi"/>
        <w:rPr>
          <w:lang w:val="sq-AL"/>
        </w:rPr>
      </w:pPr>
      <w:r w:rsidRPr="00F875A2">
        <w:rPr>
          <w:lang w:val="sq-AL"/>
        </w:rPr>
        <w:t>a) Mielli i grurit duhet të jetë pa lëndë të huaja në shkallën që zbato</w:t>
      </w:r>
      <w:r>
        <w:rPr>
          <w:lang w:val="sq-AL"/>
        </w:rPr>
        <w:t>het procesi optimal teknologjik;</w:t>
      </w:r>
    </w:p>
    <w:p w:rsidR="00280E31" w:rsidRPr="00F875A2" w:rsidRDefault="00280E31" w:rsidP="00280E31">
      <w:pPr>
        <w:pStyle w:val="Paragrafi"/>
        <w:rPr>
          <w:lang w:val="sq-AL"/>
        </w:rPr>
      </w:pPr>
      <w:r w:rsidRPr="00F875A2">
        <w:rPr>
          <w:lang w:val="sq-AL"/>
        </w:rPr>
        <w:t>b) Sipas metodave të caktuara të marrjes së mostrës dhe analizimit, mielli i grurit:</w:t>
      </w:r>
    </w:p>
    <w:p w:rsidR="00280E31" w:rsidRPr="00F875A2" w:rsidRDefault="00280E31" w:rsidP="00280E31">
      <w:pPr>
        <w:pStyle w:val="Paragrafi"/>
        <w:rPr>
          <w:lang w:val="sq-AL"/>
        </w:rPr>
      </w:pPr>
      <w:r w:rsidRPr="00F875A2">
        <w:rPr>
          <w:lang w:val="sq-AL"/>
        </w:rPr>
        <w:t>i) Duhet të jetë pa mikroorganizma në sasi, të cilat janë të dëmshme për shëndetin e njeriut;</w:t>
      </w:r>
    </w:p>
    <w:p w:rsidR="00280E31" w:rsidRPr="00F875A2" w:rsidRDefault="00280E31" w:rsidP="00280E31">
      <w:pPr>
        <w:pStyle w:val="Paragrafi"/>
        <w:rPr>
          <w:lang w:val="sq-AL"/>
        </w:rPr>
      </w:pPr>
      <w:r w:rsidRPr="00F875A2">
        <w:rPr>
          <w:lang w:val="sq-AL"/>
        </w:rPr>
        <w:t>ii</w:t>
      </w:r>
      <w:r>
        <w:rPr>
          <w:lang w:val="sq-AL"/>
        </w:rPr>
        <w:t>)</w:t>
      </w:r>
      <w:r w:rsidRPr="00F875A2">
        <w:rPr>
          <w:lang w:val="sq-AL"/>
        </w:rPr>
        <w:t xml:space="preserve"> Duhet të jetë pa parazitë, të cilët janë të dëmshëm për shëndetin e njeriut; </w:t>
      </w:r>
    </w:p>
    <w:p w:rsidR="00280E31" w:rsidRDefault="00280E31" w:rsidP="00280E31">
      <w:pPr>
        <w:pStyle w:val="Paragrafi"/>
        <w:rPr>
          <w:lang w:val="sq-AL"/>
        </w:rPr>
      </w:pPr>
      <w:r w:rsidRPr="00F875A2">
        <w:rPr>
          <w:lang w:val="sq-AL"/>
        </w:rPr>
        <w:t>iii) Nuk duhet të përmbajë asnjë substancë me origjinë nga mikroorganizma në sasi të dëmshme për shëndetin e njeriut.</w:t>
      </w:r>
    </w:p>
    <w:p w:rsidR="00280E31" w:rsidRPr="00F875A2" w:rsidRDefault="00280E31" w:rsidP="00280E31">
      <w:pPr>
        <w:pStyle w:val="Paragrafi"/>
        <w:rPr>
          <w:lang w:val="sq-AL"/>
        </w:rPr>
      </w:pPr>
      <w:r w:rsidRPr="00F875A2">
        <w:rPr>
          <w:lang w:val="sq-AL"/>
        </w:rPr>
        <w:t>9. Mielli i grurit paketohet në ambalazhe, të cilat sigurojnë cilësi higjienike,</w:t>
      </w:r>
      <w:r>
        <w:rPr>
          <w:lang w:val="sq-AL"/>
        </w:rPr>
        <w:t xml:space="preserve"> </w:t>
      </w:r>
      <w:r w:rsidRPr="00F875A2">
        <w:rPr>
          <w:lang w:val="sq-AL"/>
        </w:rPr>
        <w:t>ushqimore, teknologjike dhe organo-leptike të produktit.</w:t>
      </w:r>
    </w:p>
    <w:p w:rsidR="00280E31" w:rsidRPr="00F875A2" w:rsidRDefault="00280E31" w:rsidP="00280E31">
      <w:pPr>
        <w:pStyle w:val="Paragrafi"/>
        <w:rPr>
          <w:lang w:val="sq-AL"/>
        </w:rPr>
      </w:pPr>
      <w:r w:rsidRPr="00F875A2">
        <w:rPr>
          <w:lang w:val="sq-AL"/>
        </w:rPr>
        <w:t>10. Ambalazhet duhet të jenë të sigurta dhe të përshtatshme për qëllimin e përdorimit. Ato nuk duhet të mbartin asnjë substancë toksike dhe nuk duhet të kenë shije dhe erë të padëshirueshme për produktin. Kur produkti është paketuar në thasë, ato duhet të jenë të pastër, të fortë, të qepur shumë mirë ose të ngjitur mirë.</w:t>
      </w:r>
    </w:p>
    <w:p w:rsidR="00280E31" w:rsidRPr="00F875A2" w:rsidRDefault="00280E31" w:rsidP="00280E31">
      <w:pPr>
        <w:pStyle w:val="Paragrafi"/>
        <w:rPr>
          <w:lang w:val="sq-AL"/>
        </w:rPr>
      </w:pPr>
      <w:r w:rsidRPr="00F875A2">
        <w:rPr>
          <w:lang w:val="sq-AL"/>
        </w:rPr>
        <w:t xml:space="preserve">11. Mielli i grurit etiketohet në përputhje me </w:t>
      </w:r>
      <w:r>
        <w:rPr>
          <w:lang w:val="sq-AL"/>
        </w:rPr>
        <w:lastRenderedPageBreak/>
        <w:t>v</w:t>
      </w:r>
      <w:r w:rsidRPr="00F875A2">
        <w:rPr>
          <w:lang w:val="sq-AL"/>
        </w:rPr>
        <w:t>endimin e Këshillit të Ministrave nr. 1344, datë 10.10.2008, “Për miratimin e rregullores “Për etiketimin e produkteve ushqimore”. Gjithashtu, për etiketimin e tij zbatohen edhe rregullat e mëposhtme:</w:t>
      </w:r>
    </w:p>
    <w:p w:rsidR="00280E31" w:rsidRPr="00F875A2" w:rsidRDefault="00280E31" w:rsidP="00280E31">
      <w:pPr>
        <w:pStyle w:val="Paragrafi"/>
        <w:rPr>
          <w:lang w:val="sq-AL"/>
        </w:rPr>
      </w:pPr>
      <w:r w:rsidRPr="00F875A2">
        <w:rPr>
          <w:lang w:val="sq-AL"/>
        </w:rPr>
        <w:t>a) Emri i produktit në etik</w:t>
      </w:r>
      <w:r>
        <w:rPr>
          <w:lang w:val="sq-AL"/>
        </w:rPr>
        <w:t>etë duhet të jetë “miell gruri”;</w:t>
      </w:r>
    </w:p>
    <w:p w:rsidR="00280E31" w:rsidRPr="00F875A2" w:rsidRDefault="00280E31" w:rsidP="00280E31">
      <w:pPr>
        <w:pStyle w:val="Paragrafi"/>
        <w:rPr>
          <w:lang w:val="sq-AL"/>
        </w:rPr>
      </w:pPr>
      <w:r w:rsidRPr="00F875A2">
        <w:rPr>
          <w:lang w:val="sq-AL"/>
        </w:rPr>
        <w:t>b) Informacioni për ambalazhet që shiten me shumicë do të jepet ose në ambalazh ose në dokumentet shoqëruese. Emri i produktit, numri i identifikimit të lot-it</w:t>
      </w:r>
      <w:r>
        <w:rPr>
          <w:lang w:val="sq-AL"/>
        </w:rPr>
        <w:t>,</w:t>
      </w:r>
      <w:r w:rsidRPr="00F875A2">
        <w:rPr>
          <w:lang w:val="sq-AL"/>
        </w:rPr>
        <w:t xml:space="preserve"> si dhe emri dhe adresa e stabilimentit prodhues apo paketues duhet të vendosen mbi ambalazh. Numri i identifikimit të lot-it, si dhe emri dhe adresa e stabilimentit prodhues apo paketues mund të vendosen me anë të një marke identifikimi</w:t>
      </w:r>
      <w:r>
        <w:rPr>
          <w:lang w:val="sq-AL"/>
        </w:rPr>
        <w:t>,</w:t>
      </w:r>
      <w:r w:rsidRPr="00F875A2">
        <w:rPr>
          <w:lang w:val="sq-AL"/>
        </w:rPr>
        <w:t xml:space="preserve"> me kusht që një markë e tillë të jetë identike me atë të dokumenteve shoqëruese. </w:t>
      </w:r>
    </w:p>
    <w:p w:rsidR="00280E31" w:rsidRPr="00F875A2" w:rsidRDefault="00280E31" w:rsidP="00280E31">
      <w:pPr>
        <w:pStyle w:val="Paragrafi"/>
        <w:rPr>
          <w:lang w:val="sq-AL"/>
        </w:rPr>
      </w:pPr>
      <w:r w:rsidRPr="00F875A2">
        <w:rPr>
          <w:lang w:val="sq-AL"/>
        </w:rPr>
        <w:t>12. Marrja e mostrave dhe analizimi</w:t>
      </w:r>
      <w:r>
        <w:rPr>
          <w:lang w:val="sq-AL"/>
        </w:rPr>
        <w:t>,</w:t>
      </w:r>
      <w:r w:rsidRPr="00F875A2">
        <w:rPr>
          <w:lang w:val="sq-AL"/>
        </w:rPr>
        <w:t xml:space="preserve"> bëhet në përputhje m</w:t>
      </w:r>
      <w:r>
        <w:rPr>
          <w:lang w:val="sq-AL"/>
        </w:rPr>
        <w:t>e rregulloren nr. 220, datë 21.</w:t>
      </w:r>
      <w:r w:rsidRPr="00F875A2">
        <w:rPr>
          <w:lang w:val="sq-AL"/>
        </w:rPr>
        <w:t>5.1999, “Mbi procedurat e marrjes së mostrave dhe kryerjes së analizave të produkteve ushqimore”, dhe shtojcën 2, “Kufiri i lejuar dhe metoda e analizimit për disa tregues të miellit të grurit”, bashkëlidhur këtij udhëzimi.</w:t>
      </w:r>
    </w:p>
    <w:p w:rsidR="00280E31" w:rsidRPr="00F875A2" w:rsidRDefault="00280E31" w:rsidP="00280E31">
      <w:pPr>
        <w:pStyle w:val="Paragrafi"/>
        <w:rPr>
          <w:lang w:val="sq-AL"/>
        </w:rPr>
      </w:pPr>
      <w:r w:rsidRPr="00F875A2">
        <w:rPr>
          <w:lang w:val="sq-AL"/>
        </w:rPr>
        <w:t>13. Ngarkohen Drejtoria e Sigurisë Ushqimore dhe Peshkimit, Autoriteti Kombëtar i Ushqimit dhe Instituti i Sigurisë Ushqimore dhe Veterinarisë për zbatimin e këtij udhëzimi.</w:t>
      </w:r>
    </w:p>
    <w:p w:rsidR="00280E31" w:rsidRPr="00F875A2" w:rsidRDefault="00280E31" w:rsidP="00280E31">
      <w:pPr>
        <w:pStyle w:val="Paragrafi"/>
        <w:rPr>
          <w:lang w:val="sq-AL"/>
        </w:rPr>
      </w:pPr>
      <w:r w:rsidRPr="00F875A2">
        <w:rPr>
          <w:lang w:val="sq-AL"/>
        </w:rPr>
        <w:t>Ky udhëzim hyn në fuqi pas botimit në Fletoren Zyrtare.</w:t>
      </w:r>
    </w:p>
    <w:p w:rsidR="00280E31" w:rsidRPr="009A479B" w:rsidRDefault="00280E31" w:rsidP="00280E31">
      <w:pPr>
        <w:pStyle w:val="Autoriteti"/>
        <w:keepNext w:val="0"/>
        <w:rPr>
          <w:sz w:val="14"/>
          <w:lang w:val="sq-AL"/>
        </w:rPr>
      </w:pPr>
    </w:p>
    <w:p w:rsidR="00280E31" w:rsidRDefault="00280E31" w:rsidP="00280E31">
      <w:pPr>
        <w:pStyle w:val="Autoriteti"/>
        <w:keepNext w:val="0"/>
        <w:rPr>
          <w:lang w:val="sq-AL"/>
        </w:rPr>
      </w:pPr>
      <w:r w:rsidRPr="00F875A2">
        <w:rPr>
          <w:lang w:val="sq-AL"/>
        </w:rPr>
        <w:t>MINISTRI</w:t>
      </w:r>
      <w:r>
        <w:rPr>
          <w:lang w:val="sq-AL"/>
        </w:rPr>
        <w:t xml:space="preserve"> i bujqësisë, zhvillimit rural </w:t>
      </w:r>
    </w:p>
    <w:p w:rsidR="00280E31" w:rsidRPr="00F875A2" w:rsidRDefault="00280E31" w:rsidP="00280E31">
      <w:pPr>
        <w:pStyle w:val="Autoriteti"/>
        <w:keepNext w:val="0"/>
        <w:rPr>
          <w:lang w:val="sq-AL"/>
        </w:rPr>
      </w:pPr>
      <w:r>
        <w:rPr>
          <w:lang w:val="sq-AL"/>
        </w:rPr>
        <w:t>dhe administrimit të ujërave</w:t>
      </w:r>
    </w:p>
    <w:p w:rsidR="00280E31" w:rsidRPr="00841E38" w:rsidRDefault="00280E31" w:rsidP="00280E31">
      <w:pPr>
        <w:pStyle w:val="Paragrafi"/>
        <w:jc w:val="right"/>
        <w:rPr>
          <w:b/>
          <w:lang w:val="sq-AL"/>
        </w:rPr>
      </w:pPr>
      <w:r w:rsidRPr="00841E38">
        <w:rPr>
          <w:b/>
          <w:lang w:val="sq-AL"/>
        </w:rPr>
        <w:t>Edmond Panariti</w:t>
      </w:r>
    </w:p>
    <w:p w:rsidR="00280E31" w:rsidRPr="00841E38" w:rsidRDefault="00280E31" w:rsidP="00280E31">
      <w:pPr>
        <w:pStyle w:val="Paragrafi"/>
        <w:jc w:val="right"/>
        <w:rPr>
          <w:b/>
          <w:lang w:val="sq-AL"/>
        </w:rPr>
        <w:sectPr w:rsidR="00280E31" w:rsidRPr="00841E38" w:rsidSect="00280E31">
          <w:headerReference w:type="even" r:id="rId4"/>
          <w:headerReference w:type="default" r:id="rId5"/>
          <w:footerReference w:type="even" r:id="rId6"/>
          <w:footerReference w:type="default" r:id="rId7"/>
          <w:pgSz w:w="11907" w:h="16840" w:code="9"/>
          <w:pgMar w:top="851" w:right="851" w:bottom="851" w:left="851" w:header="1134" w:footer="1134" w:gutter="0"/>
          <w:pgNumType w:start="5139"/>
          <w:cols w:num="2" w:space="454"/>
          <w:docGrid w:linePitch="360"/>
        </w:sectPr>
      </w:pPr>
    </w:p>
    <w:p w:rsidR="00280E31" w:rsidRPr="00F875A2" w:rsidRDefault="00280E31" w:rsidP="00280E31">
      <w:pPr>
        <w:pStyle w:val="Paragrafi"/>
        <w:jc w:val="right"/>
        <w:rPr>
          <w:lang w:val="sq-AL"/>
        </w:rPr>
      </w:pPr>
    </w:p>
    <w:p w:rsidR="00280E31" w:rsidRPr="00F875A2" w:rsidRDefault="00280E31" w:rsidP="00280E31">
      <w:pPr>
        <w:widowControl w:val="0"/>
        <w:spacing w:after="0"/>
        <w:jc w:val="center"/>
        <w:outlineLvl w:val="0"/>
        <w:rPr>
          <w:rFonts w:ascii="CG Times" w:hAnsi="CG Times"/>
          <w:sz w:val="21"/>
          <w:szCs w:val="21"/>
          <w:lang w:val="sq-AL"/>
        </w:rPr>
      </w:pPr>
      <w:r w:rsidRPr="00F875A2">
        <w:rPr>
          <w:rFonts w:ascii="CG Times" w:hAnsi="CG Times"/>
          <w:sz w:val="21"/>
          <w:szCs w:val="21"/>
          <w:lang w:val="sq-AL"/>
        </w:rPr>
        <w:t>SHTOJCA I</w:t>
      </w:r>
    </w:p>
    <w:p w:rsidR="00280E31" w:rsidRPr="00F875A2" w:rsidRDefault="00280E31" w:rsidP="00280E31">
      <w:pPr>
        <w:widowControl w:val="0"/>
        <w:spacing w:after="0"/>
        <w:jc w:val="center"/>
        <w:outlineLvl w:val="0"/>
        <w:rPr>
          <w:rFonts w:ascii="CG Times" w:hAnsi="CG Times"/>
          <w:sz w:val="21"/>
          <w:szCs w:val="21"/>
          <w:u w:val="single"/>
          <w:lang w:val="sq-AL"/>
        </w:rPr>
      </w:pPr>
      <w:r w:rsidRPr="00F875A2">
        <w:rPr>
          <w:rFonts w:ascii="CG Times" w:hAnsi="CG Times"/>
          <w:sz w:val="21"/>
          <w:szCs w:val="21"/>
          <w:lang w:val="sq-AL"/>
        </w:rPr>
        <w:t>NIVELI MAKSIMAL NË PRODUKTIN PËRFUNDIMTAR TË ENZIMAVE DHE AGJENTËVE PËRPUNUES TË MIELLIT</w:t>
      </w:r>
    </w:p>
    <w:tbl>
      <w:tblPr>
        <w:tblW w:w="41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94"/>
        <w:gridCol w:w="1822"/>
      </w:tblGrid>
      <w:tr w:rsidR="00280E31" w:rsidRPr="00F875A2" w:rsidTr="002938B3">
        <w:trPr>
          <w:trHeight w:val="399"/>
          <w:jc w:val="center"/>
        </w:trPr>
        <w:tc>
          <w:tcPr>
            <w:tcW w:w="3849" w:type="pct"/>
            <w:vAlign w:val="center"/>
          </w:tcPr>
          <w:p w:rsidR="00280E31" w:rsidRPr="00F875A2" w:rsidRDefault="00280E31" w:rsidP="002938B3">
            <w:pPr>
              <w:widowControl w:val="0"/>
              <w:spacing w:after="0" w:line="240" w:lineRule="auto"/>
              <w:jc w:val="center"/>
              <w:rPr>
                <w:rFonts w:ascii="CG Times" w:hAnsi="CG Times"/>
                <w:b/>
                <w:sz w:val="21"/>
                <w:szCs w:val="21"/>
                <w:lang w:val="sq-AL"/>
              </w:rPr>
            </w:pPr>
            <w:r w:rsidRPr="00F875A2">
              <w:rPr>
                <w:rFonts w:ascii="CG Times" w:hAnsi="CG Times"/>
                <w:b/>
                <w:sz w:val="21"/>
                <w:szCs w:val="21"/>
                <w:lang w:val="sq-AL"/>
              </w:rPr>
              <w:t>Aditivi ushqimor</w:t>
            </w:r>
          </w:p>
        </w:tc>
        <w:tc>
          <w:tcPr>
            <w:tcW w:w="1151" w:type="pct"/>
            <w:vAlign w:val="center"/>
          </w:tcPr>
          <w:p w:rsidR="00280E31" w:rsidRPr="00F875A2" w:rsidRDefault="00280E31" w:rsidP="002938B3">
            <w:pPr>
              <w:widowControl w:val="0"/>
              <w:spacing w:after="0" w:line="240" w:lineRule="auto"/>
              <w:jc w:val="center"/>
              <w:rPr>
                <w:rFonts w:ascii="CG Times" w:hAnsi="CG Times"/>
                <w:b/>
                <w:sz w:val="21"/>
                <w:szCs w:val="21"/>
                <w:lang w:val="sq-AL"/>
              </w:rPr>
            </w:pPr>
            <w:r w:rsidRPr="00F875A2">
              <w:rPr>
                <w:rFonts w:ascii="CG Times" w:hAnsi="CG Times"/>
                <w:b/>
                <w:sz w:val="21"/>
                <w:szCs w:val="21"/>
                <w:lang w:val="sq-AL"/>
              </w:rPr>
              <w:t>Niveli maksimal në produktin përfundimtar</w:t>
            </w:r>
          </w:p>
        </w:tc>
      </w:tr>
      <w:tr w:rsidR="00280E31" w:rsidRPr="00F875A2" w:rsidTr="002938B3">
        <w:trPr>
          <w:trHeight w:val="208"/>
          <w:jc w:val="center"/>
        </w:trPr>
        <w:tc>
          <w:tcPr>
            <w:tcW w:w="3849" w:type="pct"/>
            <w:vAlign w:val="center"/>
          </w:tcPr>
          <w:p w:rsidR="00280E31" w:rsidRPr="00F875A2" w:rsidRDefault="00280E31" w:rsidP="002938B3">
            <w:pPr>
              <w:widowControl w:val="0"/>
              <w:spacing w:after="0" w:line="240" w:lineRule="auto"/>
              <w:rPr>
                <w:rFonts w:ascii="CG Times" w:hAnsi="CG Times"/>
                <w:b/>
                <w:i/>
                <w:sz w:val="21"/>
                <w:szCs w:val="21"/>
                <w:lang w:val="sq-AL"/>
              </w:rPr>
            </w:pPr>
            <w:r w:rsidRPr="00F875A2">
              <w:rPr>
                <w:rFonts w:ascii="CG Times" w:hAnsi="CG Times"/>
                <w:b/>
                <w:i/>
                <w:sz w:val="21"/>
                <w:szCs w:val="21"/>
                <w:lang w:val="sq-AL"/>
              </w:rPr>
              <w:t>Enzimat</w:t>
            </w:r>
          </w:p>
        </w:tc>
        <w:tc>
          <w:tcPr>
            <w:tcW w:w="1151" w:type="pct"/>
          </w:tcPr>
          <w:p w:rsidR="00280E31" w:rsidRPr="00F875A2" w:rsidRDefault="00280E31" w:rsidP="002938B3">
            <w:pPr>
              <w:widowControl w:val="0"/>
              <w:spacing w:after="0" w:line="240" w:lineRule="auto"/>
              <w:jc w:val="center"/>
              <w:rPr>
                <w:rFonts w:ascii="CG Times" w:hAnsi="CG Times"/>
                <w:sz w:val="21"/>
                <w:szCs w:val="21"/>
                <w:lang w:val="sq-AL"/>
              </w:rPr>
            </w:pP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Amilaza nga myqet Aspergillus niger</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GMP</w:t>
            </w: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Amilaza nga myqet Aspergillus oryzae</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GMP</w:t>
            </w: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Enzime proteolitike nga Bacillus subtilis</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GMP</w:t>
            </w: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Enzime proteolitike nga Bacillus oryzae</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GMP</w:t>
            </w: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b/>
                <w:i/>
                <w:sz w:val="21"/>
                <w:szCs w:val="21"/>
                <w:lang w:val="sq-AL"/>
              </w:rPr>
            </w:pPr>
            <w:r w:rsidRPr="00F875A2">
              <w:rPr>
                <w:rFonts w:ascii="CG Times" w:hAnsi="CG Times"/>
                <w:b/>
                <w:i/>
                <w:sz w:val="21"/>
                <w:szCs w:val="21"/>
                <w:lang w:val="sq-AL"/>
              </w:rPr>
              <w:t>Agjentë përpunues të miellit</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L-acid askorbik dhe kripërat e tij të natriumit dhe kaliumit</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300 mg/kg</w:t>
            </w: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L-cisteine klorhidrat</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90 mg/kg</w:t>
            </w: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Dioksid squfuri (vetëm në miellrat për prodhim biskotash dhe pastiçerie)</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200 mg/kg</w:t>
            </w: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Mono-kalcium fosfat</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2500 mg/kg</w:t>
            </w: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Lecitine</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2000 mg/kg</w:t>
            </w: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Klor në miellrat e kekeve që përmbajnë më shumë sheqer se miell</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2500 mg/kg</w:t>
            </w: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Dioksid klori për produkte furre që fryhen me maja</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30 mg/kg</w:t>
            </w: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Benzoil peroksid</w:t>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60 mg/kg</w:t>
            </w:r>
          </w:p>
        </w:tc>
      </w:tr>
      <w:tr w:rsidR="00280E31" w:rsidRPr="00F875A2" w:rsidTr="002938B3">
        <w:trPr>
          <w:trHeight w:val="208"/>
          <w:jc w:val="center"/>
        </w:trPr>
        <w:tc>
          <w:tcPr>
            <w:tcW w:w="3849" w:type="pct"/>
          </w:tcPr>
          <w:p w:rsidR="00280E31" w:rsidRPr="00F875A2" w:rsidRDefault="00280E31" w:rsidP="002938B3">
            <w:pPr>
              <w:widowControl w:val="0"/>
              <w:spacing w:after="0" w:line="240" w:lineRule="auto"/>
              <w:rPr>
                <w:rFonts w:ascii="CG Times" w:hAnsi="CG Times"/>
                <w:sz w:val="21"/>
                <w:szCs w:val="21"/>
                <w:lang w:val="sq-AL"/>
              </w:rPr>
            </w:pPr>
            <w:r w:rsidRPr="00F875A2">
              <w:rPr>
                <w:rFonts w:ascii="CG Times" w:hAnsi="CG Times"/>
                <w:sz w:val="21"/>
                <w:szCs w:val="21"/>
                <w:lang w:val="sq-AL"/>
              </w:rPr>
              <w:t>Azodikarbonamid për bukët e fermentuara (e ardhura)</w:t>
            </w:r>
            <w:r w:rsidRPr="00F875A2">
              <w:rPr>
                <w:rFonts w:ascii="CG Times" w:hAnsi="CG Times"/>
                <w:sz w:val="21"/>
                <w:szCs w:val="21"/>
                <w:lang w:val="sq-AL"/>
              </w:rPr>
              <w:tab/>
            </w:r>
          </w:p>
        </w:tc>
        <w:tc>
          <w:tcPr>
            <w:tcW w:w="1151" w:type="pct"/>
          </w:tcPr>
          <w:p w:rsidR="00280E31" w:rsidRPr="00F875A2" w:rsidRDefault="00280E31" w:rsidP="002938B3">
            <w:pPr>
              <w:widowControl w:val="0"/>
              <w:spacing w:after="0" w:line="240" w:lineRule="auto"/>
              <w:jc w:val="right"/>
              <w:rPr>
                <w:rFonts w:ascii="CG Times" w:hAnsi="CG Times"/>
                <w:sz w:val="21"/>
                <w:szCs w:val="21"/>
                <w:lang w:val="sq-AL"/>
              </w:rPr>
            </w:pPr>
            <w:r w:rsidRPr="00F875A2">
              <w:rPr>
                <w:rFonts w:ascii="CG Times" w:hAnsi="CG Times"/>
                <w:sz w:val="21"/>
                <w:szCs w:val="21"/>
                <w:lang w:val="sq-AL"/>
              </w:rPr>
              <w:t>45 mg/kg</w:t>
            </w:r>
          </w:p>
        </w:tc>
      </w:tr>
    </w:tbl>
    <w:p w:rsidR="00280E31" w:rsidRDefault="00280E31" w:rsidP="00280E31">
      <w:pPr>
        <w:pStyle w:val="Paragrafi"/>
        <w:rPr>
          <w:sz w:val="14"/>
          <w:lang w:val="sq-AL"/>
        </w:rPr>
      </w:pPr>
    </w:p>
    <w:p w:rsidR="00280E31" w:rsidRDefault="00280E31" w:rsidP="00280E31">
      <w:pPr>
        <w:pStyle w:val="Paragrafi"/>
        <w:rPr>
          <w:sz w:val="14"/>
          <w:lang w:val="sq-AL"/>
        </w:rPr>
      </w:pPr>
    </w:p>
    <w:p w:rsidR="00280E31" w:rsidRPr="00F875A2" w:rsidRDefault="00280E31" w:rsidP="00280E31">
      <w:pPr>
        <w:widowControl w:val="0"/>
        <w:spacing w:after="0" w:line="240" w:lineRule="auto"/>
        <w:jc w:val="center"/>
        <w:outlineLvl w:val="0"/>
        <w:rPr>
          <w:rFonts w:ascii="CG Times" w:hAnsi="CG Times"/>
          <w:sz w:val="21"/>
          <w:szCs w:val="21"/>
          <w:lang w:val="sq-AL"/>
        </w:rPr>
      </w:pPr>
      <w:r w:rsidRPr="00F875A2">
        <w:rPr>
          <w:rFonts w:ascii="CG Times" w:hAnsi="CG Times"/>
          <w:sz w:val="21"/>
          <w:szCs w:val="21"/>
          <w:lang w:val="sq-AL"/>
        </w:rPr>
        <w:t>SHTOJCA II</w:t>
      </w:r>
    </w:p>
    <w:p w:rsidR="00280E31" w:rsidRPr="00F875A2" w:rsidRDefault="00280E31" w:rsidP="00280E31">
      <w:pPr>
        <w:widowControl w:val="0"/>
        <w:spacing w:after="0" w:line="240" w:lineRule="auto"/>
        <w:jc w:val="center"/>
        <w:outlineLvl w:val="0"/>
        <w:rPr>
          <w:rFonts w:ascii="CG Times" w:hAnsi="CG Times"/>
          <w:sz w:val="21"/>
          <w:szCs w:val="21"/>
          <w:lang w:val="sq-AL"/>
        </w:rPr>
      </w:pPr>
      <w:r w:rsidRPr="00F875A2">
        <w:rPr>
          <w:rFonts w:ascii="CG Times" w:hAnsi="CG Times"/>
          <w:sz w:val="21"/>
          <w:szCs w:val="21"/>
          <w:lang w:val="sq-AL"/>
        </w:rPr>
        <w:t>KUFIRI I LEJUAR DHE METODA E ANALIZIMIT PËR DISA TREGUES TË MIELLIT TË GRURIT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97"/>
        <w:gridCol w:w="3491"/>
        <w:gridCol w:w="2988"/>
      </w:tblGrid>
      <w:tr w:rsidR="00280E31" w:rsidRPr="00AC1E6E" w:rsidTr="002938B3">
        <w:trPr>
          <w:trHeight w:val="288"/>
          <w:jc w:val="center"/>
        </w:trPr>
        <w:tc>
          <w:tcPr>
            <w:tcW w:w="1617" w:type="pct"/>
          </w:tcPr>
          <w:p w:rsidR="00280E31" w:rsidRPr="00AC1E6E" w:rsidRDefault="00280E31" w:rsidP="002938B3">
            <w:pPr>
              <w:widowControl w:val="0"/>
              <w:spacing w:after="0" w:line="240" w:lineRule="auto"/>
              <w:jc w:val="center"/>
              <w:rPr>
                <w:rFonts w:ascii="CG Times" w:hAnsi="CG Times"/>
                <w:b/>
                <w:sz w:val="20"/>
                <w:szCs w:val="20"/>
                <w:lang w:val="sq-AL"/>
              </w:rPr>
            </w:pPr>
            <w:r w:rsidRPr="00AC1E6E">
              <w:rPr>
                <w:rFonts w:ascii="CG Times" w:hAnsi="CG Times"/>
                <w:b/>
                <w:sz w:val="20"/>
                <w:szCs w:val="20"/>
                <w:lang w:val="sq-AL"/>
              </w:rPr>
              <w:t>Treguesi/përshkrimi</w:t>
            </w:r>
          </w:p>
        </w:tc>
        <w:tc>
          <w:tcPr>
            <w:tcW w:w="1823" w:type="pct"/>
          </w:tcPr>
          <w:p w:rsidR="00280E31" w:rsidRPr="00AC1E6E" w:rsidRDefault="00280E31" w:rsidP="002938B3">
            <w:pPr>
              <w:widowControl w:val="0"/>
              <w:spacing w:after="0" w:line="240" w:lineRule="auto"/>
              <w:jc w:val="center"/>
              <w:rPr>
                <w:rFonts w:ascii="CG Times" w:hAnsi="CG Times"/>
                <w:b/>
                <w:sz w:val="20"/>
                <w:szCs w:val="20"/>
                <w:lang w:val="sq-AL"/>
              </w:rPr>
            </w:pPr>
            <w:r w:rsidRPr="00AC1E6E">
              <w:rPr>
                <w:rFonts w:ascii="CG Times" w:hAnsi="CG Times"/>
                <w:b/>
                <w:sz w:val="20"/>
                <w:szCs w:val="20"/>
                <w:lang w:val="sq-AL"/>
              </w:rPr>
              <w:t>Kufiri i lejuar</w:t>
            </w:r>
          </w:p>
        </w:tc>
        <w:tc>
          <w:tcPr>
            <w:tcW w:w="1560" w:type="pct"/>
          </w:tcPr>
          <w:p w:rsidR="00280E31" w:rsidRPr="00AC1E6E" w:rsidRDefault="00280E31" w:rsidP="002938B3">
            <w:pPr>
              <w:widowControl w:val="0"/>
              <w:spacing w:after="0" w:line="240" w:lineRule="auto"/>
              <w:jc w:val="center"/>
              <w:rPr>
                <w:rFonts w:ascii="CG Times" w:hAnsi="CG Times"/>
                <w:b/>
                <w:sz w:val="20"/>
                <w:szCs w:val="20"/>
                <w:lang w:val="sq-AL"/>
              </w:rPr>
            </w:pPr>
            <w:r w:rsidRPr="00AC1E6E">
              <w:rPr>
                <w:rFonts w:ascii="CG Times" w:hAnsi="CG Times"/>
                <w:b/>
                <w:sz w:val="20"/>
                <w:szCs w:val="20"/>
                <w:lang w:val="sq-AL"/>
              </w:rPr>
              <w:t>Metoda e analizës</w:t>
            </w:r>
          </w:p>
        </w:tc>
      </w:tr>
      <w:tr w:rsidR="00280E31" w:rsidRPr="00AC1E6E" w:rsidTr="002938B3">
        <w:trPr>
          <w:trHeight w:val="288"/>
          <w:jc w:val="center"/>
        </w:trPr>
        <w:tc>
          <w:tcPr>
            <w:tcW w:w="1617"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 xml:space="preserve">Hiri </w:t>
            </w:r>
          </w:p>
        </w:tc>
        <w:tc>
          <w:tcPr>
            <w:tcW w:w="1823"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Preferenca e blerësit</w:t>
            </w:r>
          </w:p>
        </w:tc>
        <w:tc>
          <w:tcPr>
            <w:tcW w:w="1560"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AOAC 92303 bot.18</w:t>
            </w:r>
          </w:p>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ISO 2171:1980</w:t>
            </w:r>
          </w:p>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ICC Metoda nr.104/1(1990)</w:t>
            </w:r>
          </w:p>
        </w:tc>
      </w:tr>
      <w:tr w:rsidR="00280E31" w:rsidRPr="00AC1E6E" w:rsidTr="002938B3">
        <w:trPr>
          <w:trHeight w:val="288"/>
          <w:jc w:val="center"/>
        </w:trPr>
        <w:tc>
          <w:tcPr>
            <w:tcW w:w="1617"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Aciditeti i yndyrës</w:t>
            </w:r>
          </w:p>
        </w:tc>
        <w:tc>
          <w:tcPr>
            <w:tcW w:w="1823"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Maksimumi 70 mg/100 g miell mbi bazën e lëndës së thatë, e shprehur si acid sulfurik.</w:t>
            </w:r>
          </w:p>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Ose</w:t>
            </w:r>
          </w:p>
          <w:p w:rsidR="00280E31"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Jo më shumë se 50 mg hidroksid kaliumi për 100 g miell mbi bazën e lëndës së thatë.</w:t>
            </w:r>
          </w:p>
          <w:p w:rsidR="00280E31" w:rsidRPr="00AC1E6E" w:rsidRDefault="00280E31" w:rsidP="002938B3">
            <w:pPr>
              <w:widowControl w:val="0"/>
              <w:spacing w:after="0" w:line="240" w:lineRule="auto"/>
              <w:rPr>
                <w:rFonts w:ascii="CG Times" w:hAnsi="CG Times"/>
                <w:sz w:val="20"/>
                <w:szCs w:val="20"/>
                <w:lang w:val="sq-AL"/>
              </w:rPr>
            </w:pPr>
          </w:p>
        </w:tc>
        <w:tc>
          <w:tcPr>
            <w:tcW w:w="1560" w:type="pct"/>
          </w:tcPr>
          <w:p w:rsidR="00280E31" w:rsidRPr="00AC1E6E" w:rsidRDefault="00280E31" w:rsidP="002938B3">
            <w:pPr>
              <w:widowControl w:val="0"/>
              <w:spacing w:after="0" w:line="240" w:lineRule="auto"/>
              <w:rPr>
                <w:rFonts w:ascii="CG Times" w:hAnsi="CG Times"/>
                <w:sz w:val="20"/>
                <w:szCs w:val="20"/>
                <w:lang w:val="sq-AL"/>
              </w:rPr>
            </w:pPr>
          </w:p>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ISO 7305:1986</w:t>
            </w:r>
          </w:p>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Ose</w:t>
            </w:r>
          </w:p>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AOAC 939,05 bot.18</w:t>
            </w:r>
          </w:p>
        </w:tc>
      </w:tr>
      <w:tr w:rsidR="00280E31" w:rsidRPr="00AC1E6E" w:rsidTr="002938B3">
        <w:trPr>
          <w:trHeight w:val="288"/>
          <w:jc w:val="center"/>
        </w:trPr>
        <w:tc>
          <w:tcPr>
            <w:tcW w:w="1617"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Proteina (Nx5,7)</w:t>
            </w:r>
          </w:p>
        </w:tc>
        <w:tc>
          <w:tcPr>
            <w:tcW w:w="1823"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Minimumi 12.5% mbi bazën e peshës së thatë.</w:t>
            </w:r>
          </w:p>
        </w:tc>
        <w:tc>
          <w:tcPr>
            <w:tcW w:w="1560"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ICC 105/1 Metoda për përcaktimin e proteinës bruto në drithëra dhe produkte drithërash për ushqim dhe për ushqim për kafshët (metodë e tipit I) katalizator selenium/bakër.</w:t>
            </w:r>
          </w:p>
        </w:tc>
      </w:tr>
      <w:tr w:rsidR="00280E31" w:rsidRPr="00AC1E6E" w:rsidTr="002938B3">
        <w:trPr>
          <w:trHeight w:val="288"/>
          <w:jc w:val="center"/>
        </w:trPr>
        <w:tc>
          <w:tcPr>
            <w:tcW w:w="1617"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Ushqyesit:</w:t>
            </w:r>
          </w:p>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 vitaminat;</w:t>
            </w:r>
          </w:p>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 komponimet minerale;</w:t>
            </w:r>
          </w:p>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 aminoacidet.</w:t>
            </w:r>
          </w:p>
        </w:tc>
        <w:tc>
          <w:tcPr>
            <w:tcW w:w="1823"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Konform legjislacionit shqiptar në fuqi.</w:t>
            </w:r>
          </w:p>
        </w:tc>
        <w:tc>
          <w:tcPr>
            <w:tcW w:w="1560"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Konform legjislacionit shqiptar në fuqi.</w:t>
            </w:r>
          </w:p>
        </w:tc>
      </w:tr>
      <w:tr w:rsidR="00280E31" w:rsidRPr="00AC1E6E" w:rsidTr="002938B3">
        <w:trPr>
          <w:trHeight w:val="288"/>
          <w:jc w:val="center"/>
        </w:trPr>
        <w:tc>
          <w:tcPr>
            <w:tcW w:w="1617"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Madhësia e grimcave (granulometria)</w:t>
            </w:r>
          </w:p>
        </w:tc>
        <w:tc>
          <w:tcPr>
            <w:tcW w:w="1823"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t xml:space="preserve">98% ose më shumë e miellit duhet të kalojë përmes hapësirës 212 mikron </w:t>
            </w:r>
            <w:r w:rsidRPr="00AC1E6E">
              <w:rPr>
                <w:rFonts w:ascii="CG Times" w:hAnsi="CG Times"/>
                <w:sz w:val="20"/>
                <w:szCs w:val="20"/>
                <w:lang w:val="sq-AL"/>
              </w:rPr>
              <w:lastRenderedPageBreak/>
              <w:t>(sita nr.70)</w:t>
            </w:r>
          </w:p>
        </w:tc>
        <w:tc>
          <w:tcPr>
            <w:tcW w:w="1560" w:type="pct"/>
          </w:tcPr>
          <w:p w:rsidR="00280E31" w:rsidRPr="00AC1E6E" w:rsidRDefault="00280E31" w:rsidP="002938B3">
            <w:pPr>
              <w:widowControl w:val="0"/>
              <w:spacing w:after="0" w:line="240" w:lineRule="auto"/>
              <w:rPr>
                <w:rFonts w:ascii="CG Times" w:hAnsi="CG Times"/>
                <w:sz w:val="20"/>
                <w:szCs w:val="20"/>
                <w:lang w:val="sq-AL"/>
              </w:rPr>
            </w:pPr>
            <w:r w:rsidRPr="00AC1E6E">
              <w:rPr>
                <w:rFonts w:ascii="CG Times" w:hAnsi="CG Times"/>
                <w:sz w:val="20"/>
                <w:szCs w:val="20"/>
                <w:lang w:val="sq-AL"/>
              </w:rPr>
              <w:lastRenderedPageBreak/>
              <w:t>AOAC 965,22 bot.18</w:t>
            </w:r>
          </w:p>
        </w:tc>
      </w:tr>
    </w:tbl>
    <w:p w:rsidR="00280E31" w:rsidRPr="00F875A2" w:rsidRDefault="00280E31" w:rsidP="00280E31">
      <w:pPr>
        <w:pStyle w:val="Paragrafi"/>
        <w:rPr>
          <w:lang w:val="sq-AL"/>
        </w:rPr>
      </w:pPr>
    </w:p>
    <w:p w:rsidR="00000000" w:rsidRDefault="00280E31"/>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E5" w:rsidRPr="007508BA" w:rsidRDefault="00280E31" w:rsidP="006474AB">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w:instrText>
    </w:r>
    <w:r w:rsidRPr="007508BA">
      <w:rPr>
        <w:rFonts w:ascii="CG Times" w:hAnsi="CG Times"/>
        <w:sz w:val="21"/>
        <w:szCs w:val="21"/>
      </w:rPr>
      <w:instrText xml:space="preserve">* MERGEFORMAT </w:instrText>
    </w:r>
    <w:r w:rsidRPr="007508BA">
      <w:rPr>
        <w:rFonts w:ascii="CG Times" w:hAnsi="CG Times"/>
        <w:sz w:val="21"/>
        <w:szCs w:val="21"/>
      </w:rPr>
      <w:fldChar w:fldCharType="separate"/>
    </w:r>
    <w:r>
      <w:rPr>
        <w:rFonts w:ascii="CG Times" w:hAnsi="CG Times"/>
        <w:noProof/>
        <w:sz w:val="21"/>
        <w:szCs w:val="21"/>
      </w:rPr>
      <w:t>5152</w:t>
    </w:r>
    <w:r w:rsidRPr="007508BA">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E5" w:rsidRPr="007508BA" w:rsidRDefault="00280E31" w:rsidP="000E2620">
    <w:pPr>
      <w:spacing w:after="0" w:line="240" w:lineRule="auto"/>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5141</w:t>
    </w:r>
    <w:r w:rsidRPr="007508BA">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E5" w:rsidRDefault="00280E31" w:rsidP="00CE19B2">
    <w:pPr>
      <w:spacing w:after="0" w:line="240" w:lineRule="auto"/>
      <w:rPr>
        <w:rFonts w:ascii="CG Times" w:hAnsi="CG Times"/>
        <w:sz w:val="20"/>
        <w:szCs w:val="20"/>
      </w:rPr>
    </w:pPr>
    <w:r>
      <w:rPr>
        <w:rFonts w:ascii="CG Times" w:hAnsi="CG Times"/>
        <w:sz w:val="20"/>
        <w:szCs w:val="20"/>
      </w:rPr>
      <w:t>Fletore Zyrtare nr.</w:t>
    </w:r>
    <w:r>
      <w:rPr>
        <w:rFonts w:ascii="CG Times" w:hAnsi="CG Times"/>
        <w:sz w:val="20"/>
        <w:szCs w:val="20"/>
      </w:rPr>
      <w:t>116</w:t>
    </w:r>
    <w:r>
      <w:rPr>
        <w:rFonts w:ascii="CG Times" w:hAnsi="CG Times"/>
        <w:sz w:val="20"/>
        <w:szCs w:val="20"/>
      </w:rPr>
      <w:t xml:space="preserve">, datë </w:t>
    </w:r>
    <w:r>
      <w:rPr>
        <w:rFonts w:ascii="CG Times" w:hAnsi="CG Times"/>
        <w:sz w:val="20"/>
        <w:szCs w:val="20"/>
      </w:rPr>
      <w:t>30 korrik 2014</w:t>
    </w:r>
  </w:p>
  <w:p w:rsidR="001B3DE5" w:rsidRPr="00045422" w:rsidRDefault="00280E31" w:rsidP="00214803">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E5" w:rsidRDefault="00280E31" w:rsidP="00214803">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w:t>
    </w:r>
    <w:r>
      <w:rPr>
        <w:rFonts w:ascii="CG Times" w:hAnsi="CG Times"/>
        <w:sz w:val="20"/>
        <w:szCs w:val="20"/>
      </w:rPr>
      <w:t>116</w:t>
    </w:r>
    <w:r>
      <w:rPr>
        <w:rFonts w:ascii="CG Times" w:hAnsi="CG Times"/>
        <w:sz w:val="20"/>
        <w:szCs w:val="20"/>
      </w:rPr>
      <w:t>, datë</w:t>
    </w:r>
    <w:r>
      <w:rPr>
        <w:rFonts w:ascii="CG Times" w:hAnsi="CG Times"/>
        <w:sz w:val="20"/>
        <w:szCs w:val="20"/>
      </w:rPr>
      <w:t xml:space="preserve"> 30 korrik 2014</w:t>
    </w:r>
    <w:r>
      <w:rPr>
        <w:rFonts w:ascii="CG Times" w:hAnsi="CG Times"/>
        <w:sz w:val="20"/>
        <w:szCs w:val="20"/>
      </w:rPr>
      <w:t xml:space="preserve"> </w:t>
    </w:r>
  </w:p>
  <w:p w:rsidR="001B3DE5" w:rsidRPr="00D72D5C" w:rsidRDefault="00280E31" w:rsidP="00214803">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280E31"/>
    <w:rsid w:val="00280E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80E3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280E31"/>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280E3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80E31"/>
    <w:rPr>
      <w:rFonts w:ascii="CG Times" w:eastAsia="MS Mincho" w:hAnsi="CG Times" w:cs="CG Times"/>
      <w:b/>
      <w:bCs/>
      <w:sz w:val="21"/>
      <w:lang w:val="en-GB"/>
    </w:rPr>
  </w:style>
  <w:style w:type="paragraph" w:customStyle="1" w:styleId="Paragrafi">
    <w:name w:val="Paragrafi"/>
    <w:link w:val="ParagrafiChar"/>
    <w:rsid w:val="00280E3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80E31"/>
    <w:rPr>
      <w:rFonts w:ascii="CG Times" w:eastAsia="MS Mincho" w:hAnsi="CG Times" w:cs="CG Times"/>
      <w:sz w:val="21"/>
    </w:rPr>
  </w:style>
  <w:style w:type="paragraph" w:customStyle="1" w:styleId="Titulli">
    <w:name w:val="Titulli"/>
    <w:next w:val="Normal"/>
    <w:link w:val="TitulliChar"/>
    <w:rsid w:val="00280E3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80E3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80E31"/>
    <w:rPr>
      <w:rFonts w:ascii="CG Times" w:eastAsia="MS Mincho" w:hAnsi="CG Times" w:cs="CG Times"/>
      <w:caps/>
      <w:sz w:val="21"/>
      <w:lang w:val="en-GB"/>
    </w:rPr>
  </w:style>
  <w:style w:type="character" w:customStyle="1" w:styleId="TitulliChar">
    <w:name w:val="Titulli Char"/>
    <w:basedOn w:val="DefaultParagraphFont"/>
    <w:link w:val="Titulli"/>
    <w:rsid w:val="00280E31"/>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280E31"/>
    <w:rPr>
      <w:rFonts w:ascii="CG Times" w:eastAsia="MS Mincho" w:hAnsi="CG Times" w:cs="CG Times"/>
      <w:caps/>
      <w:sz w:val="21"/>
      <w:lang w:val="en-GB"/>
    </w:rPr>
  </w:style>
  <w:style w:type="character" w:customStyle="1" w:styleId="AktiChar">
    <w:name w:val="Akti Char"/>
    <w:basedOn w:val="DefaultParagraphFont"/>
    <w:link w:val="Akti"/>
    <w:rsid w:val="00280E31"/>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1181</Words>
  <Characters>6732</Characters>
  <Application>Microsoft Office Word</Application>
  <DocSecurity>0</DocSecurity>
  <Lines>56</Lines>
  <Paragraphs>15</Paragraphs>
  <ScaleCrop>false</ScaleCrop>
  <Company>Grizli777</Company>
  <LinksUpToDate>false</LinksUpToDate>
  <CharactersWithSpaces>7898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2014-09-29T10:44:00Z</dcterms:created>
  <dcterms:modified xsi:type="dcterms:W3CDTF">2014-09-29T10:44:00Z</dcterms:modified>
</cp:coreProperties>
</file>