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ACA36B" w14:textId="77777777" w:rsidR="00BD33E4" w:rsidRPr="00B05323" w:rsidRDefault="00BD33E4" w:rsidP="00BD33E4">
      <w:pPr>
        <w:pStyle w:val="Paragrafi"/>
        <w:ind w:firstLine="0"/>
        <w:jc w:val="center"/>
        <w:rPr>
          <w:b/>
          <w:lang w:val="sq-AL"/>
        </w:rPr>
      </w:pPr>
      <w:r w:rsidRPr="00B05323">
        <w:rPr>
          <w:b/>
          <w:lang w:val="sq-AL"/>
        </w:rPr>
        <w:t>UDHËZIM</w:t>
      </w:r>
    </w:p>
    <w:p w14:paraId="50ACA36C" w14:textId="77777777" w:rsidR="00BD33E4" w:rsidRPr="00B05323" w:rsidRDefault="00BD33E4" w:rsidP="00BD33E4">
      <w:pPr>
        <w:pStyle w:val="Paragrafi"/>
        <w:ind w:firstLine="0"/>
        <w:jc w:val="center"/>
        <w:rPr>
          <w:b/>
          <w:lang w:val="sq-AL"/>
        </w:rPr>
      </w:pPr>
      <w:r w:rsidRPr="00B05323">
        <w:rPr>
          <w:b/>
          <w:lang w:val="sq-AL"/>
        </w:rPr>
        <w:t>Nr. 16, datë 9.9.2021</w:t>
      </w:r>
    </w:p>
    <w:p w14:paraId="50ACA36D" w14:textId="77777777" w:rsidR="00BD33E4" w:rsidRPr="00B05323" w:rsidRDefault="00BD33E4" w:rsidP="00BD33E4">
      <w:pPr>
        <w:pStyle w:val="Paragrafi"/>
        <w:ind w:firstLine="0"/>
        <w:jc w:val="center"/>
        <w:rPr>
          <w:b/>
          <w:lang w:val="sq-AL"/>
        </w:rPr>
      </w:pPr>
    </w:p>
    <w:p w14:paraId="50ACA36E" w14:textId="77777777" w:rsidR="00BD33E4" w:rsidRPr="00B05323" w:rsidRDefault="00BD33E4" w:rsidP="00BD33E4">
      <w:pPr>
        <w:pStyle w:val="Paragrafi"/>
        <w:ind w:firstLine="0"/>
        <w:jc w:val="center"/>
        <w:rPr>
          <w:b/>
          <w:lang w:val="sq-AL"/>
        </w:rPr>
      </w:pPr>
      <w:r w:rsidRPr="00B05323">
        <w:rPr>
          <w:b/>
          <w:lang w:val="sq-AL"/>
        </w:rPr>
        <w:t>PËR MËNYRËN E LEXIMIT DHE INTERPRETIMIT TË MESAZHEVE QË SHFAQEN NË SISTEMIN E MONITORIMIT TË ANIJEVE TË PESHKIMIT (VMS)</w:t>
      </w:r>
    </w:p>
    <w:p w14:paraId="50ACA36F" w14:textId="77777777" w:rsidR="00BD33E4" w:rsidRPr="00B05323" w:rsidRDefault="00BD33E4" w:rsidP="00BD33E4">
      <w:pPr>
        <w:pStyle w:val="Paragrafi"/>
        <w:rPr>
          <w:lang w:val="sq-AL"/>
        </w:rPr>
      </w:pPr>
    </w:p>
    <w:p w14:paraId="50ACA370" w14:textId="3D43E50C" w:rsidR="00BD33E4" w:rsidRPr="00B05323" w:rsidRDefault="00BD33E4" w:rsidP="00BD33E4">
      <w:pPr>
        <w:pStyle w:val="Paragrafi"/>
        <w:rPr>
          <w:lang w:val="sq-AL"/>
        </w:rPr>
      </w:pPr>
      <w:r w:rsidRPr="00B05323">
        <w:rPr>
          <w:lang w:val="sq-AL"/>
        </w:rPr>
        <w:t xml:space="preserve">Në mbështetje të pikës 4, të nenit 102 të Kushtetutës dhe në zbatim të pikës 1, të nenit 19, të </w:t>
      </w:r>
      <w:r w:rsidR="00ED55CA" w:rsidRPr="00B05323">
        <w:rPr>
          <w:lang w:val="sq-AL"/>
        </w:rPr>
        <w:t>l</w:t>
      </w:r>
      <w:r w:rsidRPr="00B05323">
        <w:rPr>
          <w:lang w:val="sq-AL"/>
        </w:rPr>
        <w:t>igjit nr. 64/2012</w:t>
      </w:r>
      <w:r w:rsidR="00B44E35" w:rsidRPr="00B05323">
        <w:rPr>
          <w:lang w:val="sq-AL"/>
        </w:rPr>
        <w:t>,</w:t>
      </w:r>
      <w:r w:rsidRPr="00B05323">
        <w:rPr>
          <w:lang w:val="sq-AL"/>
        </w:rPr>
        <w:t xml:space="preserve"> “Për peshkimin”, të ndryshuar</w:t>
      </w:r>
      <w:r w:rsidR="00BF5660" w:rsidRPr="00B05323">
        <w:rPr>
          <w:lang w:val="sq-AL"/>
        </w:rPr>
        <w:t>,</w:t>
      </w:r>
    </w:p>
    <w:p w14:paraId="50ACA371" w14:textId="77777777" w:rsidR="00BD33E4" w:rsidRPr="00B05323" w:rsidRDefault="00BD33E4" w:rsidP="00BD33E4">
      <w:pPr>
        <w:pStyle w:val="Paragrafi"/>
        <w:rPr>
          <w:lang w:val="sq-AL"/>
        </w:rPr>
      </w:pPr>
    </w:p>
    <w:p w14:paraId="50ACA372" w14:textId="77777777" w:rsidR="00BD33E4" w:rsidRPr="00B05323" w:rsidRDefault="00BD33E4" w:rsidP="00BD33E4">
      <w:pPr>
        <w:pStyle w:val="Paragrafi"/>
        <w:ind w:firstLine="0"/>
        <w:jc w:val="center"/>
        <w:rPr>
          <w:lang w:val="sq-AL"/>
        </w:rPr>
      </w:pPr>
      <w:r w:rsidRPr="00B05323">
        <w:rPr>
          <w:lang w:val="sq-AL"/>
        </w:rPr>
        <w:t>UDHËZOJ:</w:t>
      </w:r>
    </w:p>
    <w:p w14:paraId="50ACA373" w14:textId="77777777" w:rsidR="00BD33E4" w:rsidRPr="00B05323" w:rsidRDefault="00BD33E4" w:rsidP="00BD33E4">
      <w:pPr>
        <w:pStyle w:val="Paragrafi"/>
        <w:rPr>
          <w:lang w:val="sq-AL"/>
        </w:rPr>
      </w:pPr>
    </w:p>
    <w:p w14:paraId="50ACA374" w14:textId="77777777" w:rsidR="00BD33E4" w:rsidRPr="00B05323" w:rsidRDefault="00BD33E4" w:rsidP="00BD33E4">
      <w:pPr>
        <w:pStyle w:val="Paragrafi"/>
        <w:rPr>
          <w:lang w:val="sq-AL"/>
        </w:rPr>
      </w:pPr>
      <w:r w:rsidRPr="00B05323">
        <w:rPr>
          <w:lang w:val="sq-AL"/>
        </w:rPr>
        <w:t>1. Alarmet ose sinjalizimet e Sistemit të Monitorimit të Anijeve të Peshkimit (VMS) lexohen dhe interpretohen sipas shpjegimeve të parashikuara në këtë udhëzim.</w:t>
      </w:r>
    </w:p>
    <w:p w14:paraId="50ACA375" w14:textId="77777777" w:rsidR="00BD33E4" w:rsidRPr="00B05323" w:rsidRDefault="00BD33E4" w:rsidP="00BD33E4">
      <w:pPr>
        <w:pStyle w:val="Paragrafi"/>
        <w:rPr>
          <w:lang w:val="sq-AL"/>
        </w:rPr>
      </w:pPr>
      <w:r w:rsidRPr="00B05323">
        <w:rPr>
          <w:lang w:val="sq-AL"/>
        </w:rPr>
        <w:t>2. Sinjali që shfaqet sipas figurës së mëposhtme me emërtimin “Regular” nënkupton që monitorimi është në rregull sipas konfigurimit.</w:t>
      </w:r>
    </w:p>
    <w:p w14:paraId="50ACA376" w14:textId="77777777" w:rsidR="00BD33E4" w:rsidRPr="00B05323" w:rsidRDefault="00BD33E4" w:rsidP="00BD33E4">
      <w:pPr>
        <w:pStyle w:val="BodyText"/>
        <w:numPr>
          <w:ilvl w:val="0"/>
          <w:numId w:val="0"/>
        </w:numPr>
        <w:tabs>
          <w:tab w:val="left" w:pos="5400"/>
          <w:tab w:val="left" w:pos="5490"/>
        </w:tabs>
        <w:rPr>
          <w:rFonts w:ascii="Times New Roman" w:hAnsi="Times New Roman"/>
          <w:lang w:val="sq-AL"/>
        </w:rPr>
      </w:pPr>
    </w:p>
    <w:p w14:paraId="50ACA377" w14:textId="77777777" w:rsidR="00BD33E4" w:rsidRPr="00B05323" w:rsidRDefault="00BD33E4" w:rsidP="00BD33E4">
      <w:pPr>
        <w:pStyle w:val="BodyText"/>
        <w:numPr>
          <w:ilvl w:val="0"/>
          <w:numId w:val="0"/>
        </w:numPr>
        <w:tabs>
          <w:tab w:val="left" w:pos="5400"/>
          <w:tab w:val="left" w:pos="5490"/>
        </w:tabs>
        <w:jc w:val="center"/>
        <w:rPr>
          <w:rFonts w:ascii="Times New Roman" w:hAnsi="Times New Roman"/>
          <w:lang w:val="sq-AL"/>
        </w:rPr>
      </w:pPr>
      <w:r w:rsidRPr="00B05323">
        <w:rPr>
          <w:rFonts w:ascii="Times New Roman" w:hAnsi="Times New Roman"/>
          <w:noProof/>
        </w:rPr>
        <w:drawing>
          <wp:inline distT="0" distB="0" distL="0" distR="0" wp14:anchorId="50ACA3B9" wp14:editId="50ACA3BA">
            <wp:extent cx="4483963" cy="124835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4370" cy="1248468"/>
                    </a:xfrm>
                    <a:prstGeom prst="rect">
                      <a:avLst/>
                    </a:prstGeom>
                    <a:noFill/>
                    <a:ln>
                      <a:noFill/>
                    </a:ln>
                  </pic:spPr>
                </pic:pic>
              </a:graphicData>
            </a:graphic>
          </wp:inline>
        </w:drawing>
      </w:r>
    </w:p>
    <w:p w14:paraId="50ACA378" w14:textId="77777777" w:rsidR="00BD33E4" w:rsidRPr="00B05323" w:rsidRDefault="00BD33E4" w:rsidP="00BD33E4">
      <w:pPr>
        <w:pStyle w:val="Paragrafi"/>
        <w:rPr>
          <w:lang w:val="sq-AL"/>
        </w:rPr>
      </w:pPr>
    </w:p>
    <w:p w14:paraId="50ACA379" w14:textId="7713533E" w:rsidR="00BD33E4" w:rsidRPr="00B05323" w:rsidRDefault="00BD33E4" w:rsidP="00BD33E4">
      <w:pPr>
        <w:pStyle w:val="Paragrafi"/>
        <w:rPr>
          <w:lang w:val="sq-AL"/>
        </w:rPr>
      </w:pPr>
      <w:r w:rsidRPr="00B05323">
        <w:rPr>
          <w:lang w:val="sq-AL"/>
        </w:rPr>
        <w:t>3. Sinjali që shfaqet sipas figurës së mëposhtme</w:t>
      </w:r>
      <w:r w:rsidR="008857CE" w:rsidRPr="00B05323">
        <w:rPr>
          <w:lang w:val="sq-AL"/>
        </w:rPr>
        <w:t>,</w:t>
      </w:r>
      <w:r w:rsidRPr="00B05323">
        <w:rPr>
          <w:lang w:val="sq-AL"/>
        </w:rPr>
        <w:t xml:space="preserve"> me emërtimin “Position Received but not used yet for alert detection”</w:t>
      </w:r>
      <w:r w:rsidR="008857CE" w:rsidRPr="00B05323">
        <w:rPr>
          <w:lang w:val="sq-AL"/>
        </w:rPr>
        <w:t>,</w:t>
      </w:r>
      <w:r w:rsidRPr="00B05323">
        <w:rPr>
          <w:lang w:val="sq-AL"/>
        </w:rPr>
        <w:t xml:space="preserve"> lexohet dhe interpretohet se janë marrë të dhënat</w:t>
      </w:r>
      <w:r w:rsidR="00C36CF3" w:rsidRPr="00B05323">
        <w:rPr>
          <w:lang w:val="sq-AL"/>
        </w:rPr>
        <w:t>,</w:t>
      </w:r>
      <w:r w:rsidRPr="00B05323">
        <w:rPr>
          <w:lang w:val="sq-AL"/>
        </w:rPr>
        <w:t xml:space="preserve"> por nuk janë</w:t>
      </w:r>
      <w:r w:rsidR="00AA7FE9" w:rsidRPr="00B05323">
        <w:rPr>
          <w:lang w:val="sq-AL"/>
        </w:rPr>
        <w:t xml:space="preserve"> </w:t>
      </w:r>
      <w:r w:rsidRPr="00B05323">
        <w:rPr>
          <w:lang w:val="sq-AL"/>
        </w:rPr>
        <w:t xml:space="preserve">përpunuar. Anija e peshkimit nuk ka kryer shkelje. </w:t>
      </w:r>
    </w:p>
    <w:p w14:paraId="50ACA37A" w14:textId="77777777" w:rsidR="00BD33E4" w:rsidRPr="00B05323" w:rsidRDefault="00BD33E4" w:rsidP="00BD33E4">
      <w:pPr>
        <w:pStyle w:val="Paragrafi"/>
        <w:rPr>
          <w:lang w:val="sq-AL"/>
        </w:rPr>
      </w:pPr>
    </w:p>
    <w:p w14:paraId="50ACA37B" w14:textId="77777777" w:rsidR="00BD33E4" w:rsidRPr="00B05323" w:rsidRDefault="00BD33E4" w:rsidP="00BD33E4">
      <w:pPr>
        <w:pStyle w:val="BodyText"/>
        <w:numPr>
          <w:ilvl w:val="0"/>
          <w:numId w:val="0"/>
        </w:numPr>
        <w:tabs>
          <w:tab w:val="left" w:pos="540"/>
        </w:tabs>
        <w:jc w:val="center"/>
        <w:rPr>
          <w:rFonts w:ascii="Times New Roman" w:hAnsi="Times New Roman"/>
          <w:lang w:val="sq-AL"/>
        </w:rPr>
      </w:pPr>
      <w:r w:rsidRPr="00B05323">
        <w:rPr>
          <w:rFonts w:ascii="Times New Roman" w:hAnsi="Times New Roman"/>
          <w:noProof/>
        </w:rPr>
        <w:drawing>
          <wp:inline distT="0" distB="0" distL="0" distR="0" wp14:anchorId="50ACA3BB" wp14:editId="50ACA3BC">
            <wp:extent cx="4317365" cy="1296035"/>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7365" cy="1296035"/>
                    </a:xfrm>
                    <a:prstGeom prst="rect">
                      <a:avLst/>
                    </a:prstGeom>
                    <a:noFill/>
                    <a:ln>
                      <a:noFill/>
                    </a:ln>
                  </pic:spPr>
                </pic:pic>
              </a:graphicData>
            </a:graphic>
          </wp:inline>
        </w:drawing>
      </w:r>
    </w:p>
    <w:p w14:paraId="50ACA37C" w14:textId="77777777" w:rsidR="00BD33E4" w:rsidRPr="00B05323" w:rsidRDefault="00BD33E4" w:rsidP="00BD33E4">
      <w:pPr>
        <w:pStyle w:val="Paragrafi"/>
        <w:rPr>
          <w:lang w:val="sq-AL"/>
        </w:rPr>
      </w:pPr>
    </w:p>
    <w:p w14:paraId="50ACA37D" w14:textId="6D46E5A1" w:rsidR="00BD33E4" w:rsidRPr="00B05323" w:rsidRDefault="00BD33E4" w:rsidP="00BD33E4">
      <w:pPr>
        <w:pStyle w:val="Paragrafi"/>
        <w:rPr>
          <w:lang w:val="sq-AL"/>
        </w:rPr>
      </w:pPr>
      <w:r w:rsidRPr="00B05323">
        <w:rPr>
          <w:lang w:val="sq-AL"/>
        </w:rPr>
        <w:t>4. Sinjali që shfaqet sipas figurës së mëposhtme</w:t>
      </w:r>
      <w:r w:rsidR="00CC1AB2" w:rsidRPr="00B05323">
        <w:rPr>
          <w:lang w:val="sq-AL"/>
        </w:rPr>
        <w:t>,</w:t>
      </w:r>
      <w:r w:rsidRPr="00B05323">
        <w:rPr>
          <w:lang w:val="sq-AL"/>
        </w:rPr>
        <w:t xml:space="preserve"> me emërtimin “Position Received too late for alert detection”</w:t>
      </w:r>
      <w:r w:rsidR="00CC1AB2" w:rsidRPr="00B05323">
        <w:rPr>
          <w:lang w:val="sq-AL"/>
        </w:rPr>
        <w:t>,</w:t>
      </w:r>
      <w:r w:rsidRPr="00B05323">
        <w:rPr>
          <w:lang w:val="sq-AL"/>
        </w:rPr>
        <w:t xml:space="preserve"> lexohet dhe interpretohet se janë marrë të dhënat me vonesë dhe nuk mund të përdoren për të gjeneruar alarm.</w:t>
      </w:r>
      <w:r w:rsidR="00AA7FE9" w:rsidRPr="00B05323">
        <w:rPr>
          <w:lang w:val="sq-AL"/>
        </w:rPr>
        <w:t xml:space="preserve"> </w:t>
      </w:r>
    </w:p>
    <w:p w14:paraId="50ACA37E" w14:textId="77777777" w:rsidR="00BD33E4" w:rsidRPr="00B05323" w:rsidRDefault="00BD33E4" w:rsidP="00BD33E4">
      <w:pPr>
        <w:pStyle w:val="Paragrafi"/>
        <w:rPr>
          <w:lang w:val="sq-AL"/>
        </w:rPr>
      </w:pPr>
    </w:p>
    <w:p w14:paraId="50ACA37F" w14:textId="77777777" w:rsidR="00BD33E4" w:rsidRPr="00B05323" w:rsidRDefault="00BD33E4" w:rsidP="00BD33E4">
      <w:pPr>
        <w:pStyle w:val="BodyText"/>
        <w:numPr>
          <w:ilvl w:val="0"/>
          <w:numId w:val="0"/>
        </w:numPr>
        <w:tabs>
          <w:tab w:val="left" w:pos="540"/>
        </w:tabs>
        <w:jc w:val="center"/>
        <w:rPr>
          <w:rFonts w:ascii="Times New Roman" w:hAnsi="Times New Roman"/>
          <w:lang w:val="sq-AL"/>
        </w:rPr>
      </w:pPr>
      <w:r w:rsidRPr="00B05323">
        <w:rPr>
          <w:rFonts w:ascii="Times New Roman" w:hAnsi="Times New Roman"/>
          <w:noProof/>
        </w:rPr>
        <w:drawing>
          <wp:inline distT="0" distB="0" distL="0" distR="0" wp14:anchorId="50ACA3BD" wp14:editId="50ACA3BE">
            <wp:extent cx="4317365" cy="151066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7365" cy="1510665"/>
                    </a:xfrm>
                    <a:prstGeom prst="rect">
                      <a:avLst/>
                    </a:prstGeom>
                    <a:noFill/>
                    <a:ln>
                      <a:noFill/>
                    </a:ln>
                  </pic:spPr>
                </pic:pic>
              </a:graphicData>
            </a:graphic>
          </wp:inline>
        </w:drawing>
      </w:r>
    </w:p>
    <w:p w14:paraId="50ACA380" w14:textId="77777777" w:rsidR="00BD33E4" w:rsidRPr="00B05323" w:rsidRDefault="00BD33E4" w:rsidP="00BD33E4">
      <w:pPr>
        <w:pStyle w:val="Paragrafi"/>
        <w:rPr>
          <w:lang w:val="sq-AL"/>
        </w:rPr>
      </w:pPr>
    </w:p>
    <w:p w14:paraId="50ACA381" w14:textId="3971A271" w:rsidR="00BD33E4" w:rsidRPr="00B05323" w:rsidRDefault="00BD33E4" w:rsidP="00BD33E4">
      <w:pPr>
        <w:pStyle w:val="Paragrafi"/>
        <w:rPr>
          <w:lang w:val="sq-AL"/>
        </w:rPr>
      </w:pPr>
      <w:r w:rsidRPr="00B05323">
        <w:rPr>
          <w:lang w:val="sq-AL"/>
        </w:rPr>
        <w:lastRenderedPageBreak/>
        <w:t>5. Sinjali që shfaqet sipas figurës së mëposhtme me emërtimin “Not reporting” ose “None” lexohet dhe interpretohet se ende nuk ka raportim</w:t>
      </w:r>
      <w:r w:rsidR="005A0E8F" w:rsidRPr="00B05323">
        <w:rPr>
          <w:lang w:val="sq-AL"/>
        </w:rPr>
        <w:t>,</w:t>
      </w:r>
      <w:r w:rsidRPr="00B05323">
        <w:rPr>
          <w:lang w:val="sq-AL"/>
        </w:rPr>
        <w:t xml:space="preserve"> por do të përditësohet së shpejti.</w:t>
      </w:r>
    </w:p>
    <w:p w14:paraId="50ACA382" w14:textId="77777777" w:rsidR="00BD33E4" w:rsidRPr="00B05323" w:rsidRDefault="00BD33E4" w:rsidP="00BD33E4">
      <w:pPr>
        <w:pStyle w:val="Paragrafi"/>
        <w:rPr>
          <w:lang w:val="sq-AL"/>
        </w:rPr>
      </w:pPr>
    </w:p>
    <w:p w14:paraId="50ACA383" w14:textId="77777777" w:rsidR="00BD33E4" w:rsidRPr="00B05323" w:rsidRDefault="00BD33E4" w:rsidP="00BD33E4">
      <w:pPr>
        <w:pStyle w:val="Paragrafi"/>
        <w:ind w:firstLine="0"/>
        <w:jc w:val="center"/>
        <w:rPr>
          <w:lang w:val="sq-AL"/>
        </w:rPr>
      </w:pPr>
      <w:r w:rsidRPr="00B05323">
        <w:rPr>
          <w:noProof/>
        </w:rPr>
        <w:drawing>
          <wp:inline distT="0" distB="0" distL="0" distR="0" wp14:anchorId="50ACA3BF" wp14:editId="50ACA3C0">
            <wp:extent cx="4397375" cy="139128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7375" cy="1391285"/>
                    </a:xfrm>
                    <a:prstGeom prst="rect">
                      <a:avLst/>
                    </a:prstGeom>
                    <a:noFill/>
                    <a:ln>
                      <a:noFill/>
                    </a:ln>
                  </pic:spPr>
                </pic:pic>
              </a:graphicData>
            </a:graphic>
          </wp:inline>
        </w:drawing>
      </w:r>
    </w:p>
    <w:p w14:paraId="50ACA384" w14:textId="77777777" w:rsidR="00BD33E4" w:rsidRPr="00B05323" w:rsidRDefault="00BD33E4" w:rsidP="00BD33E4">
      <w:pPr>
        <w:pStyle w:val="Paragrafi"/>
        <w:rPr>
          <w:lang w:val="sq-AL"/>
        </w:rPr>
      </w:pPr>
    </w:p>
    <w:p w14:paraId="50ACA385" w14:textId="77777777" w:rsidR="00BD33E4" w:rsidRPr="00B05323" w:rsidRDefault="00BD33E4" w:rsidP="00BD33E4">
      <w:pPr>
        <w:pStyle w:val="Paragrafi"/>
        <w:rPr>
          <w:lang w:val="sq-AL"/>
        </w:rPr>
      </w:pPr>
      <w:r w:rsidRPr="00B05323">
        <w:rPr>
          <w:lang w:val="sq-AL"/>
        </w:rPr>
        <w:t xml:space="preserve">6. Sinjali “Last position on Battery” kërkon analizim të mëtejshëm: </w:t>
      </w:r>
    </w:p>
    <w:p w14:paraId="50ACA386" w14:textId="77777777" w:rsidR="00BD33E4" w:rsidRPr="00B05323" w:rsidRDefault="00BD33E4" w:rsidP="00BD33E4">
      <w:pPr>
        <w:pStyle w:val="Paragrafi"/>
        <w:rPr>
          <w:lang w:val="sq-AL"/>
        </w:rPr>
      </w:pPr>
      <w:r w:rsidRPr="00B05323">
        <w:rPr>
          <w:lang w:val="sq-AL"/>
        </w:rPr>
        <w:t xml:space="preserve">a) nëse ky alarm vjen kur anija është në port për më shumë se 5 ditë, atëherë kemi të bëjmë me shkarkim të zakonshëm të baterisë. Bateria ngarkohet me ndezjen e anijes. Inspektori i peshkimit verifikon nëse anija është në port; </w:t>
      </w:r>
    </w:p>
    <w:p w14:paraId="50ACA387" w14:textId="3D1A446D" w:rsidR="00BD33E4" w:rsidRPr="00B05323" w:rsidRDefault="00BD33E4" w:rsidP="00BD33E4">
      <w:pPr>
        <w:pStyle w:val="Paragrafi"/>
        <w:rPr>
          <w:lang w:val="sq-AL"/>
        </w:rPr>
      </w:pPr>
      <w:r w:rsidRPr="00B05323">
        <w:rPr>
          <w:lang w:val="sq-AL"/>
        </w:rPr>
        <w:t>b) në rastet kur ky alarm jepet gjatë kryerjes së aktivitetit të peshkimit në det, atëherë terminali ka qenë i pa lidhur me burimin e ushqimit të anijes</w:t>
      </w:r>
      <w:r w:rsidR="00923829" w:rsidRPr="00B05323">
        <w:rPr>
          <w:lang w:val="sq-AL"/>
        </w:rPr>
        <w:t>,</w:t>
      </w:r>
      <w:r w:rsidRPr="00B05323">
        <w:rPr>
          <w:lang w:val="sq-AL"/>
        </w:rPr>
        <w:t xml:space="preserve"> në mënyrë që të shkarkohet dhe ka mbetur pa bateri për shumë ditë.</w:t>
      </w:r>
    </w:p>
    <w:p w14:paraId="50ACA388" w14:textId="77777777" w:rsidR="00BD33E4" w:rsidRPr="00B05323" w:rsidRDefault="00BD33E4" w:rsidP="00BD33E4">
      <w:pPr>
        <w:pStyle w:val="Paragrafi"/>
        <w:rPr>
          <w:lang w:val="sq-AL"/>
        </w:rPr>
      </w:pPr>
    </w:p>
    <w:p w14:paraId="50ACA389" w14:textId="4F243836" w:rsidR="00BD33E4" w:rsidRPr="00B05323" w:rsidRDefault="00BD33E4" w:rsidP="00BD33E4">
      <w:pPr>
        <w:pStyle w:val="Paragrafi"/>
        <w:ind w:firstLine="0"/>
        <w:jc w:val="center"/>
        <w:rPr>
          <w:lang w:val="sq-AL"/>
        </w:rPr>
      </w:pPr>
      <w:bookmarkStart w:id="0" w:name="_GoBack"/>
      <w:bookmarkEnd w:id="0"/>
      <w:r w:rsidRPr="00B05323">
        <w:rPr>
          <w:lang w:val="sq-AL"/>
        </w:rPr>
        <w:t xml:space="preserve"> </w:t>
      </w:r>
      <w:r w:rsidRPr="00B05323">
        <w:rPr>
          <w:noProof/>
        </w:rPr>
        <w:drawing>
          <wp:inline distT="0" distB="0" distL="0" distR="0" wp14:anchorId="50ACA3C1" wp14:editId="50ACA3C2">
            <wp:extent cx="4723130" cy="1057275"/>
            <wp:effectExtent l="0" t="0" r="127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3130" cy="1057275"/>
                    </a:xfrm>
                    <a:prstGeom prst="rect">
                      <a:avLst/>
                    </a:prstGeom>
                    <a:noFill/>
                    <a:ln>
                      <a:noFill/>
                    </a:ln>
                  </pic:spPr>
                </pic:pic>
              </a:graphicData>
            </a:graphic>
          </wp:inline>
        </w:drawing>
      </w:r>
    </w:p>
    <w:p w14:paraId="50ACA38A" w14:textId="77777777" w:rsidR="00BD33E4" w:rsidRPr="00B05323" w:rsidRDefault="00BD33E4" w:rsidP="00BD33E4">
      <w:pPr>
        <w:pStyle w:val="Paragrafi"/>
        <w:rPr>
          <w:lang w:val="sq-AL"/>
        </w:rPr>
      </w:pPr>
    </w:p>
    <w:p w14:paraId="50ACA38B" w14:textId="781EF0A1" w:rsidR="00BD33E4" w:rsidRPr="00B05323" w:rsidRDefault="00BD33E4" w:rsidP="00BD33E4">
      <w:pPr>
        <w:pStyle w:val="Paragrafi"/>
        <w:rPr>
          <w:lang w:val="sq-AL"/>
        </w:rPr>
      </w:pPr>
      <w:r w:rsidRPr="00B05323">
        <w:rPr>
          <w:lang w:val="sq-AL"/>
        </w:rPr>
        <w:t>7. Sinjali që shfaqet sipas figurave të mëposhtme</w:t>
      </w:r>
      <w:r w:rsidR="00752E1C" w:rsidRPr="00B05323">
        <w:rPr>
          <w:lang w:val="sq-AL"/>
        </w:rPr>
        <w:t>,</w:t>
      </w:r>
      <w:r w:rsidRPr="00B05323">
        <w:rPr>
          <w:lang w:val="sq-AL"/>
        </w:rPr>
        <w:t xml:space="preserve"> me emërtimin “Disconnected from main power” ose “Reconnected</w:t>
      </w:r>
      <w:r w:rsidR="00AA7FE9" w:rsidRPr="00B05323">
        <w:rPr>
          <w:lang w:val="sq-AL"/>
        </w:rPr>
        <w:t xml:space="preserve"> </w:t>
      </w:r>
      <w:r w:rsidRPr="00B05323">
        <w:rPr>
          <w:lang w:val="sq-AL"/>
        </w:rPr>
        <w:t>to main power” ndodhur si në port ashtu edhe në lundrim për intervale të shkurtra kohore nga 5 minuta deri në 60 minuta, mund të jetë problem teknik me burimin e ushqimit të anijes, nga ngarkesa e sistemit elektrik në procese të caktuara peshkimi ose fikje/ndezje e burimit të ushqimit të anijes</w:t>
      </w:r>
      <w:r w:rsidR="00752E1C" w:rsidRPr="00B05323">
        <w:rPr>
          <w:lang w:val="sq-AL"/>
        </w:rPr>
        <w:t>,</w:t>
      </w:r>
      <w:r w:rsidRPr="00B05323">
        <w:rPr>
          <w:lang w:val="sq-AL"/>
        </w:rPr>
        <w:t xml:space="preserve"> por pa ndërhyrë në pajisje. Terminali vazhdon dhe dërgon të dhëna.</w:t>
      </w:r>
    </w:p>
    <w:p w14:paraId="50ACA38C" w14:textId="77777777" w:rsidR="00BD33E4" w:rsidRPr="00B05323" w:rsidRDefault="00BD33E4" w:rsidP="00BD33E4">
      <w:pPr>
        <w:pStyle w:val="Paragrafi"/>
        <w:rPr>
          <w:lang w:val="sq-AL"/>
        </w:rPr>
      </w:pPr>
    </w:p>
    <w:p w14:paraId="50ACA38D" w14:textId="77777777" w:rsidR="00BD33E4" w:rsidRPr="00B05323" w:rsidRDefault="00BD33E4" w:rsidP="00BD33E4">
      <w:pPr>
        <w:pStyle w:val="Paragrafi"/>
        <w:ind w:firstLine="0"/>
        <w:jc w:val="center"/>
        <w:rPr>
          <w:lang w:val="sq-AL"/>
        </w:rPr>
      </w:pPr>
      <w:r w:rsidRPr="00B05323">
        <w:rPr>
          <w:noProof/>
        </w:rPr>
        <w:drawing>
          <wp:inline distT="0" distB="0" distL="0" distR="0" wp14:anchorId="50ACA3C3" wp14:editId="50ACA3C4">
            <wp:extent cx="2536190" cy="11531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36190" cy="1153160"/>
                    </a:xfrm>
                    <a:prstGeom prst="rect">
                      <a:avLst/>
                    </a:prstGeom>
                    <a:noFill/>
                    <a:ln>
                      <a:noFill/>
                    </a:ln>
                  </pic:spPr>
                </pic:pic>
              </a:graphicData>
            </a:graphic>
          </wp:inline>
        </w:drawing>
      </w:r>
      <w:r w:rsidRPr="00B05323">
        <w:rPr>
          <w:noProof/>
        </w:rPr>
        <w:drawing>
          <wp:inline distT="0" distB="0" distL="0" distR="0" wp14:anchorId="50ACA3C5" wp14:editId="50ACA3C6">
            <wp:extent cx="2512695" cy="1160780"/>
            <wp:effectExtent l="0" t="0" r="190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12695" cy="1160780"/>
                    </a:xfrm>
                    <a:prstGeom prst="rect">
                      <a:avLst/>
                    </a:prstGeom>
                    <a:noFill/>
                    <a:ln>
                      <a:noFill/>
                    </a:ln>
                  </pic:spPr>
                </pic:pic>
              </a:graphicData>
            </a:graphic>
          </wp:inline>
        </w:drawing>
      </w:r>
    </w:p>
    <w:p w14:paraId="50ACA38E" w14:textId="77777777" w:rsidR="00BD33E4" w:rsidRPr="00B05323" w:rsidRDefault="00BD33E4" w:rsidP="00BD33E4">
      <w:pPr>
        <w:pStyle w:val="Paragrafi"/>
        <w:rPr>
          <w:lang w:val="sq-AL"/>
        </w:rPr>
      </w:pPr>
    </w:p>
    <w:p w14:paraId="50ACA38F" w14:textId="0A51BFA6" w:rsidR="00BD33E4" w:rsidRPr="00B05323" w:rsidRDefault="00BD33E4" w:rsidP="00BD33E4">
      <w:pPr>
        <w:pStyle w:val="Paragrafi"/>
        <w:rPr>
          <w:lang w:val="sq-AL"/>
        </w:rPr>
      </w:pPr>
      <w:r w:rsidRPr="00B05323">
        <w:rPr>
          <w:lang w:val="sq-AL"/>
        </w:rPr>
        <w:t>8. Në rastin e sinjalit që shfaqet sipas figurave të mëposhtme</w:t>
      </w:r>
      <w:r w:rsidR="00471818" w:rsidRPr="00B05323">
        <w:rPr>
          <w:lang w:val="sq-AL"/>
        </w:rPr>
        <w:t>,</w:t>
      </w:r>
      <w:r w:rsidRPr="00B05323">
        <w:rPr>
          <w:lang w:val="sq-AL"/>
        </w:rPr>
        <w:t xml:space="preserve"> me emërtimin “Zone entry” ose “Zone Exit”</w:t>
      </w:r>
      <w:r w:rsidR="00471818" w:rsidRPr="00B05323">
        <w:rPr>
          <w:lang w:val="sq-AL"/>
        </w:rPr>
        <w:t>,</w:t>
      </w:r>
      <w:r w:rsidRPr="00B05323">
        <w:rPr>
          <w:lang w:val="sq-AL"/>
        </w:rPr>
        <w:t xml:space="preserve"> analizohet ngjarja dhe oficeri i turnit të shërbimit të DSHPA-së pranë QNOD-së njofton (në telefon ose </w:t>
      </w:r>
      <w:r w:rsidR="00915574" w:rsidRPr="00B05323">
        <w:rPr>
          <w:lang w:val="sq-AL"/>
        </w:rPr>
        <w:t xml:space="preserve">në </w:t>
      </w:r>
      <w:r w:rsidRPr="00B05323">
        <w:rPr>
          <w:lang w:val="sq-AL"/>
        </w:rPr>
        <w:t>radio) kapitenin e anijes në kohë reale</w:t>
      </w:r>
      <w:r w:rsidR="00975CE8" w:rsidRPr="00B05323">
        <w:rPr>
          <w:lang w:val="sq-AL"/>
        </w:rPr>
        <w:t>,</w:t>
      </w:r>
      <w:r w:rsidRPr="00B05323">
        <w:rPr>
          <w:lang w:val="sq-AL"/>
        </w:rPr>
        <w:t xml:space="preserve"> në mënyrë që t’i bëhet me dije që ka hyrë në zonë të ndaluar lundrimi/peshkimi. </w:t>
      </w:r>
    </w:p>
    <w:p w14:paraId="50ACA390" w14:textId="77777777" w:rsidR="00BD33E4" w:rsidRPr="00B05323" w:rsidRDefault="00BD33E4" w:rsidP="00BD33E4">
      <w:pPr>
        <w:pStyle w:val="Paragrafi"/>
        <w:rPr>
          <w:lang w:val="sq-AL"/>
        </w:rPr>
      </w:pPr>
      <w:r w:rsidRPr="00B05323">
        <w:rPr>
          <w:noProof/>
        </w:rPr>
        <w:lastRenderedPageBreak/>
        <w:drawing>
          <wp:inline distT="0" distB="0" distL="0" distR="0" wp14:anchorId="50ACA3C7" wp14:editId="50ACA3C8">
            <wp:extent cx="2504661" cy="111318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1">
                      <a:extLst>
                        <a:ext uri="{28A0092B-C50C-407E-A947-70E740481C1C}">
                          <a14:useLocalDpi xmlns:a14="http://schemas.microsoft.com/office/drawing/2010/main" val="0"/>
                        </a:ext>
                      </a:extLst>
                    </a:blip>
                    <a:srcRect l="6745" t="14951" r="879" b="12877"/>
                    <a:stretch/>
                  </pic:blipFill>
                  <pic:spPr bwMode="auto">
                    <a:xfrm>
                      <a:off x="0" y="0"/>
                      <a:ext cx="2504712" cy="1113206"/>
                    </a:xfrm>
                    <a:prstGeom prst="rect">
                      <a:avLst/>
                    </a:prstGeom>
                    <a:noFill/>
                    <a:ln>
                      <a:noFill/>
                    </a:ln>
                    <a:extLst>
                      <a:ext uri="{53640926-AAD7-44D8-BBD7-CCE9431645EC}">
                        <a14:shadowObscured xmlns:a14="http://schemas.microsoft.com/office/drawing/2010/main"/>
                      </a:ext>
                    </a:extLst>
                  </pic:spPr>
                </pic:pic>
              </a:graphicData>
            </a:graphic>
          </wp:inline>
        </w:drawing>
      </w:r>
      <w:r w:rsidRPr="00B05323">
        <w:rPr>
          <w:noProof/>
        </w:rPr>
        <w:drawing>
          <wp:inline distT="0" distB="0" distL="0" distR="0" wp14:anchorId="50ACA3C9" wp14:editId="50ACA3CA">
            <wp:extent cx="2767054" cy="11052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a:extLst>
                        <a:ext uri="{28A0092B-C50C-407E-A947-70E740481C1C}">
                          <a14:useLocalDpi xmlns:a14="http://schemas.microsoft.com/office/drawing/2010/main" val="0"/>
                        </a:ext>
                      </a:extLst>
                    </a:blip>
                    <a:srcRect l="2933" t="16490" r="4266" b="13016"/>
                    <a:stretch/>
                  </pic:blipFill>
                  <pic:spPr bwMode="auto">
                    <a:xfrm>
                      <a:off x="0" y="0"/>
                      <a:ext cx="2767054" cy="1105232"/>
                    </a:xfrm>
                    <a:prstGeom prst="rect">
                      <a:avLst/>
                    </a:prstGeom>
                    <a:noFill/>
                    <a:ln>
                      <a:noFill/>
                    </a:ln>
                    <a:extLst>
                      <a:ext uri="{53640926-AAD7-44D8-BBD7-CCE9431645EC}">
                        <a14:shadowObscured xmlns:a14="http://schemas.microsoft.com/office/drawing/2010/main"/>
                      </a:ext>
                    </a:extLst>
                  </pic:spPr>
                </pic:pic>
              </a:graphicData>
            </a:graphic>
          </wp:inline>
        </w:drawing>
      </w:r>
    </w:p>
    <w:p w14:paraId="50ACA391" w14:textId="77777777" w:rsidR="00D41EEB" w:rsidRPr="00B05323" w:rsidRDefault="00D41EEB" w:rsidP="00BD33E4">
      <w:pPr>
        <w:pStyle w:val="Paragrafi"/>
        <w:rPr>
          <w:lang w:val="sq-AL"/>
        </w:rPr>
      </w:pPr>
    </w:p>
    <w:p w14:paraId="50ACA392" w14:textId="77777777" w:rsidR="00BD33E4" w:rsidRPr="00B05323" w:rsidRDefault="00D41EEB" w:rsidP="00BD33E4">
      <w:pPr>
        <w:pStyle w:val="Paragrafi"/>
        <w:rPr>
          <w:lang w:val="sq-AL"/>
        </w:rPr>
      </w:pPr>
      <w:r w:rsidRPr="00B05323">
        <w:rPr>
          <w:lang w:val="sq-AL"/>
        </w:rPr>
        <w:t xml:space="preserve">9. </w:t>
      </w:r>
      <w:r w:rsidR="00BD33E4" w:rsidRPr="00B05323">
        <w:rPr>
          <w:lang w:val="sq-AL"/>
        </w:rPr>
        <w:t>Sinjali që shfaqet sipas figurës së mëposhtme “Speed in Zone” lexohet dhe interpretohet se anija e peshkimit po lundron nën shpejtësinë e lejuar në zona të ndaluara për peshkim. Në këtë rast analizohet nëse aktiviteti i peshkimit është kryer në kufi të një zone të ndaluar ose është ushtruar peshkim i qëllimshëm brenda kësaj zone. Oficeri i turnit të shërbimit të DSHPA-së pranë QNOD-së komunikon (në telefon ose në radio) me kapitenin e anijes për arsyen e qëndrimit në atë zonë.</w:t>
      </w:r>
    </w:p>
    <w:p w14:paraId="50ACA393" w14:textId="77777777" w:rsidR="00BD33E4" w:rsidRPr="00B05323" w:rsidRDefault="00BD33E4" w:rsidP="00D41EEB">
      <w:pPr>
        <w:pStyle w:val="Paragrafi"/>
        <w:ind w:firstLine="0"/>
        <w:jc w:val="center"/>
        <w:rPr>
          <w:lang w:val="sq-AL"/>
        </w:rPr>
      </w:pPr>
      <w:r w:rsidRPr="00B05323">
        <w:rPr>
          <w:noProof/>
        </w:rPr>
        <w:drawing>
          <wp:inline distT="0" distB="0" distL="0" distR="0" wp14:anchorId="50ACA3CB" wp14:editId="50ACA3CC">
            <wp:extent cx="5319395" cy="16935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19395" cy="1693545"/>
                    </a:xfrm>
                    <a:prstGeom prst="rect">
                      <a:avLst/>
                    </a:prstGeom>
                    <a:noFill/>
                    <a:ln>
                      <a:noFill/>
                    </a:ln>
                  </pic:spPr>
                </pic:pic>
              </a:graphicData>
            </a:graphic>
          </wp:inline>
        </w:drawing>
      </w:r>
    </w:p>
    <w:p w14:paraId="50ACA394" w14:textId="22785371" w:rsidR="00BD33E4" w:rsidRPr="00B05323" w:rsidRDefault="00D41EEB" w:rsidP="00BD33E4">
      <w:pPr>
        <w:pStyle w:val="Paragrafi"/>
        <w:rPr>
          <w:lang w:val="sq-AL"/>
        </w:rPr>
      </w:pPr>
      <w:r w:rsidRPr="00B05323">
        <w:rPr>
          <w:lang w:val="sq-AL"/>
        </w:rPr>
        <w:t xml:space="preserve">10. </w:t>
      </w:r>
      <w:r w:rsidR="00BD33E4" w:rsidRPr="00B05323">
        <w:rPr>
          <w:lang w:val="sq-AL"/>
        </w:rPr>
        <w:t>Në rastin e shfaqjes së sinjalit sipas figurës së mëposhtme</w:t>
      </w:r>
      <w:r w:rsidR="00083AC4" w:rsidRPr="00B05323">
        <w:rPr>
          <w:lang w:val="sq-AL"/>
        </w:rPr>
        <w:t>,</w:t>
      </w:r>
      <w:r w:rsidR="00BD33E4" w:rsidRPr="00B05323">
        <w:rPr>
          <w:lang w:val="sq-AL"/>
        </w:rPr>
        <w:t xml:space="preserve"> me emërtimin “Signal GPS is Back”</w:t>
      </w:r>
      <w:r w:rsidR="00083AC4" w:rsidRPr="00B05323">
        <w:rPr>
          <w:lang w:val="sq-AL"/>
        </w:rPr>
        <w:t>,</w:t>
      </w:r>
      <w:r w:rsidR="00BD33E4" w:rsidRPr="00B05323">
        <w:rPr>
          <w:lang w:val="sq-AL"/>
        </w:rPr>
        <w:t xml:space="preserve"> analizohet gjurma e gjuetisë pas kthimit të sinjalit GPS. Në rast se shkëputja nga transmetimet e mëparshme rezulton në intervale të shkurtra kohore gjatë lundrimit, atëherë kemi të bëjmë me një bllokim momental. Në rastin kur sinjali nuk transmetohet për një periudhë të gjatë kohore dhe sidomos në rastet kur anija e ankoruar në port shfaqet në det pas disa orësh ose ditësh dhe anasjellas, atëherë transmetimi është bllokuar në mënyrë të qëllimshme. Nga ana e oficerit të shërbimit të DSHPA-së pranë QNOD-së konsiderohet si manipulim ose nxjerrje jashtë përdorimi i përkohshëm ose i përhershëm i pajisjes. </w:t>
      </w:r>
    </w:p>
    <w:p w14:paraId="50ACA395" w14:textId="77777777" w:rsidR="00BD33E4" w:rsidRPr="00B05323" w:rsidRDefault="00BD33E4" w:rsidP="00BD33E4">
      <w:pPr>
        <w:pStyle w:val="Paragrafi"/>
        <w:rPr>
          <w:lang w:val="sq-AL"/>
        </w:rPr>
      </w:pPr>
    </w:p>
    <w:p w14:paraId="50ACA396" w14:textId="77777777" w:rsidR="00BD33E4" w:rsidRPr="00B05323" w:rsidRDefault="00BD33E4" w:rsidP="00D41EEB">
      <w:pPr>
        <w:pStyle w:val="Paragrafi"/>
        <w:ind w:firstLine="0"/>
        <w:jc w:val="center"/>
        <w:rPr>
          <w:lang w:val="sq-AL"/>
        </w:rPr>
      </w:pPr>
      <w:r w:rsidRPr="00B05323">
        <w:rPr>
          <w:noProof/>
        </w:rPr>
        <w:drawing>
          <wp:inline distT="0" distB="0" distL="0" distR="0" wp14:anchorId="50ACA3CD" wp14:editId="50ACA3CE">
            <wp:extent cx="4285615" cy="1503045"/>
            <wp:effectExtent l="0" t="0" r="63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85615" cy="1503045"/>
                    </a:xfrm>
                    <a:prstGeom prst="rect">
                      <a:avLst/>
                    </a:prstGeom>
                    <a:noFill/>
                    <a:ln>
                      <a:noFill/>
                    </a:ln>
                  </pic:spPr>
                </pic:pic>
              </a:graphicData>
            </a:graphic>
          </wp:inline>
        </w:drawing>
      </w:r>
    </w:p>
    <w:p w14:paraId="50ACA397" w14:textId="77777777" w:rsidR="00BD33E4" w:rsidRPr="00B05323" w:rsidRDefault="00BD33E4" w:rsidP="00BD33E4">
      <w:pPr>
        <w:pStyle w:val="Paragrafi"/>
        <w:rPr>
          <w:lang w:val="sq-AL"/>
        </w:rPr>
      </w:pPr>
    </w:p>
    <w:p w14:paraId="50ACA398" w14:textId="77777777" w:rsidR="00BD33E4" w:rsidRPr="00B05323" w:rsidRDefault="00D41EEB" w:rsidP="00BD33E4">
      <w:pPr>
        <w:pStyle w:val="Paragrafi"/>
        <w:rPr>
          <w:lang w:val="sq-AL"/>
        </w:rPr>
      </w:pPr>
      <w:r w:rsidRPr="00B05323">
        <w:rPr>
          <w:lang w:val="sq-AL"/>
        </w:rPr>
        <w:t xml:space="preserve">11. </w:t>
      </w:r>
      <w:r w:rsidR="00BD33E4" w:rsidRPr="00B05323">
        <w:rPr>
          <w:lang w:val="sq-AL"/>
        </w:rPr>
        <w:t xml:space="preserve">Në rastin e sinjalit që shfaqet sipas figurës së mëposhtme me emërtimin “Dome Disconnection” në rastet kur sinjali nuk transmetohet për një periudhë të gjatë kohore dhe sidomos në rastet kur anija e ankoruar në port shfaqet në det mbas disa orësh ose ditësh dhe anasjelltas, atëherë transmetimi është shkëputur në mënyrë të qëllimshme dhe nga oficeri i shërbimit të DSHPA-së pranë QNOD-së konsiderohet si manipulim ose nxjerrje jashtë përdorimi i përkohshëm ose i përhershëm i pajisjes. </w:t>
      </w:r>
    </w:p>
    <w:p w14:paraId="50ACA399" w14:textId="77777777" w:rsidR="00BD33E4" w:rsidRPr="00B05323" w:rsidRDefault="00BD33E4" w:rsidP="00BD33E4">
      <w:pPr>
        <w:pStyle w:val="Paragrafi"/>
        <w:rPr>
          <w:lang w:val="sq-AL"/>
        </w:rPr>
      </w:pPr>
    </w:p>
    <w:p w14:paraId="50ACA39A" w14:textId="77777777" w:rsidR="00BD33E4" w:rsidRPr="00B05323" w:rsidRDefault="00BD33E4" w:rsidP="00D41EEB">
      <w:pPr>
        <w:pStyle w:val="Paragrafi"/>
        <w:ind w:firstLine="0"/>
        <w:jc w:val="center"/>
        <w:rPr>
          <w:lang w:val="sq-AL"/>
        </w:rPr>
      </w:pPr>
      <w:r w:rsidRPr="00B05323">
        <w:rPr>
          <w:noProof/>
        </w:rPr>
        <w:drawing>
          <wp:inline distT="0" distB="0" distL="0" distR="0" wp14:anchorId="50ACA3CF" wp14:editId="50ACA3D0">
            <wp:extent cx="4039235" cy="14789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39235" cy="1478915"/>
                    </a:xfrm>
                    <a:prstGeom prst="rect">
                      <a:avLst/>
                    </a:prstGeom>
                    <a:noFill/>
                    <a:ln>
                      <a:noFill/>
                    </a:ln>
                  </pic:spPr>
                </pic:pic>
              </a:graphicData>
            </a:graphic>
          </wp:inline>
        </w:drawing>
      </w:r>
    </w:p>
    <w:p w14:paraId="50ACA39B" w14:textId="77777777" w:rsidR="00BD33E4" w:rsidRPr="00B05323" w:rsidRDefault="00BD33E4" w:rsidP="00BD33E4">
      <w:pPr>
        <w:pStyle w:val="Paragrafi"/>
        <w:rPr>
          <w:lang w:val="sq-AL"/>
        </w:rPr>
      </w:pPr>
    </w:p>
    <w:p w14:paraId="50ACA39C" w14:textId="0366A739" w:rsidR="00BD33E4" w:rsidRPr="00B05323" w:rsidRDefault="00D41EEB" w:rsidP="00BD33E4">
      <w:pPr>
        <w:pStyle w:val="Paragrafi"/>
        <w:rPr>
          <w:lang w:val="sq-AL"/>
        </w:rPr>
      </w:pPr>
      <w:r w:rsidRPr="00B05323">
        <w:rPr>
          <w:lang w:val="sq-AL"/>
        </w:rPr>
        <w:t xml:space="preserve">12. </w:t>
      </w:r>
      <w:r w:rsidR="00BD33E4" w:rsidRPr="00B05323">
        <w:rPr>
          <w:lang w:val="sq-AL"/>
        </w:rPr>
        <w:t>Sinjalet e shfaqura sipas figurave të pikave 2, 3, 4 dhe 5</w:t>
      </w:r>
      <w:r w:rsidR="00DB478D" w:rsidRPr="00B05323">
        <w:rPr>
          <w:lang w:val="sq-AL"/>
        </w:rPr>
        <w:t>,</w:t>
      </w:r>
      <w:r w:rsidR="00BD33E4" w:rsidRPr="00B05323">
        <w:rPr>
          <w:lang w:val="sq-AL"/>
        </w:rPr>
        <w:t xml:space="preserve"> të këtij udhëzimi</w:t>
      </w:r>
      <w:r w:rsidR="00DB478D" w:rsidRPr="00B05323">
        <w:rPr>
          <w:lang w:val="sq-AL"/>
        </w:rPr>
        <w:t>,</w:t>
      </w:r>
      <w:r w:rsidR="00BD33E4" w:rsidRPr="00B05323">
        <w:rPr>
          <w:lang w:val="sq-AL"/>
        </w:rPr>
        <w:t xml:space="preserve"> përfshihen në kategorinë e sinjaleve të cilat nuk paraqesin problem dhe nuk përbëjnë shkelje.</w:t>
      </w:r>
    </w:p>
    <w:p w14:paraId="50ACA39D" w14:textId="3DF1E304" w:rsidR="00BD33E4" w:rsidRPr="00B05323" w:rsidRDefault="00D41EEB" w:rsidP="00BD33E4">
      <w:pPr>
        <w:pStyle w:val="Paragrafi"/>
        <w:rPr>
          <w:lang w:val="sq-AL"/>
        </w:rPr>
      </w:pPr>
      <w:r w:rsidRPr="00B05323">
        <w:rPr>
          <w:lang w:val="sq-AL"/>
        </w:rPr>
        <w:t xml:space="preserve">13. </w:t>
      </w:r>
      <w:r w:rsidR="00BD33E4" w:rsidRPr="00B05323">
        <w:rPr>
          <w:lang w:val="sq-AL"/>
        </w:rPr>
        <w:t>Sinjalet e shfaqura sipas figurave të pikave 6, 7, 8 dhe 9</w:t>
      </w:r>
      <w:r w:rsidR="00DB478D" w:rsidRPr="00B05323">
        <w:rPr>
          <w:lang w:val="sq-AL"/>
        </w:rPr>
        <w:t>,</w:t>
      </w:r>
      <w:r w:rsidR="00BD33E4" w:rsidRPr="00B05323">
        <w:rPr>
          <w:lang w:val="sq-AL"/>
        </w:rPr>
        <w:t xml:space="preserve"> të këtij udhëzimi</w:t>
      </w:r>
      <w:r w:rsidR="00DB478D" w:rsidRPr="00B05323">
        <w:rPr>
          <w:lang w:val="sq-AL"/>
        </w:rPr>
        <w:t>,</w:t>
      </w:r>
      <w:r w:rsidR="00BD33E4" w:rsidRPr="00B05323">
        <w:rPr>
          <w:lang w:val="sq-AL"/>
        </w:rPr>
        <w:t xml:space="preserve"> përfshihen në kategorinë e sinjaleve të cilat duhen analizuar me kujdes të veçantë dhe që kanë probabilitet të mesëm shkeljeje.</w:t>
      </w:r>
    </w:p>
    <w:p w14:paraId="50ACA39E" w14:textId="7442D445" w:rsidR="00BD33E4" w:rsidRPr="00B05323" w:rsidRDefault="00D41EEB" w:rsidP="00BD33E4">
      <w:pPr>
        <w:pStyle w:val="Paragrafi"/>
        <w:rPr>
          <w:lang w:val="sq-AL"/>
        </w:rPr>
      </w:pPr>
      <w:r w:rsidRPr="00B05323">
        <w:rPr>
          <w:lang w:val="sq-AL"/>
        </w:rPr>
        <w:t xml:space="preserve">14. </w:t>
      </w:r>
      <w:r w:rsidR="00BD33E4" w:rsidRPr="00B05323">
        <w:rPr>
          <w:lang w:val="sq-AL"/>
        </w:rPr>
        <w:t>Sinjalet e shfaqura sipas figurave të pikave 10 dhe 11</w:t>
      </w:r>
      <w:r w:rsidR="00DB478D" w:rsidRPr="00B05323">
        <w:rPr>
          <w:lang w:val="sq-AL"/>
        </w:rPr>
        <w:t>,</w:t>
      </w:r>
      <w:r w:rsidR="00BD33E4" w:rsidRPr="00B05323">
        <w:rPr>
          <w:lang w:val="sq-AL"/>
        </w:rPr>
        <w:t xml:space="preserve"> të këtij udhëzimi</w:t>
      </w:r>
      <w:r w:rsidR="00DB478D" w:rsidRPr="00B05323">
        <w:rPr>
          <w:lang w:val="sq-AL"/>
        </w:rPr>
        <w:t>,</w:t>
      </w:r>
      <w:r w:rsidR="00BD33E4" w:rsidRPr="00B05323">
        <w:rPr>
          <w:lang w:val="sq-AL"/>
        </w:rPr>
        <w:t xml:space="preserve"> përfshihen në kategorinë e sinjaleve shqetësuese me probabilitet të lartë shkeljeje dhe që vërtetojnë manipulimin e pajisjes, shuarjen ose nxjerrjen jashtë përdorimit të përkohshëm ose të përhershëm të saj.</w:t>
      </w:r>
      <w:r w:rsidR="00AA7FE9" w:rsidRPr="00B05323">
        <w:rPr>
          <w:lang w:val="sq-AL"/>
        </w:rPr>
        <w:t xml:space="preserve"> </w:t>
      </w:r>
    </w:p>
    <w:p w14:paraId="50ACA39F" w14:textId="77777777" w:rsidR="00BD33E4" w:rsidRPr="00B05323" w:rsidRDefault="00D41EEB" w:rsidP="00BD33E4">
      <w:pPr>
        <w:pStyle w:val="Paragrafi"/>
        <w:rPr>
          <w:lang w:val="sq-AL"/>
        </w:rPr>
      </w:pPr>
      <w:r w:rsidRPr="00B05323">
        <w:rPr>
          <w:lang w:val="sq-AL"/>
        </w:rPr>
        <w:t xml:space="preserve">15. </w:t>
      </w:r>
      <w:r w:rsidR="00BD33E4" w:rsidRPr="00B05323">
        <w:rPr>
          <w:lang w:val="sq-AL"/>
        </w:rPr>
        <w:t>Për zbatimin e këtij udhëzimi ngarkohen oficerët e shërbimit të DSHPA-së pranë Qendrës Ndërinstitucionale Operacionale Detare dhe operatorët e sistemit pranë Drejtorisë së Shërbimeve të Peshkimit dhe Akuakulturës.</w:t>
      </w:r>
    </w:p>
    <w:p w14:paraId="50ACA3A0" w14:textId="77777777" w:rsidR="00BD33E4" w:rsidRPr="00B05323" w:rsidRDefault="00BD33E4" w:rsidP="00BD33E4">
      <w:pPr>
        <w:pStyle w:val="Paragrafi"/>
        <w:rPr>
          <w:lang w:val="sq-AL"/>
        </w:rPr>
      </w:pPr>
      <w:r w:rsidRPr="00B05323">
        <w:rPr>
          <w:lang w:val="sq-AL"/>
        </w:rPr>
        <w:t>Ky udhëzim hyn në fuqi pas botimit në Fletoren Zyrtare.</w:t>
      </w:r>
    </w:p>
    <w:p w14:paraId="50ACA3A1" w14:textId="77777777" w:rsidR="00BD33E4" w:rsidRPr="00B05323" w:rsidRDefault="00BD33E4" w:rsidP="00BD33E4">
      <w:pPr>
        <w:pStyle w:val="Paragrafi"/>
        <w:rPr>
          <w:lang w:val="sq-AL"/>
        </w:rPr>
      </w:pPr>
    </w:p>
    <w:p w14:paraId="50ACA3A2" w14:textId="77777777" w:rsidR="00D41EEB" w:rsidRPr="00B05323" w:rsidRDefault="00BD33E4" w:rsidP="00D41EEB">
      <w:pPr>
        <w:pStyle w:val="Paragrafi"/>
        <w:jc w:val="right"/>
        <w:rPr>
          <w:lang w:val="sq-AL"/>
        </w:rPr>
      </w:pPr>
      <w:r w:rsidRPr="00B05323">
        <w:rPr>
          <w:lang w:val="sq-AL"/>
        </w:rPr>
        <w:t>MINISTËR</w:t>
      </w:r>
      <w:r w:rsidR="00D41EEB" w:rsidRPr="00B05323">
        <w:rPr>
          <w:lang w:val="sq-AL"/>
        </w:rPr>
        <w:t xml:space="preserve"> I BUJQËSISË DHE </w:t>
      </w:r>
    </w:p>
    <w:p w14:paraId="50ACA3A3" w14:textId="77777777" w:rsidR="00BD33E4" w:rsidRPr="00B05323" w:rsidRDefault="00D41EEB" w:rsidP="00D41EEB">
      <w:pPr>
        <w:pStyle w:val="Paragrafi"/>
        <w:jc w:val="right"/>
        <w:rPr>
          <w:lang w:val="sq-AL"/>
        </w:rPr>
      </w:pPr>
      <w:r w:rsidRPr="00B05323">
        <w:rPr>
          <w:lang w:val="sq-AL"/>
        </w:rPr>
        <w:t>ZHVILLIMIT RURAL</w:t>
      </w:r>
    </w:p>
    <w:p w14:paraId="50ACA3AD" w14:textId="4BFA7B07" w:rsidR="00BD33E4" w:rsidRPr="00142487" w:rsidRDefault="00142487" w:rsidP="00142487">
      <w:pPr>
        <w:pStyle w:val="Paragrafi"/>
        <w:jc w:val="right"/>
        <w:rPr>
          <w:b/>
          <w:lang w:val="sq-AL"/>
        </w:rPr>
      </w:pPr>
      <w:r>
        <w:rPr>
          <w:b/>
          <w:lang w:val="sq-AL"/>
        </w:rPr>
        <w:t>Milva Ekonomi</w:t>
      </w:r>
    </w:p>
    <w:sectPr w:rsidR="00BD33E4" w:rsidRPr="00142487" w:rsidSect="00E36C8F">
      <w:headerReference w:type="default" r:id="rId26"/>
      <w:footerReference w:type="default" r:id="rId2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6CD79" w14:textId="77777777" w:rsidR="00AD29D0" w:rsidRDefault="00AD29D0" w:rsidP="00375B7D">
      <w:pPr>
        <w:spacing w:after="0" w:line="240" w:lineRule="auto"/>
      </w:pPr>
      <w:r>
        <w:separator/>
      </w:r>
    </w:p>
  </w:endnote>
  <w:endnote w:type="continuationSeparator" w:id="0">
    <w:p w14:paraId="110AF59F" w14:textId="77777777" w:rsidR="00AD29D0" w:rsidRDefault="00AD29D0" w:rsidP="00375B7D">
      <w:pPr>
        <w:spacing w:after="0" w:line="240" w:lineRule="auto"/>
      </w:pPr>
      <w:r>
        <w:continuationSeparator/>
      </w:r>
    </w:p>
  </w:endnote>
  <w:endnote w:type="continuationNotice" w:id="1">
    <w:p w14:paraId="29A65DE4" w14:textId="77777777" w:rsidR="00AD29D0" w:rsidRDefault="00AD29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CA3D6" w14:textId="77777777" w:rsidR="00AD29D0" w:rsidRDefault="00AD29D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F93C6F" w14:textId="77777777" w:rsidR="00AD29D0" w:rsidRDefault="00AD29D0" w:rsidP="00375B7D">
      <w:pPr>
        <w:spacing w:after="0" w:line="240" w:lineRule="auto"/>
      </w:pPr>
      <w:r>
        <w:separator/>
      </w:r>
    </w:p>
  </w:footnote>
  <w:footnote w:type="continuationSeparator" w:id="0">
    <w:p w14:paraId="0DA06B45" w14:textId="77777777" w:rsidR="00AD29D0" w:rsidRDefault="00AD29D0" w:rsidP="00375B7D">
      <w:pPr>
        <w:spacing w:after="0" w:line="240" w:lineRule="auto"/>
      </w:pPr>
      <w:r>
        <w:continuationSeparator/>
      </w:r>
    </w:p>
  </w:footnote>
  <w:footnote w:type="continuationNotice" w:id="1">
    <w:p w14:paraId="56621A7C" w14:textId="77777777" w:rsidR="00AD29D0" w:rsidRDefault="00AD29D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CA3D5" w14:textId="77777777" w:rsidR="00AD29D0" w:rsidRDefault="00AD29D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ABCDEF7"/>
    <w:multiLevelType w:val="singleLevel"/>
    <w:tmpl w:val="FB5450B0"/>
    <w:name w:val="TerOld4"/>
    <w:lvl w:ilvl="0">
      <w:numFmt w:val="decimal"/>
      <w:lvlText w:val="%1"/>
      <w:lvlJc w:val="left"/>
    </w:lvl>
  </w:abstractNum>
  <w:abstractNum w:abstractNumId="14">
    <w:nsid w:val="0ABCDEF8"/>
    <w:multiLevelType w:val="singleLevel"/>
    <w:tmpl w:val="C9BA6358"/>
    <w:name w:val="TerOld5"/>
    <w:lvl w:ilvl="0">
      <w:numFmt w:val="decimal"/>
      <w:lvlText w:val="%1"/>
      <w:lvlJc w:val="left"/>
    </w:lvl>
  </w:abstractNum>
  <w:abstractNum w:abstractNumId="15">
    <w:nsid w:val="0ABCDEF9"/>
    <w:multiLevelType w:val="singleLevel"/>
    <w:tmpl w:val="8D82326C"/>
    <w:name w:val="TerOld6"/>
    <w:lvl w:ilvl="0">
      <w:numFmt w:val="decimal"/>
      <w:lvlText w:val="%1"/>
      <w:lvlJc w:val="left"/>
    </w:lvl>
  </w:abstractNum>
  <w:abstractNum w:abstractNumId="16">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2">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9">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2"/>
  </w:num>
  <w:num w:numId="14">
    <w:abstractNumId w:val="30"/>
  </w:num>
  <w:num w:numId="15">
    <w:abstractNumId w:val="27"/>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3"/>
  </w:num>
  <w:num w:numId="19">
    <w:abstractNumId w:val="21"/>
  </w:num>
  <w:num w:numId="20">
    <w:abstractNumId w:val="16"/>
  </w:num>
  <w:num w:numId="21">
    <w:abstractNumId w:val="31"/>
  </w:num>
  <w:num w:numId="22">
    <w:abstractNumId w:val="26"/>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2"/>
  </w:num>
  <w:num w:numId="25">
    <w:abstractNumId w:val="20"/>
  </w:num>
  <w:num w:numId="26">
    <w:abstractNumId w:val="25"/>
  </w:num>
  <w:num w:numId="27">
    <w:abstractNumId w:val="29"/>
  </w:num>
  <w:num w:numId="28">
    <w:abstractNumId w:val="12"/>
  </w:num>
  <w:num w:numId="29">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3AC4"/>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2B54"/>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487"/>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644E"/>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483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1818"/>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6B78"/>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0E8F"/>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4D59"/>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2479"/>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2E1C"/>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7CE"/>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574"/>
    <w:rsid w:val="00915611"/>
    <w:rsid w:val="00921C0F"/>
    <w:rsid w:val="00921FA0"/>
    <w:rsid w:val="00923829"/>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5CE8"/>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1223"/>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A7FE9"/>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9D0"/>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532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4E35"/>
    <w:rsid w:val="00B46543"/>
    <w:rsid w:val="00B5158E"/>
    <w:rsid w:val="00B53F3B"/>
    <w:rsid w:val="00B57344"/>
    <w:rsid w:val="00B57A43"/>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5660"/>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6CF3"/>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1AB2"/>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5E08"/>
    <w:rsid w:val="00CE6942"/>
    <w:rsid w:val="00CF0351"/>
    <w:rsid w:val="00CF0A80"/>
    <w:rsid w:val="00CF6917"/>
    <w:rsid w:val="00D02703"/>
    <w:rsid w:val="00D041F1"/>
    <w:rsid w:val="00D07FA3"/>
    <w:rsid w:val="00D10D08"/>
    <w:rsid w:val="00D11579"/>
    <w:rsid w:val="00D13184"/>
    <w:rsid w:val="00D1466F"/>
    <w:rsid w:val="00D14DF8"/>
    <w:rsid w:val="00D16313"/>
    <w:rsid w:val="00D16554"/>
    <w:rsid w:val="00D176F1"/>
    <w:rsid w:val="00D21E58"/>
    <w:rsid w:val="00D228A1"/>
    <w:rsid w:val="00D26C93"/>
    <w:rsid w:val="00D30FC6"/>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78D"/>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29D"/>
    <w:rsid w:val="00EA09FD"/>
    <w:rsid w:val="00EA10F4"/>
    <w:rsid w:val="00EA704B"/>
    <w:rsid w:val="00EB2483"/>
    <w:rsid w:val="00EB7DCF"/>
    <w:rsid w:val="00EC39C3"/>
    <w:rsid w:val="00EC4290"/>
    <w:rsid w:val="00EC657A"/>
    <w:rsid w:val="00ED1065"/>
    <w:rsid w:val="00ED19A8"/>
    <w:rsid w:val="00ED3CAA"/>
    <w:rsid w:val="00ED55C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ACA36B"/>
  <w15:docId w15:val="{1909DFAA-FD5F-4913-A680-F3FFF67D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2021-09-14T10:47:02Z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2021-09-13T22:00:00Z</Date_x0020_protokolli>
    <Titulli xmlns="0e656187-b300-4fb0-8bf4-3a50f872073c">Për mënyrën e leximit dhe interpretimit të mesazheve që shfaqen në Sistemin e Monitorimit të Anijeve të Peshkimit (VMS)</Titulli>
    <Modifikuesi xmlns="0e656187-b300-4fb0-8bf4-3a50f872073c">alma.lisaku</Modifikuesi>
    <Nr_x002e__x0020_prot_x0020_QBZ xmlns="0e656187-b300-4fb0-8bf4-3a50f872073c">1247/1</Nr_x002e__x0020_prot_x0020_QBZ>
    <Data_x0020_e_x0020_Modifikimit xmlns="0e656187-b300-4fb0-8bf4-3a50f872073c">2021-09-14T11:36:34Z</Data_x0020_e_x0020_Modifikimit>
    <Dekretuar xmlns="0e656187-b300-4fb0-8bf4-3a50f872073c">false</Dekretuar>
    <Data xmlns="0e656187-b300-4fb0-8bf4-3a50f872073c">2021-09-08T22:00:00Z</Data>
    <Nr_x002e__x0020_protokolli_x0020_i_x0020_aktit xmlns="0e656187-b300-4fb0-8bf4-3a50f872073c">6274/1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0088E7BCF34314B820A1390E70C4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D30088E7BCF34314B820A1390E70C4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64999-AB8F-4EF8-8203-5AD69AF80F84}">
  <ds:schemaRefs>
    <ds:schemaRef ds:uri="http://schemas.microsoft.com/office/2006/documentManagement/types"/>
    <ds:schemaRef ds:uri="http://purl.org/dc/dcmitype/"/>
    <ds:schemaRef ds:uri="http://purl.org/dc/terms/"/>
    <ds:schemaRef ds:uri="0e656187-b300-4fb0-8bf4-3a50f872073c"/>
    <ds:schemaRef ds:uri="http://purl.org/dc/elements/1.1/"/>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9ABC3E56-D693-414E-BB12-AD02EDEF6390}">
  <ds:schemaRefs>
    <ds:schemaRef ds:uri="http://schemas.microsoft.com/sharepoint/v3/contenttype/forms"/>
  </ds:schemaRefs>
</ds:datastoreItem>
</file>

<file path=customXml/itemProps3.xml><?xml version="1.0" encoding="utf-8"?>
<ds:datastoreItem xmlns:ds="http://schemas.openxmlformats.org/officeDocument/2006/customXml" ds:itemID="{5A7EFF70-F9D2-4074-98D3-9FF4A8E1E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6FDA87F-7522-43AC-B3BD-C449609DA1AE}">
  <ds:schemaRefs>
    <ds:schemaRef ds:uri="http://schemas.openxmlformats.org/officeDocument/2006/bibliography"/>
  </ds:schemaRefs>
</ds:datastoreItem>
</file>

<file path=customXml/itemProps5.xml><?xml version="1.0" encoding="utf-8"?>
<ds:datastoreItem xmlns:ds="http://schemas.openxmlformats.org/officeDocument/2006/customXml" ds:itemID="{39B71B87-2BCD-4CB2-92D1-06783B8D88B2}">
  <ds:schemaRefs>
    <ds:schemaRef ds:uri="http://schemas.microsoft.com/sharepoint/v3/contenttype/forms"/>
  </ds:schemaRefs>
</ds:datastoreItem>
</file>

<file path=customXml/itemProps6.xml><?xml version="1.0" encoding="utf-8"?>
<ds:datastoreItem xmlns:ds="http://schemas.openxmlformats.org/officeDocument/2006/customXml" ds:itemID="{78FA8696-DEF3-4F9A-B1B1-98FAC0250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06ECE217-6E4F-48D1-9AE2-7B80E3F9D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Për mënyrën e leximit dhe interpretimit të mesazheve që shfaqen në Sistemin e Monitorimit të Anijeve të Peshkimit (VMS)</vt:lpstr>
    </vt:vector>
  </TitlesOfParts>
  <Company>Your Company Name</Company>
  <LinksUpToDate>false</LinksUpToDate>
  <CharactersWithSpaces>5293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leximit dhe interpretimit të mesazheve që shfaqen në Sistemin e Monitorimit të Anijeve të Peshkimit (VMS)</dc:title>
  <dc:creator>Your User Name</dc:creator>
  <cp:lastModifiedBy>Besiana Aleti</cp:lastModifiedBy>
  <cp:revision>27</cp:revision>
  <cp:lastPrinted>2020-12-21T08:48:00Z</cp:lastPrinted>
  <dcterms:created xsi:type="dcterms:W3CDTF">2021-09-14T11:11:00Z</dcterms:created>
  <dcterms:modified xsi:type="dcterms:W3CDTF">2021-09-14T12:04:00Z</dcterms:modified>
</cp:coreProperties>
</file>