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837D030" w14:textId="77777777" w:rsidR="00074867" w:rsidRPr="00AF5CA6" w:rsidRDefault="00074867" w:rsidP="00F55655">
      <w:pPr>
        <w:tabs>
          <w:tab w:val="left" w:pos="560"/>
        </w:tabs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</w:rPr>
      </w:pPr>
      <w:r w:rsidRPr="00AF5CA6">
        <w:rPr>
          <w:rFonts w:ascii="Garamond" w:hAnsi="Garamond" w:cs="Times New Roman"/>
          <w:b/>
          <w:bCs/>
          <w:color w:val="000000"/>
          <w:sz w:val="24"/>
          <w:szCs w:val="24"/>
        </w:rPr>
        <w:t>UDHËZIM</w:t>
      </w:r>
    </w:p>
    <w:p w14:paraId="303A9249" w14:textId="77777777" w:rsidR="00074867" w:rsidRPr="00AF5CA6" w:rsidRDefault="00074867" w:rsidP="00F55655">
      <w:pPr>
        <w:tabs>
          <w:tab w:val="left" w:pos="560"/>
        </w:tabs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</w:rPr>
      </w:pPr>
      <w:r w:rsidRPr="00AF5CA6">
        <w:rPr>
          <w:rFonts w:ascii="Garamond" w:hAnsi="Garamond" w:cs="Times New Roman"/>
          <w:b/>
          <w:bCs/>
          <w:color w:val="000000"/>
          <w:sz w:val="24"/>
          <w:szCs w:val="24"/>
        </w:rPr>
        <w:t>Nr. 21, datë 31.10.2023</w:t>
      </w:r>
    </w:p>
    <w:p w14:paraId="520AD3FC" w14:textId="77777777" w:rsidR="00074867" w:rsidRPr="00AF5CA6" w:rsidRDefault="00074867" w:rsidP="00F55655">
      <w:pPr>
        <w:tabs>
          <w:tab w:val="left" w:pos="560"/>
        </w:tabs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</w:rPr>
      </w:pPr>
    </w:p>
    <w:p w14:paraId="04733FBF" w14:textId="77777777" w:rsidR="00074867" w:rsidRPr="00AF5CA6" w:rsidRDefault="00074867" w:rsidP="00F55655">
      <w:pPr>
        <w:tabs>
          <w:tab w:val="left" w:pos="560"/>
        </w:tabs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sz w:val="24"/>
          <w:szCs w:val="24"/>
        </w:rPr>
      </w:pPr>
      <w:r w:rsidRPr="00AF5CA6">
        <w:rPr>
          <w:rFonts w:ascii="Garamond" w:hAnsi="Garamond" w:cs="Times New Roman"/>
          <w:b/>
          <w:bCs/>
          <w:color w:val="000000"/>
          <w:sz w:val="24"/>
          <w:szCs w:val="24"/>
        </w:rPr>
        <w:t>MBI</w:t>
      </w:r>
      <w:r w:rsidR="00F55655" w:rsidRPr="00AF5CA6">
        <w:rPr>
          <w:rFonts w:ascii="Garamond" w:hAnsi="Garamond" w:cs="Times New Roman"/>
          <w:b/>
          <w:bCs/>
          <w:color w:val="000000"/>
          <w:sz w:val="24"/>
          <w:szCs w:val="24"/>
        </w:rPr>
        <w:t xml:space="preserve"> </w:t>
      </w:r>
      <w:r w:rsidRPr="00AF5CA6">
        <w:rPr>
          <w:rFonts w:ascii="Garamond" w:hAnsi="Garamond" w:cs="Times New Roman"/>
          <w:b/>
          <w:bCs/>
          <w:color w:val="000000"/>
          <w:sz w:val="24"/>
          <w:szCs w:val="24"/>
        </w:rPr>
        <w:t>METODAT E ANALIZIMIT TË TREGUESVE TË VAJIT TË ULLIRIT</w:t>
      </w:r>
      <w:r w:rsidR="00F55655" w:rsidRPr="00AF5CA6">
        <w:rPr>
          <w:rStyle w:val="FootnoteReference"/>
          <w:rFonts w:ascii="Garamond" w:hAnsi="Garamond" w:cs="Times New Roman"/>
          <w:b/>
          <w:bCs/>
          <w:color w:val="000000"/>
          <w:sz w:val="24"/>
          <w:szCs w:val="24"/>
        </w:rPr>
        <w:footnoteReference w:id="2"/>
      </w:r>
    </w:p>
    <w:p w14:paraId="546123A7" w14:textId="77777777" w:rsidR="00074867" w:rsidRPr="00AF5CA6" w:rsidRDefault="00074867" w:rsidP="00F55655">
      <w:pPr>
        <w:tabs>
          <w:tab w:val="left" w:pos="560"/>
        </w:tabs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sz w:val="24"/>
          <w:szCs w:val="24"/>
        </w:rPr>
      </w:pPr>
    </w:p>
    <w:p w14:paraId="2DA1B062" w14:textId="77777777" w:rsidR="00074867" w:rsidRPr="00AF5CA6" w:rsidRDefault="00074867" w:rsidP="00F55655">
      <w:pPr>
        <w:tabs>
          <w:tab w:val="left" w:pos="5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</w:p>
    <w:p w14:paraId="2EF87CF7" w14:textId="2863A734" w:rsidR="00074867" w:rsidRPr="00AF5CA6" w:rsidRDefault="00074867" w:rsidP="00F5565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/>
          <w:bCs/>
          <w:color w:val="000000"/>
          <w:sz w:val="24"/>
          <w:szCs w:val="24"/>
        </w:rPr>
      </w:pPr>
      <w:r w:rsidRPr="00AF5CA6">
        <w:rPr>
          <w:rFonts w:ascii="Garamond" w:hAnsi="Garamond" w:cs="Times New Roman"/>
          <w:color w:val="000000"/>
          <w:sz w:val="24"/>
          <w:szCs w:val="24"/>
        </w:rPr>
        <w:t xml:space="preserve">Në mbështetje të pikës 4, të nenit 102 të Kushtetutës dhe të pikës 1, të nenit 6, të </w:t>
      </w:r>
      <w:r w:rsidR="00AF5CA6" w:rsidRPr="00AF5CA6">
        <w:rPr>
          <w:rFonts w:ascii="Garamond" w:hAnsi="Garamond" w:cs="Times New Roman"/>
          <w:color w:val="000000"/>
          <w:sz w:val="24"/>
          <w:szCs w:val="24"/>
        </w:rPr>
        <w:t>ligjit</w:t>
      </w:r>
      <w:r w:rsidR="00AF5CA6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="00AF5CA6" w:rsidRPr="00AF5CA6">
        <w:rPr>
          <w:rFonts w:ascii="Garamond" w:hAnsi="Garamond" w:cs="Times New Roman"/>
          <w:color w:val="000000"/>
          <w:sz w:val="24"/>
          <w:szCs w:val="24"/>
        </w:rPr>
        <w:t xml:space="preserve"> n</w:t>
      </w:r>
      <w:r w:rsidRPr="00AF5CA6">
        <w:rPr>
          <w:rFonts w:ascii="Garamond" w:hAnsi="Garamond" w:cs="Times New Roman"/>
          <w:color w:val="000000"/>
          <w:sz w:val="24"/>
          <w:szCs w:val="24"/>
        </w:rPr>
        <w:t>r.</w:t>
      </w:r>
      <w:r w:rsidR="00AF5CA6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AF5CA6">
        <w:rPr>
          <w:rFonts w:ascii="Garamond" w:hAnsi="Garamond" w:cs="Times New Roman"/>
          <w:color w:val="000000"/>
          <w:sz w:val="24"/>
          <w:szCs w:val="24"/>
        </w:rPr>
        <w:t>87, datë 14.2.2013</w:t>
      </w:r>
      <w:r w:rsidR="00AF5CA6">
        <w:rPr>
          <w:rFonts w:ascii="Garamond" w:hAnsi="Garamond" w:cs="Times New Roman"/>
          <w:color w:val="000000"/>
          <w:sz w:val="24"/>
          <w:szCs w:val="24"/>
        </w:rPr>
        <w:t>,</w:t>
      </w:r>
      <w:r w:rsidRPr="00AF5CA6">
        <w:rPr>
          <w:rFonts w:ascii="Garamond" w:hAnsi="Garamond" w:cs="Times New Roman"/>
          <w:color w:val="000000"/>
          <w:sz w:val="24"/>
          <w:szCs w:val="24"/>
        </w:rPr>
        <w:t xml:space="preserve"> “Për kategorizimin e prodhimit, emërtimin dhe tregtimin e vajit të ullirit dhe vajit të bërsisë së ullirit”, </w:t>
      </w:r>
    </w:p>
    <w:p w14:paraId="0DDECFA6" w14:textId="77777777" w:rsidR="00074867" w:rsidRPr="00AF5CA6" w:rsidRDefault="00074867" w:rsidP="00F55655">
      <w:pPr>
        <w:tabs>
          <w:tab w:val="left" w:pos="5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</w:p>
    <w:p w14:paraId="37D0C475" w14:textId="77777777" w:rsidR="00074867" w:rsidRPr="00AF5CA6" w:rsidRDefault="00074867" w:rsidP="00F55655">
      <w:pPr>
        <w:tabs>
          <w:tab w:val="left" w:pos="560"/>
        </w:tabs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Cs/>
          <w:color w:val="000000"/>
          <w:sz w:val="24"/>
          <w:szCs w:val="24"/>
        </w:rPr>
      </w:pPr>
      <w:r w:rsidRPr="00AF5CA6">
        <w:rPr>
          <w:rFonts w:ascii="Garamond" w:hAnsi="Garamond" w:cs="Times New Roman"/>
          <w:bCs/>
          <w:color w:val="000000"/>
          <w:sz w:val="24"/>
          <w:szCs w:val="24"/>
        </w:rPr>
        <w:t>UDHËZOJ:</w:t>
      </w:r>
    </w:p>
    <w:p w14:paraId="5F0D9C56" w14:textId="77777777" w:rsidR="00074867" w:rsidRPr="00AF5CA6" w:rsidRDefault="00074867" w:rsidP="00F55655">
      <w:pPr>
        <w:tabs>
          <w:tab w:val="left" w:pos="5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</w:p>
    <w:p w14:paraId="2833754C" w14:textId="77777777" w:rsidR="00074867" w:rsidRPr="00AF5CA6" w:rsidRDefault="00074867" w:rsidP="00F55655">
      <w:pPr>
        <w:tabs>
          <w:tab w:val="left" w:pos="5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AF5CA6">
        <w:rPr>
          <w:rFonts w:ascii="Garamond" w:hAnsi="Garamond" w:cs="Times New Roman"/>
          <w:color w:val="000000"/>
          <w:sz w:val="24"/>
          <w:szCs w:val="24"/>
        </w:rPr>
        <w:t>1.</w:t>
      </w:r>
      <w:r w:rsidR="00F55655" w:rsidRPr="00AF5CA6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AF5CA6">
        <w:rPr>
          <w:rFonts w:ascii="Garamond" w:hAnsi="Garamond" w:cs="Times New Roman"/>
          <w:color w:val="000000"/>
          <w:sz w:val="24"/>
          <w:szCs w:val="24"/>
        </w:rPr>
        <w:t>Përcaktimin e metodave të analizimit të karakteristikave të cilësisë dhe kritereve të natyrshmërisë së vajit të ullirit, të përcaktuara në legjislacionin në fuqi për karakteristikat e cilësisë dhe kriteret e natyrshmërisë së vajit të ullirit dhe vajit të bërsive të ullirit.</w:t>
      </w:r>
    </w:p>
    <w:p w14:paraId="5927A738" w14:textId="77777777" w:rsidR="00074867" w:rsidRPr="00AF5CA6" w:rsidRDefault="00074867" w:rsidP="00F55655">
      <w:pPr>
        <w:tabs>
          <w:tab w:val="left" w:pos="5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AF5CA6">
        <w:rPr>
          <w:rFonts w:ascii="Garamond" w:hAnsi="Garamond" w:cs="Times New Roman"/>
          <w:color w:val="000000"/>
          <w:sz w:val="24"/>
          <w:szCs w:val="24"/>
        </w:rPr>
        <w:t>2.</w:t>
      </w:r>
      <w:r w:rsidR="00F55655" w:rsidRPr="00AF5CA6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AF5CA6">
        <w:rPr>
          <w:rFonts w:ascii="Garamond" w:hAnsi="Garamond" w:cs="Times New Roman"/>
          <w:color w:val="000000"/>
          <w:sz w:val="24"/>
          <w:szCs w:val="24"/>
        </w:rPr>
        <w:t>Në këtë udhëzim termat e mëposhtëm kanë këto kuptime:</w:t>
      </w:r>
    </w:p>
    <w:p w14:paraId="6146FB8A" w14:textId="77777777" w:rsidR="00074867" w:rsidRPr="00AF5CA6" w:rsidRDefault="00074867" w:rsidP="00F5565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Calibri"/>
          <w:color w:val="000000"/>
          <w:sz w:val="24"/>
          <w:szCs w:val="24"/>
        </w:rPr>
      </w:pPr>
      <w:r w:rsidRPr="00125F0D">
        <w:rPr>
          <w:rFonts w:ascii="Garamond" w:hAnsi="Garamond"/>
          <w:i/>
          <w:color w:val="000000"/>
          <w:sz w:val="24"/>
        </w:rPr>
        <w:t>a</w:t>
      </w:r>
      <w:r w:rsidR="00F55655" w:rsidRPr="00125F0D">
        <w:rPr>
          <w:rFonts w:ascii="Garamond" w:hAnsi="Garamond"/>
          <w:i/>
          <w:color w:val="000000"/>
          <w:sz w:val="24"/>
        </w:rPr>
        <w:t xml:space="preserve">) </w:t>
      </w:r>
      <w:r w:rsidRPr="00125F0D">
        <w:rPr>
          <w:rFonts w:ascii="Garamond" w:hAnsi="Garamond"/>
          <w:i/>
          <w:color w:val="000000"/>
          <w:sz w:val="24"/>
        </w:rPr>
        <w:t>“ambalazh”</w:t>
      </w:r>
      <w:r w:rsidRPr="00AF5CA6">
        <w:rPr>
          <w:rFonts w:ascii="Garamond" w:hAnsi="Garamond" w:cs="Times New Roman"/>
          <w:color w:val="000000"/>
          <w:sz w:val="24"/>
          <w:szCs w:val="24"/>
        </w:rPr>
        <w:t xml:space="preserve"> është ena në kontakt të drejtpërdrejtë me vajin e ullirit;</w:t>
      </w:r>
    </w:p>
    <w:p w14:paraId="7B2CC20F" w14:textId="77777777" w:rsidR="00074867" w:rsidRPr="00AF5CA6" w:rsidRDefault="00074867" w:rsidP="00F5565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Calibri"/>
          <w:color w:val="000000"/>
          <w:sz w:val="24"/>
          <w:szCs w:val="24"/>
        </w:rPr>
      </w:pPr>
      <w:r w:rsidRPr="00125F0D">
        <w:rPr>
          <w:rFonts w:ascii="Garamond" w:hAnsi="Garamond"/>
          <w:i/>
          <w:color w:val="000000"/>
          <w:sz w:val="24"/>
        </w:rPr>
        <w:t>b</w:t>
      </w:r>
      <w:r w:rsidR="00F55655" w:rsidRPr="00125F0D">
        <w:rPr>
          <w:rFonts w:ascii="Garamond" w:hAnsi="Garamond"/>
          <w:i/>
          <w:color w:val="000000"/>
          <w:sz w:val="24"/>
        </w:rPr>
        <w:t xml:space="preserve">) </w:t>
      </w:r>
      <w:r w:rsidRPr="00125F0D">
        <w:rPr>
          <w:rFonts w:ascii="Garamond" w:hAnsi="Garamond"/>
          <w:i/>
          <w:color w:val="000000"/>
          <w:sz w:val="24"/>
        </w:rPr>
        <w:t>“parti prodhimi”</w:t>
      </w:r>
      <w:r w:rsidRPr="00AF5CA6">
        <w:rPr>
          <w:rFonts w:ascii="Garamond" w:hAnsi="Garamond" w:cs="Times New Roman"/>
          <w:color w:val="000000"/>
          <w:sz w:val="24"/>
          <w:szCs w:val="24"/>
        </w:rPr>
        <w:t xml:space="preserve"> është numri ose sasia e ambalazheve të vajit të ullirit, të prodhuar, përpunuar dhe ambalazhuar në kushte të njëjta, të cilat kanë të njëjtat karakteristika analitike;</w:t>
      </w:r>
    </w:p>
    <w:p w14:paraId="7F1DACFC" w14:textId="77777777" w:rsidR="00074867" w:rsidRPr="00AF5CA6" w:rsidRDefault="00074867" w:rsidP="00F5565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Calibri"/>
          <w:color w:val="000000"/>
          <w:sz w:val="24"/>
          <w:szCs w:val="24"/>
        </w:rPr>
      </w:pPr>
      <w:r w:rsidRPr="00125F0D">
        <w:rPr>
          <w:rFonts w:ascii="Garamond" w:hAnsi="Garamond"/>
          <w:i/>
          <w:color w:val="000000"/>
          <w:sz w:val="24"/>
        </w:rPr>
        <w:t>c</w:t>
      </w:r>
      <w:r w:rsidR="00F55655" w:rsidRPr="00125F0D">
        <w:rPr>
          <w:rFonts w:ascii="Garamond" w:hAnsi="Garamond"/>
          <w:i/>
          <w:color w:val="000000"/>
          <w:sz w:val="24"/>
        </w:rPr>
        <w:t xml:space="preserve">) </w:t>
      </w:r>
      <w:r w:rsidRPr="00125F0D">
        <w:rPr>
          <w:rFonts w:ascii="Garamond" w:hAnsi="Garamond"/>
          <w:i/>
          <w:color w:val="000000"/>
          <w:sz w:val="24"/>
        </w:rPr>
        <w:t>“pjesë mostre</w:t>
      </w:r>
      <w:r w:rsidRPr="00AF5CA6">
        <w:rPr>
          <w:rFonts w:ascii="Garamond" w:hAnsi="Garamond" w:cs="Times New Roman"/>
          <w:i/>
          <w:iCs/>
          <w:color w:val="000000"/>
          <w:sz w:val="24"/>
          <w:szCs w:val="24"/>
        </w:rPr>
        <w:t>”</w:t>
      </w:r>
      <w:r w:rsidRPr="00AF5CA6">
        <w:rPr>
          <w:rFonts w:ascii="Garamond" w:hAnsi="Garamond" w:cs="Times New Roman"/>
          <w:color w:val="000000"/>
          <w:sz w:val="24"/>
          <w:szCs w:val="24"/>
        </w:rPr>
        <w:t xml:space="preserve"> është sasia e vajit të ullirit që</w:t>
      </w:r>
      <w:r w:rsidRPr="00AF5CA6">
        <w:rPr>
          <w:rFonts w:ascii="Garamond" w:hAnsi="Garamond" w:cs="Times New Roman"/>
          <w:color w:val="FF0000"/>
          <w:sz w:val="24"/>
          <w:szCs w:val="24"/>
        </w:rPr>
        <w:t xml:space="preserve"> </w:t>
      </w:r>
      <w:r w:rsidRPr="00AF5CA6">
        <w:rPr>
          <w:rFonts w:ascii="Garamond" w:hAnsi="Garamond" w:cs="Times New Roman"/>
          <w:color w:val="000000"/>
          <w:sz w:val="24"/>
          <w:szCs w:val="24"/>
        </w:rPr>
        <w:t>ndodhet në një paketim deri në 5 litra ose që</w:t>
      </w:r>
      <w:r w:rsidRPr="00AF5CA6">
        <w:rPr>
          <w:rFonts w:ascii="Garamond" w:hAnsi="Garamond" w:cs="Times New Roman"/>
          <w:color w:val="FF0000"/>
          <w:sz w:val="24"/>
          <w:szCs w:val="24"/>
        </w:rPr>
        <w:t xml:space="preserve"> </w:t>
      </w:r>
      <w:r w:rsidRPr="00AF5CA6">
        <w:rPr>
          <w:rFonts w:ascii="Garamond" w:hAnsi="Garamond" w:cs="Times New Roman"/>
          <w:color w:val="000000"/>
          <w:sz w:val="24"/>
          <w:szCs w:val="24"/>
        </w:rPr>
        <w:t>merret nga ambalazhe mbi 5 litra, të cilat zgjidhen në mënyrë rastësore në një pikë të partisë së prodhimit.</w:t>
      </w:r>
    </w:p>
    <w:p w14:paraId="30824359" w14:textId="77777777" w:rsidR="00074867" w:rsidRPr="00AF5CA6" w:rsidRDefault="00074867" w:rsidP="00F55655">
      <w:pPr>
        <w:tabs>
          <w:tab w:val="left" w:pos="5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AF5CA6">
        <w:rPr>
          <w:rFonts w:ascii="Garamond" w:hAnsi="Garamond" w:cs="Times New Roman"/>
          <w:color w:val="000000"/>
          <w:sz w:val="24"/>
          <w:szCs w:val="24"/>
        </w:rPr>
        <w:t>3.</w:t>
      </w:r>
      <w:r w:rsidR="00F55655" w:rsidRPr="00AF5CA6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AF5CA6">
        <w:rPr>
          <w:rFonts w:ascii="Garamond" w:hAnsi="Garamond" w:cs="Times New Roman"/>
          <w:color w:val="000000"/>
          <w:sz w:val="24"/>
          <w:szCs w:val="24"/>
        </w:rPr>
        <w:t>Për qëllim të këtij udhëzimi, shkurtimet</w:t>
      </w:r>
      <w:r w:rsidRPr="00AF5CA6">
        <w:rPr>
          <w:rFonts w:ascii="Garamond" w:hAnsi="Garamond" w:cs="Times New Roman"/>
          <w:b/>
          <w:bCs/>
          <w:color w:val="000000"/>
          <w:sz w:val="24"/>
          <w:szCs w:val="24"/>
        </w:rPr>
        <w:t xml:space="preserve"> </w:t>
      </w:r>
      <w:r w:rsidRPr="00AF5CA6">
        <w:rPr>
          <w:rFonts w:ascii="Garamond" w:hAnsi="Garamond" w:cs="Times New Roman"/>
          <w:color w:val="000000"/>
          <w:sz w:val="24"/>
          <w:szCs w:val="24"/>
        </w:rPr>
        <w:t>kanë kuptimet si më poshtë:</w:t>
      </w:r>
    </w:p>
    <w:p w14:paraId="105E744B" w14:textId="6B680B74" w:rsidR="00074867" w:rsidRPr="00E8610F" w:rsidRDefault="00074867" w:rsidP="00F55655">
      <w:pPr>
        <w:tabs>
          <w:tab w:val="left" w:pos="5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bookmarkStart w:id="0" w:name="_GoBack"/>
      <w:bookmarkEnd w:id="0"/>
      <w:r w:rsidRPr="00E8610F">
        <w:rPr>
          <w:rFonts w:ascii="Garamond" w:hAnsi="Garamond"/>
          <w:color w:val="000000"/>
          <w:sz w:val="24"/>
        </w:rPr>
        <w:t>a</w:t>
      </w:r>
      <w:r w:rsidR="00F55655" w:rsidRPr="00E8610F">
        <w:rPr>
          <w:rFonts w:ascii="Garamond" w:hAnsi="Garamond"/>
          <w:color w:val="000000"/>
          <w:sz w:val="24"/>
        </w:rPr>
        <w:t>)</w:t>
      </w:r>
      <w:r w:rsidR="00F55655" w:rsidRPr="00E8610F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E8610F">
        <w:rPr>
          <w:rFonts w:ascii="Garamond" w:hAnsi="Garamond" w:cs="Times New Roman"/>
          <w:color w:val="000000"/>
          <w:sz w:val="24"/>
          <w:szCs w:val="24"/>
        </w:rPr>
        <w:t>m</w:t>
      </w:r>
      <w:r w:rsidR="0048465F" w:rsidRPr="00E8610F">
        <w:rPr>
          <w:rFonts w:ascii="Garamond" w:hAnsi="Garamond" w:cs="Times New Roman"/>
          <w:color w:val="000000"/>
          <w:sz w:val="24"/>
          <w:szCs w:val="24"/>
        </w:rPr>
        <w:t>l</w:t>
      </w:r>
      <w:r w:rsidRPr="00E8610F">
        <w:rPr>
          <w:rFonts w:ascii="Garamond" w:hAnsi="Garamond" w:cs="Times New Roman"/>
          <w:color w:val="000000"/>
          <w:sz w:val="24"/>
          <w:szCs w:val="24"/>
        </w:rPr>
        <w:t>: mililitra</w:t>
      </w:r>
      <w:r w:rsidR="00AF5CA6" w:rsidRPr="00E8610F">
        <w:rPr>
          <w:rFonts w:ascii="Garamond" w:hAnsi="Garamond" w:cs="Times New Roman"/>
          <w:color w:val="000000"/>
          <w:sz w:val="24"/>
          <w:szCs w:val="24"/>
        </w:rPr>
        <w:t>;</w:t>
      </w:r>
    </w:p>
    <w:p w14:paraId="12A01540" w14:textId="77777777" w:rsidR="00074867" w:rsidRPr="00E8610F" w:rsidRDefault="00074867" w:rsidP="00F55655">
      <w:pPr>
        <w:tabs>
          <w:tab w:val="left" w:pos="5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E8610F">
        <w:rPr>
          <w:rFonts w:ascii="Garamond" w:hAnsi="Garamond" w:cs="Times New Roman"/>
          <w:color w:val="000000"/>
          <w:sz w:val="24"/>
          <w:szCs w:val="24"/>
        </w:rPr>
        <w:t>b</w:t>
      </w:r>
      <w:r w:rsidR="00F55655" w:rsidRPr="00E8610F">
        <w:rPr>
          <w:rFonts w:ascii="Garamond" w:hAnsi="Garamond"/>
          <w:color w:val="000000"/>
          <w:sz w:val="24"/>
        </w:rPr>
        <w:t>)</w:t>
      </w:r>
      <w:r w:rsidR="00F55655" w:rsidRPr="00E8610F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E8610F">
        <w:rPr>
          <w:rFonts w:ascii="Garamond" w:hAnsi="Garamond" w:cs="Times New Roman"/>
          <w:color w:val="000000"/>
          <w:sz w:val="24"/>
          <w:szCs w:val="24"/>
        </w:rPr>
        <w:t>NaOH: Hidroksid Natriumi</w:t>
      </w:r>
      <w:r w:rsidR="00AF5CA6" w:rsidRPr="00E8610F">
        <w:rPr>
          <w:rFonts w:ascii="Garamond" w:hAnsi="Garamond" w:cs="Times New Roman"/>
          <w:color w:val="000000"/>
          <w:sz w:val="24"/>
          <w:szCs w:val="24"/>
        </w:rPr>
        <w:t>;</w:t>
      </w:r>
    </w:p>
    <w:p w14:paraId="225BEDFA" w14:textId="77777777" w:rsidR="00074867" w:rsidRPr="00E8610F" w:rsidRDefault="00074867" w:rsidP="00F55655">
      <w:pPr>
        <w:tabs>
          <w:tab w:val="left" w:pos="5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E8610F">
        <w:rPr>
          <w:rFonts w:ascii="Garamond" w:hAnsi="Garamond" w:cs="Times New Roman"/>
          <w:color w:val="000000"/>
          <w:sz w:val="24"/>
          <w:szCs w:val="24"/>
        </w:rPr>
        <w:t>c</w:t>
      </w:r>
      <w:r w:rsidR="00F55655" w:rsidRPr="00E8610F">
        <w:rPr>
          <w:rFonts w:ascii="Garamond" w:hAnsi="Garamond"/>
          <w:color w:val="000000"/>
          <w:sz w:val="24"/>
        </w:rPr>
        <w:t>)</w:t>
      </w:r>
      <w:r w:rsidR="00F55655" w:rsidRPr="00E8610F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E8610F">
        <w:rPr>
          <w:rFonts w:ascii="Garamond" w:hAnsi="Garamond" w:cs="Times New Roman"/>
          <w:color w:val="000000"/>
          <w:sz w:val="24"/>
          <w:szCs w:val="24"/>
        </w:rPr>
        <w:t>KOH: Hidroksid Kaliumi</w:t>
      </w:r>
      <w:r w:rsidR="00AF5CA6" w:rsidRPr="00E8610F">
        <w:rPr>
          <w:rFonts w:ascii="Garamond" w:hAnsi="Garamond" w:cs="Times New Roman"/>
          <w:color w:val="000000"/>
          <w:sz w:val="24"/>
          <w:szCs w:val="24"/>
        </w:rPr>
        <w:t>;</w:t>
      </w:r>
    </w:p>
    <w:p w14:paraId="3BC54C5D" w14:textId="3BAAA845" w:rsidR="00074867" w:rsidRPr="00E8610F" w:rsidRDefault="00074867" w:rsidP="00F55655">
      <w:pPr>
        <w:tabs>
          <w:tab w:val="left" w:pos="5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E8610F">
        <w:rPr>
          <w:rFonts w:ascii="Garamond" w:hAnsi="Garamond" w:cs="Times New Roman"/>
          <w:color w:val="000000"/>
          <w:sz w:val="24"/>
          <w:szCs w:val="24"/>
        </w:rPr>
        <w:t>ç</w:t>
      </w:r>
      <w:r w:rsidR="00F55655" w:rsidRPr="00E8610F">
        <w:rPr>
          <w:rFonts w:ascii="Garamond" w:hAnsi="Garamond"/>
          <w:color w:val="000000"/>
          <w:sz w:val="24"/>
        </w:rPr>
        <w:t>)</w:t>
      </w:r>
      <w:r w:rsidRPr="00E8610F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="0048465F" w:rsidRPr="00E8610F">
        <w:rPr>
          <w:rFonts w:ascii="Garamond" w:hAnsi="Garamond" w:cs="Times New Roman"/>
          <w:color w:val="000000"/>
          <w:sz w:val="24"/>
          <w:szCs w:val="24"/>
        </w:rPr>
        <w:t>m</w:t>
      </w:r>
      <w:r w:rsidRPr="00E8610F">
        <w:rPr>
          <w:rFonts w:ascii="Garamond" w:hAnsi="Garamond" w:cs="Times New Roman"/>
          <w:color w:val="000000"/>
          <w:sz w:val="24"/>
          <w:szCs w:val="24"/>
        </w:rPr>
        <w:t>eq: miliekuivalent</w:t>
      </w:r>
      <w:r w:rsidR="00AF5CA6" w:rsidRPr="00E8610F">
        <w:rPr>
          <w:rFonts w:ascii="Garamond" w:hAnsi="Garamond" w:cs="Times New Roman"/>
          <w:color w:val="000000"/>
          <w:sz w:val="24"/>
          <w:szCs w:val="24"/>
        </w:rPr>
        <w:t>;</w:t>
      </w:r>
    </w:p>
    <w:p w14:paraId="1B0F5CA3" w14:textId="4E82A11E" w:rsidR="00074867" w:rsidRPr="00125F0D" w:rsidRDefault="00074867" w:rsidP="00F55655">
      <w:pPr>
        <w:tabs>
          <w:tab w:val="left" w:pos="5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E8610F">
        <w:rPr>
          <w:rFonts w:ascii="Garamond" w:hAnsi="Garamond"/>
          <w:color w:val="000000"/>
          <w:sz w:val="24"/>
        </w:rPr>
        <w:t>d</w:t>
      </w:r>
      <w:r w:rsidR="00F55655" w:rsidRPr="00E8610F">
        <w:rPr>
          <w:rFonts w:ascii="Garamond" w:hAnsi="Garamond"/>
          <w:color w:val="000000"/>
          <w:sz w:val="24"/>
        </w:rPr>
        <w:t>)</w:t>
      </w:r>
      <w:r w:rsidR="00F55655" w:rsidRPr="00E8610F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E8610F">
        <w:rPr>
          <w:rFonts w:ascii="Garamond" w:hAnsi="Garamond" w:cs="Times New Roman"/>
          <w:color w:val="000000"/>
          <w:sz w:val="24"/>
          <w:szCs w:val="24"/>
        </w:rPr>
        <w:t>m</w:t>
      </w:r>
      <w:r w:rsidR="0048465F" w:rsidRPr="00E8610F">
        <w:rPr>
          <w:rFonts w:ascii="Garamond" w:hAnsi="Garamond" w:cs="Times New Roman"/>
          <w:color w:val="000000"/>
          <w:sz w:val="24"/>
          <w:szCs w:val="24"/>
        </w:rPr>
        <w:t>l</w:t>
      </w:r>
      <w:r w:rsidRPr="00125F0D">
        <w:rPr>
          <w:rFonts w:ascii="Garamond" w:hAnsi="Garamond" w:cs="Times New Roman"/>
          <w:color w:val="000000"/>
          <w:sz w:val="24"/>
          <w:szCs w:val="24"/>
        </w:rPr>
        <w:t>: mililitra</w:t>
      </w:r>
      <w:r w:rsidR="00AF5CA6" w:rsidRPr="00125F0D">
        <w:rPr>
          <w:rFonts w:ascii="Garamond" w:hAnsi="Garamond" w:cs="Times New Roman"/>
          <w:color w:val="000000"/>
          <w:sz w:val="24"/>
          <w:szCs w:val="24"/>
        </w:rPr>
        <w:t>;</w:t>
      </w:r>
    </w:p>
    <w:p w14:paraId="37618C51" w14:textId="53B3B541" w:rsidR="00074867" w:rsidRPr="00125F0D" w:rsidRDefault="00074867" w:rsidP="00F55655">
      <w:pPr>
        <w:tabs>
          <w:tab w:val="left" w:pos="5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125F0D">
        <w:rPr>
          <w:rFonts w:ascii="Garamond" w:hAnsi="Garamond" w:cs="Times New Roman"/>
          <w:color w:val="000000"/>
          <w:sz w:val="24"/>
          <w:szCs w:val="24"/>
        </w:rPr>
        <w:t>dh</w:t>
      </w:r>
      <w:r w:rsidR="00F55655" w:rsidRPr="00125F0D">
        <w:rPr>
          <w:rFonts w:ascii="Garamond" w:hAnsi="Garamond"/>
          <w:color w:val="000000"/>
          <w:sz w:val="24"/>
        </w:rPr>
        <w:t>)</w:t>
      </w:r>
      <w:r w:rsidRPr="00125F0D">
        <w:rPr>
          <w:rFonts w:ascii="Garamond" w:hAnsi="Garamond" w:cs="Times New Roman"/>
          <w:color w:val="000000"/>
          <w:sz w:val="24"/>
          <w:szCs w:val="24"/>
        </w:rPr>
        <w:t xml:space="preserve"> c: </w:t>
      </w:r>
      <w:r w:rsidR="0048465F">
        <w:rPr>
          <w:rFonts w:ascii="Garamond" w:hAnsi="Garamond" w:cs="Times New Roman"/>
          <w:color w:val="000000"/>
          <w:sz w:val="24"/>
          <w:szCs w:val="24"/>
        </w:rPr>
        <w:t>p</w:t>
      </w:r>
      <w:r w:rsidR="0048465F" w:rsidRPr="00125F0D">
        <w:rPr>
          <w:rFonts w:ascii="Garamond" w:hAnsi="Garamond" w:cs="Times New Roman"/>
          <w:color w:val="000000"/>
          <w:sz w:val="24"/>
          <w:szCs w:val="24"/>
        </w:rPr>
        <w:t>ërqendrimi</w:t>
      </w:r>
      <w:r w:rsidRPr="00125F0D">
        <w:rPr>
          <w:rFonts w:ascii="Garamond" w:hAnsi="Garamond" w:cs="Times New Roman"/>
          <w:color w:val="000000"/>
          <w:sz w:val="24"/>
          <w:szCs w:val="24"/>
        </w:rPr>
        <w:t xml:space="preserve"> i tretësirës</w:t>
      </w:r>
      <w:r w:rsidR="00AF5CA6" w:rsidRPr="00125F0D">
        <w:rPr>
          <w:rFonts w:ascii="Garamond" w:hAnsi="Garamond" w:cs="Times New Roman"/>
          <w:color w:val="000000"/>
          <w:sz w:val="24"/>
          <w:szCs w:val="24"/>
        </w:rPr>
        <w:t>;</w:t>
      </w:r>
    </w:p>
    <w:p w14:paraId="3450D49F" w14:textId="77777777" w:rsidR="00074867" w:rsidRPr="00125F0D" w:rsidRDefault="00074867" w:rsidP="00F55655">
      <w:pPr>
        <w:tabs>
          <w:tab w:val="left" w:pos="5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125F0D">
        <w:rPr>
          <w:rFonts w:ascii="Garamond" w:hAnsi="Garamond" w:cs="Times New Roman"/>
          <w:color w:val="000000"/>
          <w:sz w:val="24"/>
          <w:szCs w:val="24"/>
        </w:rPr>
        <w:t>e</w:t>
      </w:r>
      <w:r w:rsidR="00F55655" w:rsidRPr="00125F0D">
        <w:rPr>
          <w:rFonts w:ascii="Garamond" w:hAnsi="Garamond"/>
          <w:color w:val="000000"/>
          <w:sz w:val="24"/>
        </w:rPr>
        <w:t>)</w:t>
      </w:r>
      <w:r w:rsidR="00F55655" w:rsidRPr="00125F0D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125F0D">
        <w:rPr>
          <w:rFonts w:ascii="Garamond" w:hAnsi="Garamond" w:cs="Times New Roman"/>
          <w:color w:val="000000"/>
          <w:sz w:val="24"/>
          <w:szCs w:val="24"/>
        </w:rPr>
        <w:t>FAME: Metil Estere të Acideve Yndyrore</w:t>
      </w:r>
      <w:r w:rsidR="00AF5CA6" w:rsidRPr="00125F0D">
        <w:rPr>
          <w:rFonts w:ascii="Garamond" w:hAnsi="Garamond" w:cs="Times New Roman"/>
          <w:color w:val="000000"/>
          <w:sz w:val="24"/>
          <w:szCs w:val="24"/>
        </w:rPr>
        <w:t>;</w:t>
      </w:r>
    </w:p>
    <w:p w14:paraId="1BF99F65" w14:textId="3EE40FE1" w:rsidR="00074867" w:rsidRPr="00125F0D" w:rsidRDefault="00074867" w:rsidP="00F55655">
      <w:pPr>
        <w:tabs>
          <w:tab w:val="left" w:pos="5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125F0D">
        <w:rPr>
          <w:rFonts w:ascii="Garamond" w:hAnsi="Garamond" w:cs="Times New Roman"/>
          <w:color w:val="000000"/>
          <w:sz w:val="24"/>
          <w:szCs w:val="24"/>
        </w:rPr>
        <w:t>ë</w:t>
      </w:r>
      <w:r w:rsidR="00F55655" w:rsidRPr="00125F0D">
        <w:rPr>
          <w:rFonts w:ascii="Garamond" w:hAnsi="Garamond"/>
          <w:color w:val="000000"/>
          <w:sz w:val="24"/>
        </w:rPr>
        <w:t>)</w:t>
      </w:r>
      <w:r w:rsidR="00AF5CA6" w:rsidRPr="00125F0D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125F0D">
        <w:rPr>
          <w:rFonts w:ascii="Garamond" w:hAnsi="Garamond" w:cs="Times New Roman"/>
          <w:color w:val="000000"/>
          <w:sz w:val="24"/>
          <w:szCs w:val="24"/>
        </w:rPr>
        <w:t xml:space="preserve"> AY: </w:t>
      </w:r>
      <w:r w:rsidR="0048465F">
        <w:rPr>
          <w:rFonts w:ascii="Garamond" w:hAnsi="Garamond" w:cs="Times New Roman"/>
          <w:color w:val="000000"/>
          <w:sz w:val="24"/>
          <w:szCs w:val="24"/>
        </w:rPr>
        <w:t>a</w:t>
      </w:r>
      <w:r w:rsidRPr="00125F0D">
        <w:rPr>
          <w:rFonts w:ascii="Garamond" w:hAnsi="Garamond" w:cs="Times New Roman"/>
          <w:color w:val="000000"/>
          <w:sz w:val="24"/>
          <w:szCs w:val="24"/>
        </w:rPr>
        <w:t>cide yndyrore</w:t>
      </w:r>
      <w:r w:rsidR="00AF5CA6" w:rsidRPr="00125F0D">
        <w:rPr>
          <w:rFonts w:ascii="Garamond" w:hAnsi="Garamond" w:cs="Times New Roman"/>
          <w:color w:val="000000"/>
          <w:sz w:val="24"/>
          <w:szCs w:val="24"/>
        </w:rPr>
        <w:t>;</w:t>
      </w:r>
    </w:p>
    <w:p w14:paraId="5264B20B" w14:textId="547A41AA" w:rsidR="00074867" w:rsidRPr="00125F0D" w:rsidRDefault="00074867" w:rsidP="00F55655">
      <w:pPr>
        <w:tabs>
          <w:tab w:val="left" w:pos="5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125F0D">
        <w:rPr>
          <w:rFonts w:ascii="Garamond" w:hAnsi="Garamond" w:cs="Times New Roman"/>
          <w:color w:val="000000"/>
          <w:sz w:val="24"/>
          <w:szCs w:val="24"/>
        </w:rPr>
        <w:t>f</w:t>
      </w:r>
      <w:r w:rsidR="00F55655" w:rsidRPr="00125F0D">
        <w:rPr>
          <w:rFonts w:ascii="Garamond" w:hAnsi="Garamond"/>
          <w:color w:val="000000"/>
          <w:sz w:val="24"/>
        </w:rPr>
        <w:t>)</w:t>
      </w:r>
      <w:r w:rsidR="00F55655" w:rsidRPr="00125F0D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125F0D">
        <w:rPr>
          <w:rFonts w:ascii="Garamond" w:hAnsi="Garamond" w:cs="Times New Roman"/>
          <w:color w:val="000000"/>
          <w:sz w:val="24"/>
          <w:szCs w:val="24"/>
        </w:rPr>
        <w:t xml:space="preserve">PM: </w:t>
      </w:r>
      <w:r w:rsidR="0048465F">
        <w:rPr>
          <w:rFonts w:ascii="Garamond" w:hAnsi="Garamond" w:cs="Times New Roman"/>
          <w:color w:val="000000"/>
          <w:sz w:val="24"/>
          <w:szCs w:val="24"/>
        </w:rPr>
        <w:t>p</w:t>
      </w:r>
      <w:r w:rsidRPr="00125F0D">
        <w:rPr>
          <w:rFonts w:ascii="Garamond" w:hAnsi="Garamond" w:cs="Times New Roman"/>
          <w:color w:val="000000"/>
          <w:sz w:val="24"/>
          <w:szCs w:val="24"/>
        </w:rPr>
        <w:t>eshë molekulare</w:t>
      </w:r>
      <w:r w:rsidR="00AF5CA6" w:rsidRPr="00125F0D">
        <w:rPr>
          <w:rFonts w:ascii="Garamond" w:hAnsi="Garamond" w:cs="Times New Roman"/>
          <w:color w:val="000000"/>
          <w:sz w:val="24"/>
          <w:szCs w:val="24"/>
        </w:rPr>
        <w:t>;</w:t>
      </w:r>
    </w:p>
    <w:p w14:paraId="7C0F2D5A" w14:textId="3C3C7C30" w:rsidR="00074867" w:rsidRPr="00125F0D" w:rsidRDefault="00074867" w:rsidP="00F55655">
      <w:pPr>
        <w:tabs>
          <w:tab w:val="left" w:pos="5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125F0D">
        <w:rPr>
          <w:rFonts w:ascii="Garamond" w:hAnsi="Garamond" w:cs="Times New Roman"/>
          <w:color w:val="000000"/>
          <w:sz w:val="24"/>
          <w:szCs w:val="24"/>
        </w:rPr>
        <w:t>g</w:t>
      </w:r>
      <w:r w:rsidR="00F55655" w:rsidRPr="00125F0D">
        <w:rPr>
          <w:rFonts w:ascii="Garamond" w:hAnsi="Garamond"/>
          <w:color w:val="000000"/>
          <w:sz w:val="24"/>
        </w:rPr>
        <w:t>)</w:t>
      </w:r>
      <w:r w:rsidR="00F55655" w:rsidRPr="00125F0D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125F0D">
        <w:rPr>
          <w:rFonts w:ascii="Garamond" w:hAnsi="Garamond" w:cs="Times New Roman"/>
          <w:color w:val="000000"/>
          <w:sz w:val="24"/>
          <w:szCs w:val="24"/>
        </w:rPr>
        <w:t xml:space="preserve">AYN: </w:t>
      </w:r>
      <w:r w:rsidR="0048465F">
        <w:rPr>
          <w:rFonts w:ascii="Garamond" w:hAnsi="Garamond" w:cs="Times New Roman"/>
          <w:color w:val="000000"/>
          <w:sz w:val="24"/>
          <w:szCs w:val="24"/>
        </w:rPr>
        <w:t>a</w:t>
      </w:r>
      <w:r w:rsidRPr="00125F0D">
        <w:rPr>
          <w:rFonts w:ascii="Garamond" w:hAnsi="Garamond" w:cs="Times New Roman"/>
          <w:color w:val="000000"/>
          <w:sz w:val="24"/>
          <w:szCs w:val="24"/>
        </w:rPr>
        <w:t>cide yndyrore të ngopura</w:t>
      </w:r>
      <w:r w:rsidR="00AF5CA6" w:rsidRPr="00125F0D">
        <w:rPr>
          <w:rFonts w:ascii="Garamond" w:hAnsi="Garamond" w:cs="Times New Roman"/>
          <w:color w:val="000000"/>
          <w:sz w:val="24"/>
          <w:szCs w:val="24"/>
        </w:rPr>
        <w:t>;</w:t>
      </w:r>
    </w:p>
    <w:p w14:paraId="6D4BE255" w14:textId="6083E20D" w:rsidR="00074867" w:rsidRPr="00125F0D" w:rsidRDefault="00074867" w:rsidP="00F55655">
      <w:pPr>
        <w:tabs>
          <w:tab w:val="left" w:pos="560"/>
          <w:tab w:val="left" w:pos="620"/>
          <w:tab w:val="left" w:pos="80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125F0D">
        <w:rPr>
          <w:rFonts w:ascii="Garamond" w:hAnsi="Garamond" w:cs="Times New Roman"/>
          <w:color w:val="000000"/>
          <w:sz w:val="24"/>
          <w:szCs w:val="24"/>
        </w:rPr>
        <w:t>gj</w:t>
      </w:r>
      <w:r w:rsidR="00F55655" w:rsidRPr="00125F0D">
        <w:rPr>
          <w:rFonts w:ascii="Garamond" w:hAnsi="Garamond"/>
          <w:color w:val="000000"/>
          <w:sz w:val="24"/>
        </w:rPr>
        <w:t>)</w:t>
      </w:r>
      <w:r w:rsidRPr="00125F0D">
        <w:rPr>
          <w:rFonts w:ascii="Garamond" w:hAnsi="Garamond" w:cs="Times New Roman"/>
          <w:color w:val="000000"/>
          <w:sz w:val="24"/>
          <w:szCs w:val="24"/>
        </w:rPr>
        <w:t xml:space="preserve"> AYP: </w:t>
      </w:r>
      <w:r w:rsidR="0048465F">
        <w:rPr>
          <w:rFonts w:ascii="Garamond" w:hAnsi="Garamond" w:cs="Times New Roman"/>
          <w:color w:val="000000"/>
          <w:sz w:val="24"/>
          <w:szCs w:val="24"/>
        </w:rPr>
        <w:t>a</w:t>
      </w:r>
      <w:r w:rsidRPr="00125F0D">
        <w:rPr>
          <w:rFonts w:ascii="Garamond" w:hAnsi="Garamond" w:cs="Times New Roman"/>
          <w:color w:val="000000"/>
          <w:sz w:val="24"/>
          <w:szCs w:val="24"/>
        </w:rPr>
        <w:t>cide yndyrore të pangopura</w:t>
      </w:r>
      <w:r w:rsidR="00AF5CA6" w:rsidRPr="00125F0D">
        <w:rPr>
          <w:rFonts w:ascii="Garamond" w:hAnsi="Garamond" w:cs="Times New Roman"/>
          <w:color w:val="000000"/>
          <w:sz w:val="24"/>
          <w:szCs w:val="24"/>
        </w:rPr>
        <w:t>;</w:t>
      </w:r>
    </w:p>
    <w:p w14:paraId="1336D4D6" w14:textId="77777777" w:rsidR="00074867" w:rsidRPr="00125F0D" w:rsidRDefault="00074867" w:rsidP="00F55655">
      <w:pPr>
        <w:tabs>
          <w:tab w:val="left" w:pos="5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125F0D">
        <w:rPr>
          <w:rFonts w:ascii="Garamond" w:hAnsi="Garamond" w:cs="Times New Roman"/>
          <w:color w:val="000000"/>
          <w:sz w:val="24"/>
          <w:szCs w:val="24"/>
        </w:rPr>
        <w:t>h</w:t>
      </w:r>
      <w:r w:rsidR="00F55655" w:rsidRPr="00125F0D">
        <w:rPr>
          <w:rFonts w:ascii="Garamond" w:hAnsi="Garamond"/>
          <w:color w:val="000000"/>
          <w:sz w:val="24"/>
        </w:rPr>
        <w:t>)</w:t>
      </w:r>
      <w:r w:rsidR="00F55655" w:rsidRPr="00125F0D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125F0D">
        <w:rPr>
          <w:rFonts w:ascii="Garamond" w:hAnsi="Garamond" w:cs="Times New Roman"/>
          <w:color w:val="000000"/>
          <w:sz w:val="24"/>
          <w:szCs w:val="24"/>
        </w:rPr>
        <w:t>TAGs: Triaciglicerolet</w:t>
      </w:r>
      <w:r w:rsidR="00AF5CA6" w:rsidRPr="00125F0D">
        <w:rPr>
          <w:rFonts w:ascii="Garamond" w:hAnsi="Garamond" w:cs="Times New Roman"/>
          <w:color w:val="000000"/>
          <w:sz w:val="24"/>
          <w:szCs w:val="24"/>
        </w:rPr>
        <w:t>.</w:t>
      </w:r>
    </w:p>
    <w:p w14:paraId="398FD642" w14:textId="62384D52" w:rsidR="00074867" w:rsidRPr="00AF5CA6" w:rsidRDefault="00074867" w:rsidP="00F55655">
      <w:pPr>
        <w:tabs>
          <w:tab w:val="left" w:pos="5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FF0000"/>
          <w:sz w:val="24"/>
          <w:szCs w:val="24"/>
        </w:rPr>
      </w:pPr>
      <w:r w:rsidRPr="00AF5CA6">
        <w:rPr>
          <w:rFonts w:ascii="Garamond" w:hAnsi="Garamond" w:cs="Times New Roman"/>
          <w:color w:val="000000"/>
          <w:sz w:val="24"/>
          <w:szCs w:val="24"/>
        </w:rPr>
        <w:t>4.</w:t>
      </w:r>
      <w:r w:rsidR="00F55655" w:rsidRPr="00AF5CA6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AF5CA6">
        <w:rPr>
          <w:rFonts w:ascii="Garamond" w:hAnsi="Garamond" w:cs="Times New Roman"/>
          <w:color w:val="000000"/>
          <w:sz w:val="24"/>
          <w:szCs w:val="24"/>
        </w:rPr>
        <w:t xml:space="preserve">Mostra për kontrollin e përputhshmërisë së vajit të ullirit me kategorinë e deklaruar, merret në përputhje me standardet SSH EN ISO 5555 </w:t>
      </w:r>
      <w:r w:rsidRPr="00125F0D">
        <w:rPr>
          <w:rFonts w:ascii="Garamond" w:hAnsi="Garamond" w:cs="Times New Roman"/>
          <w:iCs/>
          <w:color w:val="000000"/>
          <w:sz w:val="24"/>
          <w:szCs w:val="24"/>
        </w:rPr>
        <w:t>“Për marrjen e mostrave”</w:t>
      </w:r>
      <w:r w:rsidRPr="00125F0D">
        <w:rPr>
          <w:rFonts w:ascii="Garamond" w:hAnsi="Garamond" w:cs="Times New Roman"/>
          <w:color w:val="000000"/>
          <w:sz w:val="24"/>
          <w:szCs w:val="24"/>
        </w:rPr>
        <w:t xml:space="preserve"> dhe</w:t>
      </w:r>
      <w:r w:rsidRPr="00AF5CA6">
        <w:rPr>
          <w:rFonts w:ascii="Garamond" w:hAnsi="Garamond" w:cs="Times New Roman"/>
          <w:color w:val="000000"/>
          <w:sz w:val="24"/>
          <w:szCs w:val="24"/>
        </w:rPr>
        <w:t xml:space="preserve"> SSH EN ISO 661 </w:t>
      </w:r>
      <w:r w:rsidRPr="00125F0D">
        <w:rPr>
          <w:rFonts w:ascii="Garamond" w:hAnsi="Garamond" w:cs="Times New Roman"/>
          <w:iCs/>
          <w:color w:val="000000"/>
          <w:sz w:val="24"/>
          <w:szCs w:val="24"/>
        </w:rPr>
        <w:t>“Për përgatitjen e mostrave”.</w:t>
      </w:r>
      <w:r w:rsidRPr="00AF5CA6">
        <w:rPr>
          <w:rFonts w:ascii="Garamond" w:hAnsi="Garamond" w:cs="Times New Roman"/>
          <w:color w:val="000000"/>
          <w:sz w:val="24"/>
          <w:szCs w:val="24"/>
        </w:rPr>
        <w:t xml:space="preserve"> Për partitë e prodhimit të vajit të ullirit të ambalazhuar marrja e mostrës kryhet në përputhje me aneksin 1, bashkëlidhur këtij udhëzimi.</w:t>
      </w:r>
    </w:p>
    <w:p w14:paraId="5E1B6483" w14:textId="1F88AB38" w:rsidR="00074867" w:rsidRPr="00AF5CA6" w:rsidRDefault="00074867" w:rsidP="00F55655">
      <w:pPr>
        <w:tabs>
          <w:tab w:val="left" w:pos="5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AF5CA6">
        <w:rPr>
          <w:rFonts w:ascii="Garamond" w:hAnsi="Garamond" w:cs="Times New Roman"/>
          <w:color w:val="000000"/>
          <w:sz w:val="24"/>
          <w:szCs w:val="24"/>
        </w:rPr>
        <w:t>5.</w:t>
      </w:r>
      <w:r w:rsidR="00F55655" w:rsidRPr="00AF5CA6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AF5CA6">
        <w:rPr>
          <w:rFonts w:ascii="Garamond" w:hAnsi="Garamond" w:cs="Times New Roman"/>
          <w:color w:val="000000"/>
          <w:sz w:val="24"/>
          <w:szCs w:val="24"/>
        </w:rPr>
        <w:t>Pa c</w:t>
      </w:r>
      <w:r w:rsidR="00DA6CA9">
        <w:rPr>
          <w:rFonts w:ascii="Garamond" w:hAnsi="Garamond" w:cs="Times New Roman"/>
          <w:color w:val="000000"/>
          <w:sz w:val="24"/>
          <w:szCs w:val="24"/>
        </w:rPr>
        <w:t>e</w:t>
      </w:r>
      <w:r w:rsidRPr="00AF5CA6">
        <w:rPr>
          <w:rFonts w:ascii="Garamond" w:hAnsi="Garamond" w:cs="Times New Roman"/>
          <w:color w:val="000000"/>
          <w:sz w:val="24"/>
          <w:szCs w:val="24"/>
        </w:rPr>
        <w:t>nuar standardet SSH EN ISO 5555 dhe SSH EN ISO 661</w:t>
      </w:r>
      <w:r w:rsidR="00DA6CA9">
        <w:rPr>
          <w:rFonts w:ascii="Garamond" w:hAnsi="Garamond" w:cs="Times New Roman"/>
          <w:color w:val="000000"/>
          <w:sz w:val="24"/>
          <w:szCs w:val="24"/>
        </w:rPr>
        <w:t>,</w:t>
      </w:r>
      <w:r w:rsidRPr="00AF5CA6">
        <w:rPr>
          <w:rFonts w:ascii="Garamond" w:hAnsi="Garamond" w:cs="Times New Roman"/>
          <w:color w:val="000000"/>
          <w:sz w:val="24"/>
          <w:szCs w:val="24"/>
        </w:rPr>
        <w:t xml:space="preserve"> mostra vendoset sa më shpejt në një vend të errët, larg nxehtësisë dhe dërgohet në laborator për analizim</w:t>
      </w:r>
      <w:r w:rsidR="00DA6CA9">
        <w:rPr>
          <w:rFonts w:ascii="Garamond" w:hAnsi="Garamond" w:cs="Times New Roman"/>
          <w:color w:val="000000"/>
          <w:sz w:val="24"/>
          <w:szCs w:val="24"/>
        </w:rPr>
        <w:t>,</w:t>
      </w:r>
      <w:r w:rsidRPr="00AF5CA6">
        <w:rPr>
          <w:rFonts w:ascii="Garamond" w:hAnsi="Garamond" w:cs="Times New Roman"/>
          <w:color w:val="000000"/>
          <w:sz w:val="24"/>
          <w:szCs w:val="24"/>
        </w:rPr>
        <w:t xml:space="preserve"> brenda 5 ditë pune nga momenti i marrjes, në të kundërt duhet të ruhet në kushte të tilla që të mos degradojë ose dëmtohet gjatë transportit ose ruajtjes, përpara se të dërgohet në laborator.</w:t>
      </w:r>
    </w:p>
    <w:p w14:paraId="5BEBDAD1" w14:textId="77777777" w:rsidR="00074867" w:rsidRPr="00AF5CA6" w:rsidRDefault="00074867" w:rsidP="00F55655">
      <w:pPr>
        <w:tabs>
          <w:tab w:val="left" w:pos="5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AF5CA6">
        <w:rPr>
          <w:rFonts w:ascii="Garamond" w:hAnsi="Garamond" w:cs="Times New Roman"/>
          <w:color w:val="000000"/>
          <w:sz w:val="24"/>
          <w:szCs w:val="24"/>
        </w:rPr>
        <w:t>6.</w:t>
      </w:r>
      <w:r w:rsidR="00F55655" w:rsidRPr="00AF5CA6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AF5CA6">
        <w:rPr>
          <w:rFonts w:ascii="Garamond" w:hAnsi="Garamond" w:cs="Times New Roman"/>
          <w:color w:val="000000"/>
          <w:sz w:val="24"/>
          <w:szCs w:val="24"/>
        </w:rPr>
        <w:t>Verifikimi i përputhshmërisë së vajit të ullirit me treguesit e përcaktuar në legjislacionin në fuqi për karakteristikat e cilësisë dhe kriteret e natyrshmërisë së vajit të ullirit dhe vajit të bërsive të ullirit, kryhet:</w:t>
      </w:r>
    </w:p>
    <w:p w14:paraId="02366CFB" w14:textId="77777777" w:rsidR="00074867" w:rsidRPr="00AF5CA6" w:rsidRDefault="00074867" w:rsidP="00F55655">
      <w:pPr>
        <w:tabs>
          <w:tab w:val="left" w:pos="72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AF5CA6">
        <w:rPr>
          <w:rFonts w:ascii="Garamond" w:hAnsi="Garamond" w:cs="Times New Roman"/>
          <w:color w:val="000000"/>
          <w:sz w:val="24"/>
          <w:szCs w:val="24"/>
        </w:rPr>
        <w:t>a</w:t>
      </w:r>
      <w:r w:rsidR="00F55655" w:rsidRPr="00AF5CA6">
        <w:rPr>
          <w:rFonts w:ascii="Garamond" w:hAnsi="Garamond" w:cs="Times New Roman"/>
          <w:i/>
          <w:iCs/>
          <w:color w:val="000000"/>
          <w:sz w:val="24"/>
          <w:szCs w:val="24"/>
        </w:rPr>
        <w:t>)</w:t>
      </w:r>
      <w:r w:rsidR="00F55655" w:rsidRPr="00AF5CA6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AF5CA6">
        <w:rPr>
          <w:rFonts w:ascii="Garamond" w:hAnsi="Garamond" w:cs="Times New Roman"/>
          <w:color w:val="000000"/>
          <w:sz w:val="24"/>
          <w:szCs w:val="24"/>
        </w:rPr>
        <w:t xml:space="preserve">sipas rastit, për çfarë kërkohet të analizohet, ose; </w:t>
      </w:r>
    </w:p>
    <w:p w14:paraId="7CFF7F9E" w14:textId="7B3E9C3E" w:rsidR="00074867" w:rsidRPr="00AF5CA6" w:rsidRDefault="00074867" w:rsidP="00F55655">
      <w:pPr>
        <w:tabs>
          <w:tab w:val="left" w:pos="72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AF5CA6">
        <w:rPr>
          <w:rFonts w:ascii="Garamond" w:hAnsi="Garamond" w:cs="Times New Roman"/>
          <w:color w:val="000000"/>
          <w:sz w:val="24"/>
          <w:szCs w:val="24"/>
        </w:rPr>
        <w:lastRenderedPageBreak/>
        <w:t>b</w:t>
      </w:r>
      <w:r w:rsidR="00F55655" w:rsidRPr="00AF5CA6">
        <w:rPr>
          <w:rFonts w:ascii="Garamond" w:hAnsi="Garamond" w:cs="Times New Roman"/>
          <w:i/>
          <w:iCs/>
          <w:color w:val="000000"/>
          <w:sz w:val="24"/>
          <w:szCs w:val="24"/>
        </w:rPr>
        <w:t>)</w:t>
      </w:r>
      <w:r w:rsidR="00F55655" w:rsidRPr="00AF5CA6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AF5CA6">
        <w:rPr>
          <w:rFonts w:ascii="Garamond" w:hAnsi="Garamond" w:cs="Times New Roman"/>
          <w:color w:val="000000"/>
          <w:sz w:val="24"/>
          <w:szCs w:val="24"/>
        </w:rPr>
        <w:t>duke ndjekur rendin sipas skemës</w:t>
      </w:r>
      <w:r w:rsidRPr="00AF5CA6">
        <w:rPr>
          <w:rFonts w:ascii="Garamond" w:hAnsi="Garamond" w:cs="Times New Roman"/>
          <w:b/>
          <w:bCs/>
          <w:color w:val="000000"/>
          <w:sz w:val="24"/>
          <w:szCs w:val="24"/>
        </w:rPr>
        <w:t xml:space="preserve"> </w:t>
      </w:r>
      <w:r w:rsidRPr="00AF5CA6">
        <w:rPr>
          <w:rFonts w:ascii="Garamond" w:hAnsi="Garamond" w:cs="Times New Roman"/>
          <w:color w:val="000000"/>
          <w:sz w:val="24"/>
          <w:szCs w:val="24"/>
        </w:rPr>
        <w:t>së përcaktuar në aneksin 2 të këtij udhëzimi, derisa të arrihet në një vendim përfundimtar për kategorinë që i përket mostra e analizuar.</w:t>
      </w:r>
    </w:p>
    <w:p w14:paraId="70CFD792" w14:textId="212D9F5B" w:rsidR="00074867" w:rsidRPr="00AF5CA6" w:rsidRDefault="00074867" w:rsidP="00F5565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AF5CA6">
        <w:rPr>
          <w:rFonts w:ascii="Garamond" w:hAnsi="Garamond" w:cs="Times New Roman"/>
          <w:color w:val="000000"/>
          <w:sz w:val="24"/>
          <w:szCs w:val="24"/>
        </w:rPr>
        <w:t>7.</w:t>
      </w:r>
      <w:r w:rsidR="00F55655" w:rsidRPr="00AF5CA6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AF5CA6">
        <w:rPr>
          <w:rFonts w:ascii="Garamond" w:hAnsi="Garamond" w:cs="Times New Roman"/>
          <w:color w:val="000000"/>
          <w:sz w:val="24"/>
          <w:szCs w:val="24"/>
        </w:rPr>
        <w:t>Treguesit e vajit të ullirit</w:t>
      </w:r>
      <w:r w:rsidR="00DA6CA9">
        <w:rPr>
          <w:rFonts w:ascii="Garamond" w:hAnsi="Garamond" w:cs="Times New Roman"/>
          <w:color w:val="000000"/>
          <w:sz w:val="24"/>
          <w:szCs w:val="24"/>
        </w:rPr>
        <w:t>,</w:t>
      </w:r>
      <w:r w:rsidRPr="00AF5CA6">
        <w:rPr>
          <w:rFonts w:ascii="Garamond" w:hAnsi="Garamond" w:cs="Times New Roman"/>
          <w:color w:val="000000"/>
          <w:sz w:val="24"/>
          <w:szCs w:val="24"/>
        </w:rPr>
        <w:t xml:space="preserve"> të përcaktuar në legjislacionin në fuqi për përcaktimin e karakteristikave të cilësisë dhe kriteret e natyrshmërisë së vajit të ullirit dhe vajit të bërsive të ullirit, përcaktohen me metodat sipas aneksit 3, bashkëlidhur këtij udhëzimi dhe rezultatet krahasohen me normat e legjislacionit në fuqi</w:t>
      </w:r>
      <w:r w:rsidR="00DA6CA9">
        <w:rPr>
          <w:rFonts w:ascii="Garamond" w:hAnsi="Garamond" w:cs="Times New Roman"/>
          <w:color w:val="000000"/>
          <w:sz w:val="24"/>
          <w:szCs w:val="24"/>
        </w:rPr>
        <w:t>,</w:t>
      </w:r>
      <w:r w:rsidRPr="00AF5CA6">
        <w:rPr>
          <w:rFonts w:ascii="Garamond" w:hAnsi="Garamond" w:cs="Times New Roman"/>
          <w:color w:val="000000"/>
          <w:sz w:val="24"/>
          <w:szCs w:val="24"/>
        </w:rPr>
        <w:t xml:space="preserve"> duke marrë parasysh përsëritshmërinë dhe riprodhueshmërinë e metodës së analizës së përdorur.</w:t>
      </w:r>
    </w:p>
    <w:p w14:paraId="708DE0AA" w14:textId="3D44460B" w:rsidR="00074867" w:rsidRPr="00AF5CA6" w:rsidRDefault="00074867" w:rsidP="00F5565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AF5CA6">
        <w:rPr>
          <w:rFonts w:ascii="Garamond" w:hAnsi="Garamond" w:cs="Times New Roman"/>
          <w:color w:val="000000"/>
          <w:sz w:val="24"/>
          <w:szCs w:val="24"/>
        </w:rPr>
        <w:t>8.</w:t>
      </w:r>
      <w:r w:rsidR="00F55655" w:rsidRPr="00AF5CA6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AF5CA6">
        <w:rPr>
          <w:rFonts w:ascii="Garamond" w:hAnsi="Garamond" w:cs="Times New Roman"/>
          <w:color w:val="000000"/>
          <w:sz w:val="24"/>
          <w:szCs w:val="24"/>
        </w:rPr>
        <w:t>Për qëllim të verifikimit</w:t>
      </w:r>
      <w:r w:rsidR="00AF5CA6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AF5CA6">
        <w:rPr>
          <w:rFonts w:ascii="Garamond" w:hAnsi="Garamond" w:cs="Times New Roman"/>
          <w:color w:val="000000"/>
          <w:sz w:val="24"/>
          <w:szCs w:val="24"/>
        </w:rPr>
        <w:t xml:space="preserve">sipas pikës 6, në rastin kur rezultatet e analizave kontestohen nga operatori, rianalizimi sipas legjislacionit në fuqi për kontrollin zyrtar, i aciditetit të lirë, vlerës së peroksideve, </w:t>
      </w:r>
      <w:r w:rsidR="00DA6CA9" w:rsidRPr="00AF5CA6">
        <w:rPr>
          <w:rFonts w:ascii="Garamond" w:hAnsi="Garamond" w:cs="Times New Roman"/>
          <w:color w:val="000000"/>
          <w:sz w:val="24"/>
          <w:szCs w:val="24"/>
        </w:rPr>
        <w:t>koeficientit</w:t>
      </w:r>
      <w:r w:rsidRPr="00AF5CA6">
        <w:rPr>
          <w:rFonts w:ascii="Garamond" w:hAnsi="Garamond" w:cs="Times New Roman"/>
          <w:color w:val="000000"/>
          <w:sz w:val="24"/>
          <w:szCs w:val="24"/>
        </w:rPr>
        <w:t xml:space="preserve"> të përthithjes UV (K232, K268 ose K270, ΔK), etil esteret e acideve yndyrore, dyllrat dhe karakteristikat organoleptike, kryhet përpara datës së skadencës në rastin e vajit të ullirit të ambalazhuar.</w:t>
      </w:r>
    </w:p>
    <w:p w14:paraId="0DF0D7DE" w14:textId="77777777" w:rsidR="00074867" w:rsidRPr="00AF5CA6" w:rsidRDefault="00074867" w:rsidP="00F5565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AF5CA6">
        <w:rPr>
          <w:rFonts w:ascii="Garamond" w:hAnsi="Garamond" w:cs="Times New Roman"/>
          <w:color w:val="000000"/>
          <w:sz w:val="24"/>
          <w:szCs w:val="24"/>
        </w:rPr>
        <w:t>9.</w:t>
      </w:r>
      <w:r w:rsidR="00F55655" w:rsidRPr="00AF5CA6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AF5CA6">
        <w:rPr>
          <w:rFonts w:ascii="Garamond" w:hAnsi="Garamond" w:cs="Times New Roman"/>
          <w:color w:val="000000"/>
          <w:sz w:val="24"/>
          <w:szCs w:val="24"/>
        </w:rPr>
        <w:t>Në rastin kur mostra e vajit të ullirit është marrë në depozita, rianalizimi kryhet brenda 6 muajve nga marrja e mostrës.</w:t>
      </w:r>
    </w:p>
    <w:p w14:paraId="6B9607BC" w14:textId="7F3FDA0D" w:rsidR="00074867" w:rsidRPr="00AF5CA6" w:rsidRDefault="00074867" w:rsidP="00F5565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AF5CA6">
        <w:rPr>
          <w:rFonts w:ascii="Garamond" w:hAnsi="Garamond" w:cs="Times New Roman"/>
          <w:color w:val="000000"/>
          <w:sz w:val="24"/>
          <w:szCs w:val="24"/>
        </w:rPr>
        <w:t>10.</w:t>
      </w:r>
      <w:r w:rsidR="00F55655" w:rsidRPr="00AF5CA6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AF5CA6">
        <w:rPr>
          <w:rFonts w:ascii="Garamond" w:hAnsi="Garamond" w:cs="Times New Roman"/>
          <w:color w:val="000000"/>
          <w:sz w:val="24"/>
          <w:szCs w:val="24"/>
        </w:rPr>
        <w:t>Për verifikimin e karakteristikave të tjera nga ato të përmendura në pikën 8, rianalizimi kryhet pa afat kohor, pasi nuk ndikon në rezultatin e analizës.</w:t>
      </w:r>
    </w:p>
    <w:p w14:paraId="75B397F4" w14:textId="77777777" w:rsidR="00074867" w:rsidRPr="00AF5CA6" w:rsidRDefault="00074867" w:rsidP="00F5565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AF5CA6">
        <w:rPr>
          <w:rFonts w:ascii="Garamond" w:hAnsi="Garamond" w:cs="Times New Roman"/>
          <w:color w:val="000000"/>
          <w:sz w:val="24"/>
          <w:szCs w:val="24"/>
        </w:rPr>
        <w:t>11.</w:t>
      </w:r>
      <w:r w:rsidR="00F55655" w:rsidRPr="00AF5CA6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AF5CA6">
        <w:rPr>
          <w:rFonts w:ascii="Garamond" w:hAnsi="Garamond" w:cs="Times New Roman"/>
          <w:color w:val="000000"/>
          <w:sz w:val="24"/>
          <w:szCs w:val="24"/>
        </w:rPr>
        <w:t>Në rastin e vajit të ullirit të ambalazhuar, me përjashtim të rasteve kur mostra është marrë më pak se 2 muaj para datës së skadencës, nëse rezultatet e analizave nuk përputhen me karakteristikat e kategorisë së deklaruar, operatori nga i cili është marrë mostra duhet të njoftohet jo më vonë se 1 muaj përpara datës së skadencës së vajit.</w:t>
      </w:r>
    </w:p>
    <w:p w14:paraId="05D951C6" w14:textId="474407A8" w:rsidR="00074867" w:rsidRPr="00AF5CA6" w:rsidRDefault="00074867" w:rsidP="00F5565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AF5CA6">
        <w:rPr>
          <w:rFonts w:ascii="Garamond" w:hAnsi="Garamond" w:cs="Times New Roman"/>
          <w:color w:val="000000"/>
          <w:sz w:val="24"/>
          <w:szCs w:val="24"/>
        </w:rPr>
        <w:t>12.</w:t>
      </w:r>
      <w:r w:rsidR="00F55655" w:rsidRPr="00AF5CA6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AF5CA6">
        <w:rPr>
          <w:rFonts w:ascii="Garamond" w:hAnsi="Garamond" w:cs="Times New Roman"/>
          <w:color w:val="000000"/>
          <w:sz w:val="24"/>
          <w:szCs w:val="24"/>
        </w:rPr>
        <w:t>Rregullat e përcaktuara në pikat 6</w:t>
      </w:r>
      <w:r w:rsidR="00DA6CA9">
        <w:rPr>
          <w:rFonts w:ascii="Garamond" w:hAnsi="Garamond" w:cs="Times New Roman"/>
          <w:color w:val="000000"/>
          <w:sz w:val="24"/>
          <w:szCs w:val="24"/>
        </w:rPr>
        <w:t>–</w:t>
      </w:r>
      <w:r w:rsidRPr="00AF5CA6">
        <w:rPr>
          <w:rFonts w:ascii="Garamond" w:hAnsi="Garamond" w:cs="Times New Roman"/>
          <w:color w:val="000000"/>
          <w:sz w:val="24"/>
          <w:szCs w:val="24"/>
        </w:rPr>
        <w:t>11 të këtij udhëzimi, zbatohen për çdo mostër parësore të marrë në përputhje me aneksin 1, bashkëlidhur këtij udhëzimi.</w:t>
      </w:r>
    </w:p>
    <w:p w14:paraId="7D22BC38" w14:textId="77777777" w:rsidR="00074867" w:rsidRPr="00AF5CA6" w:rsidRDefault="00074867" w:rsidP="00F5565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AF5CA6">
        <w:rPr>
          <w:rFonts w:ascii="Garamond" w:hAnsi="Garamond" w:cs="Times New Roman"/>
          <w:color w:val="000000"/>
          <w:sz w:val="24"/>
          <w:szCs w:val="24"/>
        </w:rPr>
        <w:t>13.</w:t>
      </w:r>
      <w:r w:rsidR="00F55655" w:rsidRPr="00AF5CA6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AF5CA6">
        <w:rPr>
          <w:rFonts w:ascii="Garamond" w:hAnsi="Garamond" w:cs="Times New Roman"/>
          <w:color w:val="000000"/>
          <w:sz w:val="24"/>
          <w:szCs w:val="24"/>
        </w:rPr>
        <w:t>Vlerësimi i karakteristikave organoshqisore të vajit të ullirit të virgjër, të përcaktuara në legjislacionin në fuqi, për përcaktimin e karakteristikave të cilësisë dhe kriteret e natyrshmërisë së vajit të ullirit dhe vajit të bërsive të ullirit, kryhet nga komisioni i degustimit/panel testi, i miratuar sipas legjislacionit në fuqi.</w:t>
      </w:r>
    </w:p>
    <w:p w14:paraId="389B9F63" w14:textId="17E693F9" w:rsidR="00074867" w:rsidRPr="00AF5CA6" w:rsidRDefault="00074867" w:rsidP="00F5565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AF5CA6">
        <w:rPr>
          <w:rFonts w:ascii="Garamond" w:hAnsi="Garamond" w:cs="Times New Roman"/>
          <w:color w:val="000000"/>
          <w:sz w:val="24"/>
          <w:szCs w:val="24"/>
        </w:rPr>
        <w:t>14.</w:t>
      </w:r>
      <w:r w:rsidR="00F55655" w:rsidRPr="00AF5CA6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AF5CA6">
        <w:rPr>
          <w:rFonts w:ascii="Garamond" w:hAnsi="Garamond" w:cs="Times New Roman"/>
          <w:color w:val="000000"/>
          <w:sz w:val="24"/>
          <w:szCs w:val="24"/>
        </w:rPr>
        <w:t>Karakteristikat organoshqisore konsiderohen në përputhje me kategorinë e deklaruar nëse konfirmohen nga komisioni i degustimit/panel testi, i miratuar.</w:t>
      </w:r>
    </w:p>
    <w:p w14:paraId="08E68D94" w14:textId="13A34CE8" w:rsidR="00074867" w:rsidRPr="00AF5CA6" w:rsidRDefault="00074867" w:rsidP="00DA6CA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AF5CA6">
        <w:rPr>
          <w:rFonts w:ascii="Garamond" w:hAnsi="Garamond" w:cs="Times New Roman"/>
          <w:color w:val="000000"/>
          <w:sz w:val="24"/>
          <w:szCs w:val="24"/>
        </w:rPr>
        <w:t>15.</w:t>
      </w:r>
      <w:r w:rsidR="00F55655" w:rsidRPr="00AF5CA6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AF5CA6">
        <w:rPr>
          <w:rFonts w:ascii="Garamond" w:hAnsi="Garamond" w:cs="Times New Roman"/>
          <w:color w:val="000000"/>
          <w:sz w:val="24"/>
          <w:szCs w:val="24"/>
        </w:rPr>
        <w:t>Kur panel testi vlerëson që mostra nuk është në përputhje me kategorinë e deklaruar për karakteristikat organoshqisore, me kërkesë të operatorit, institucioni përgjegjës për kontrollin zyrtar të ushqimit dhe ushqimit për kafshë, e dërgon mostrën në dy komisione degustimi/panel teste të tjera të miratuara sipas legjislacionit në fuqi, për të kryer rianalizimin.</w:t>
      </w:r>
    </w:p>
    <w:p w14:paraId="0FD223B0" w14:textId="77777777" w:rsidR="00074867" w:rsidRPr="00AF5CA6" w:rsidRDefault="00074867" w:rsidP="00F5565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AF5CA6">
        <w:rPr>
          <w:rFonts w:ascii="Garamond" w:hAnsi="Garamond" w:cs="Times New Roman"/>
          <w:color w:val="000000"/>
          <w:sz w:val="24"/>
          <w:szCs w:val="24"/>
        </w:rPr>
        <w:t>16.</w:t>
      </w:r>
      <w:r w:rsidR="00F55655" w:rsidRPr="00AF5CA6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AF5CA6">
        <w:rPr>
          <w:rFonts w:ascii="Garamond" w:hAnsi="Garamond" w:cs="Times New Roman"/>
          <w:color w:val="000000"/>
          <w:sz w:val="24"/>
          <w:szCs w:val="24"/>
        </w:rPr>
        <w:t>Karakteristikat organoshqisore konsiderohen në përputhje me kategorinë e deklaruar nëse konfirmohen nga të dy rianalizimet. Në rastin e kundërt, operatori mbulon kostot e rianalizimeve.</w:t>
      </w:r>
    </w:p>
    <w:p w14:paraId="0BAFBDE7" w14:textId="77777777" w:rsidR="00074867" w:rsidRPr="00AF5CA6" w:rsidRDefault="00074867" w:rsidP="00F5565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AF5CA6">
        <w:rPr>
          <w:rFonts w:ascii="Garamond" w:hAnsi="Garamond" w:cs="Times New Roman"/>
          <w:color w:val="000000"/>
          <w:sz w:val="24"/>
          <w:szCs w:val="24"/>
        </w:rPr>
        <w:t>17.</w:t>
      </w:r>
      <w:r w:rsidR="00F55655" w:rsidRPr="00AF5CA6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AF5CA6">
        <w:rPr>
          <w:rFonts w:ascii="Garamond" w:hAnsi="Garamond" w:cs="Times New Roman"/>
          <w:color w:val="000000"/>
          <w:sz w:val="24"/>
          <w:szCs w:val="24"/>
        </w:rPr>
        <w:t>Për vajin e importuar, rianalizimi kryhet nga dy komisione degustimi/panel teste të tjera nga ai që ka kryer vlerësimin fillestar.</w:t>
      </w:r>
    </w:p>
    <w:p w14:paraId="70150BC6" w14:textId="77777777" w:rsidR="00074867" w:rsidRPr="00AF5CA6" w:rsidRDefault="00074867" w:rsidP="00F5565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AF5CA6">
        <w:rPr>
          <w:rFonts w:ascii="Garamond" w:hAnsi="Garamond" w:cs="Times New Roman"/>
          <w:color w:val="000000"/>
          <w:sz w:val="24"/>
          <w:szCs w:val="24"/>
        </w:rPr>
        <w:t>18.</w:t>
      </w:r>
      <w:r w:rsidR="00F55655" w:rsidRPr="00AF5CA6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AF5CA6">
        <w:rPr>
          <w:rFonts w:ascii="Garamond" w:hAnsi="Garamond" w:cs="Times New Roman"/>
          <w:color w:val="000000"/>
          <w:sz w:val="24"/>
          <w:szCs w:val="24"/>
        </w:rPr>
        <w:t>Gjatë kryerjes së rianalizimeve, komisionet e degustimit/panel testet vlerësojnë vajin e ullirit në dy seanca degustimi. Rezultatet nga dy seancat duhet të jenë statistikisht të njëjta, në të kundërt mostra duhet rianalizuar dy herë. Vlerat e karakteristikave organoshqisore të vajit të ullirit të marra nga rivlerësimet, llogariten si mesatare e vlerave në dy seancat statistikisht të njëjta.</w:t>
      </w:r>
    </w:p>
    <w:p w14:paraId="7271A85B" w14:textId="7ACA12A1" w:rsidR="00074867" w:rsidRPr="00AF5CA6" w:rsidRDefault="00074867" w:rsidP="00F5565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AF5CA6">
        <w:rPr>
          <w:rFonts w:ascii="Garamond" w:hAnsi="Garamond" w:cs="Times New Roman"/>
          <w:color w:val="000000"/>
          <w:sz w:val="24"/>
          <w:szCs w:val="24"/>
        </w:rPr>
        <w:t>19.</w:t>
      </w:r>
      <w:r w:rsidR="00F55655" w:rsidRPr="00AF5CA6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AF5CA6">
        <w:rPr>
          <w:rFonts w:ascii="Garamond" w:hAnsi="Garamond" w:cs="Times New Roman"/>
          <w:color w:val="000000"/>
          <w:sz w:val="24"/>
          <w:szCs w:val="24"/>
        </w:rPr>
        <w:t>Për zbatimin e këtij udhëzimi ngarkohen Autoriteti Kombëtar i Ushqimit, Instituti i Sigurisë Ushqimore dhe Veterinarisë, laboratorë të tjerë të autorizuar për kryerjen e analizave të vajit të ullirit, për qëllim të kontrollit zyrtar dhe komisionet e degustimit/panel testet, të miratuara.</w:t>
      </w:r>
    </w:p>
    <w:p w14:paraId="0D54ADF6" w14:textId="77777777" w:rsidR="00074867" w:rsidRPr="00AF5CA6" w:rsidRDefault="00074867" w:rsidP="00F5565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AF5CA6">
        <w:rPr>
          <w:rFonts w:ascii="Garamond" w:hAnsi="Garamond" w:cs="Times New Roman"/>
          <w:color w:val="000000"/>
          <w:sz w:val="24"/>
          <w:szCs w:val="24"/>
        </w:rPr>
        <w:t>Ky udhëzim hyn në fuqi pas botimit në Fletoren Zyrtare.</w:t>
      </w:r>
    </w:p>
    <w:p w14:paraId="04A2766F" w14:textId="77777777" w:rsidR="00074867" w:rsidRPr="00AF5CA6" w:rsidRDefault="00074867" w:rsidP="00F5565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</w:p>
    <w:p w14:paraId="67A63F69" w14:textId="0897628C" w:rsidR="00074867" w:rsidRPr="00AF5CA6" w:rsidRDefault="00074867" w:rsidP="00F55655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bCs/>
          <w:color w:val="000000"/>
          <w:sz w:val="24"/>
          <w:szCs w:val="24"/>
        </w:rPr>
      </w:pPr>
      <w:r w:rsidRPr="00AF5CA6">
        <w:rPr>
          <w:rFonts w:ascii="Garamond" w:hAnsi="Garamond" w:cs="Times New Roman"/>
          <w:bCs/>
          <w:color w:val="000000"/>
          <w:sz w:val="24"/>
          <w:szCs w:val="24"/>
        </w:rPr>
        <w:t>MINISTËR</w:t>
      </w:r>
      <w:r w:rsidR="00DA6CA9">
        <w:rPr>
          <w:rFonts w:ascii="Garamond" w:hAnsi="Garamond" w:cs="Times New Roman"/>
          <w:bCs/>
          <w:color w:val="000000"/>
          <w:sz w:val="24"/>
          <w:szCs w:val="24"/>
        </w:rPr>
        <w:t xml:space="preserve"> I BUJQËSISË</w:t>
      </w:r>
    </w:p>
    <w:p w14:paraId="6FDB9D19" w14:textId="4F1CE86D" w:rsidR="003C3138" w:rsidRPr="00AF5CA6" w:rsidRDefault="00AF5CA6" w:rsidP="00F55655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b/>
          <w:bCs/>
          <w:color w:val="000000"/>
          <w:sz w:val="24"/>
          <w:szCs w:val="24"/>
        </w:rPr>
      </w:pPr>
      <w:r>
        <w:rPr>
          <w:rFonts w:ascii="Garamond" w:hAnsi="Garamond" w:cs="Times New Roman"/>
          <w:b/>
          <w:bCs/>
          <w:color w:val="000000"/>
          <w:sz w:val="24"/>
          <w:szCs w:val="24"/>
        </w:rPr>
        <w:t xml:space="preserve"> </w:t>
      </w:r>
      <w:r w:rsidR="00F55655" w:rsidRPr="00AF5CA6">
        <w:rPr>
          <w:rFonts w:ascii="Garamond" w:hAnsi="Garamond" w:cs="Times New Roman"/>
          <w:b/>
          <w:bCs/>
          <w:color w:val="000000"/>
          <w:sz w:val="24"/>
          <w:szCs w:val="24"/>
        </w:rPr>
        <w:t>Anila Denaj</w:t>
      </w:r>
    </w:p>
    <w:p w14:paraId="5726AEE2" w14:textId="77777777" w:rsidR="008A72B9" w:rsidRPr="00AF5CA6" w:rsidRDefault="008A72B9" w:rsidP="00F55655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</w:p>
    <w:p w14:paraId="020FF609" w14:textId="77777777" w:rsidR="008A72B9" w:rsidRPr="00AF5CA6" w:rsidRDefault="008A72B9" w:rsidP="00F55655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</w:p>
    <w:p w14:paraId="395E7A42" w14:textId="77777777" w:rsidR="008A72B9" w:rsidRPr="00AF5CA6" w:rsidRDefault="008A72B9" w:rsidP="00F55655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</w:p>
    <w:p w14:paraId="7884F84A" w14:textId="77777777" w:rsidR="008A72B9" w:rsidRPr="00AF5CA6" w:rsidRDefault="008A72B9" w:rsidP="008A72B9">
      <w:pPr>
        <w:autoSpaceDE w:val="0"/>
        <w:autoSpaceDN w:val="0"/>
        <w:adjustRightInd w:val="0"/>
        <w:spacing w:after="0" w:line="240" w:lineRule="auto"/>
        <w:jc w:val="center"/>
        <w:rPr>
          <w:rFonts w:ascii="Garamond" w:hAnsi="Garamond"/>
          <w:sz w:val="24"/>
          <w:szCs w:val="24"/>
        </w:rPr>
      </w:pPr>
      <w:r w:rsidRPr="00AF5CA6">
        <w:rPr>
          <w:rFonts w:ascii="Garamond" w:hAnsi="Garamond"/>
          <w:noProof/>
          <w:sz w:val="24"/>
          <w:szCs w:val="24"/>
        </w:rPr>
        <w:lastRenderedPageBreak/>
        <w:drawing>
          <wp:inline distT="0" distB="0" distL="0" distR="0" wp14:anchorId="20361636" wp14:editId="55FEDBAD">
            <wp:extent cx="5760085" cy="7687945"/>
            <wp:effectExtent l="0" t="0" r="0" b="8255"/>
            <wp:docPr id="55" name="Picture 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5" name="udhezimi per metodat e analizimit te treguesve te vajit te ulliritt_Page_01.jpg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76879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AF5CA6">
        <w:rPr>
          <w:rFonts w:ascii="Garamond" w:hAnsi="Garamond"/>
          <w:noProof/>
          <w:sz w:val="24"/>
          <w:szCs w:val="24"/>
        </w:rPr>
        <w:lastRenderedPageBreak/>
        <w:drawing>
          <wp:inline distT="0" distB="0" distL="0" distR="0" wp14:anchorId="2D3E4F52" wp14:editId="4A75BD9A">
            <wp:extent cx="5760085" cy="6554470"/>
            <wp:effectExtent l="0" t="0" r="0" b="0"/>
            <wp:docPr id="56" name="Picture 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" name="udhezimi per metodat e analizimit te treguesve te vajit te ulliritt_Page_02.jpg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65544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AF5CA6">
        <w:rPr>
          <w:rFonts w:ascii="Garamond" w:hAnsi="Garamond"/>
          <w:noProof/>
          <w:sz w:val="24"/>
          <w:szCs w:val="24"/>
        </w:rPr>
        <w:lastRenderedPageBreak/>
        <w:drawing>
          <wp:inline distT="0" distB="0" distL="0" distR="0" wp14:anchorId="21F79B5B" wp14:editId="330FC6CE">
            <wp:extent cx="5760085" cy="7162800"/>
            <wp:effectExtent l="0" t="0" r="0" b="0"/>
            <wp:docPr id="57" name="Picture 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7" name="udhezimi per metodat e analizimit te treguesve te vajit te ulliritt_Page_03.jpg"/>
                    <pic:cNvPicPr/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7162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AF5CA6">
        <w:rPr>
          <w:rFonts w:ascii="Garamond" w:hAnsi="Garamond"/>
          <w:noProof/>
          <w:sz w:val="24"/>
          <w:szCs w:val="24"/>
        </w:rPr>
        <w:lastRenderedPageBreak/>
        <w:drawing>
          <wp:inline distT="0" distB="0" distL="0" distR="0" wp14:anchorId="7F4A9104" wp14:editId="6AAA51E4">
            <wp:extent cx="5760085" cy="6021070"/>
            <wp:effectExtent l="0" t="0" r="0" b="0"/>
            <wp:docPr id="58" name="Picture 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8" name="udhezimi per metodat e analizimit te treguesve te vajit te ulliritt_Page_04.jpg"/>
                    <pic:cNvPicPr/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60210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AF5CA6">
        <w:rPr>
          <w:rFonts w:ascii="Garamond" w:hAnsi="Garamond"/>
          <w:noProof/>
          <w:sz w:val="24"/>
          <w:szCs w:val="24"/>
        </w:rPr>
        <w:lastRenderedPageBreak/>
        <w:drawing>
          <wp:inline distT="0" distB="0" distL="0" distR="0" wp14:anchorId="23149962" wp14:editId="684CFA40">
            <wp:extent cx="5760085" cy="7320280"/>
            <wp:effectExtent l="0" t="0" r="0" b="0"/>
            <wp:docPr id="59" name="Picture 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9" name="udhezimi per metodat e analizimit te treguesve te vajit te ulliritt_Page_05.jpg"/>
                    <pic:cNvPicPr/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73202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AF5CA6">
        <w:rPr>
          <w:rFonts w:ascii="Garamond" w:hAnsi="Garamond"/>
          <w:noProof/>
          <w:sz w:val="24"/>
          <w:szCs w:val="24"/>
        </w:rPr>
        <w:lastRenderedPageBreak/>
        <w:drawing>
          <wp:inline distT="0" distB="0" distL="0" distR="0" wp14:anchorId="6C29452F" wp14:editId="06501769">
            <wp:extent cx="5760085" cy="7633335"/>
            <wp:effectExtent l="0" t="0" r="0" b="5715"/>
            <wp:docPr id="60" name="Picture 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" name="udhezimi per metodat e analizimit te treguesve te vajit te ulliritt_Page_06.jpg"/>
                    <pic:cNvPicPr/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7633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AF5CA6">
        <w:rPr>
          <w:rFonts w:ascii="Garamond" w:hAnsi="Garamond"/>
          <w:noProof/>
          <w:sz w:val="24"/>
          <w:szCs w:val="24"/>
        </w:rPr>
        <w:lastRenderedPageBreak/>
        <w:drawing>
          <wp:inline distT="0" distB="0" distL="0" distR="0" wp14:anchorId="499ECA05" wp14:editId="6BB90877">
            <wp:extent cx="5760085" cy="6786245"/>
            <wp:effectExtent l="0" t="0" r="0" b="0"/>
            <wp:docPr id="61" name="Picture 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1" name="udhezimi per metodat e analizimit te treguesve te vajit te ulliritt_Page_07.jpg"/>
                    <pic:cNvPicPr/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67862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AF5CA6">
        <w:rPr>
          <w:rFonts w:ascii="Garamond" w:hAnsi="Garamond"/>
          <w:noProof/>
          <w:sz w:val="24"/>
          <w:szCs w:val="24"/>
        </w:rPr>
        <w:lastRenderedPageBreak/>
        <w:drawing>
          <wp:inline distT="0" distB="0" distL="0" distR="0" wp14:anchorId="3486B797" wp14:editId="2F3DE729">
            <wp:extent cx="5760085" cy="6094730"/>
            <wp:effectExtent l="0" t="0" r="0" b="1270"/>
            <wp:docPr id="62" name="Picture 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2" name="udhezimi per metodat e analizimit te treguesve te vajit te ulliritt_Page_08.jpg"/>
                    <pic:cNvPicPr/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60947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AF5CA6">
        <w:rPr>
          <w:rFonts w:ascii="Garamond" w:hAnsi="Garamond"/>
          <w:noProof/>
          <w:sz w:val="24"/>
          <w:szCs w:val="24"/>
        </w:rPr>
        <w:lastRenderedPageBreak/>
        <w:drawing>
          <wp:inline distT="0" distB="0" distL="0" distR="0" wp14:anchorId="74D9D86C" wp14:editId="6450A0D7">
            <wp:extent cx="5760085" cy="5996940"/>
            <wp:effectExtent l="0" t="0" r="0" b="3810"/>
            <wp:docPr id="63" name="Picture 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3" name="udhezimi per metodat e analizimit te treguesve te vajit te ulliritt_Page_09.jpg"/>
                    <pic:cNvPicPr/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59969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AF5CA6">
        <w:rPr>
          <w:rFonts w:ascii="Garamond" w:hAnsi="Garamond"/>
          <w:noProof/>
          <w:sz w:val="24"/>
          <w:szCs w:val="24"/>
        </w:rPr>
        <w:lastRenderedPageBreak/>
        <w:drawing>
          <wp:inline distT="0" distB="0" distL="0" distR="0" wp14:anchorId="043750D2" wp14:editId="59242D4D">
            <wp:extent cx="5760085" cy="7753985"/>
            <wp:effectExtent l="0" t="0" r="0" b="0"/>
            <wp:docPr id="64" name="Picture 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4" name="udhezimi per metodat e analizimit te treguesve te vajit te ulliritt_Page_10.jpg"/>
                    <pic:cNvPicPr/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77539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AF5CA6">
        <w:rPr>
          <w:rFonts w:ascii="Garamond" w:hAnsi="Garamond"/>
          <w:noProof/>
          <w:sz w:val="24"/>
          <w:szCs w:val="24"/>
        </w:rPr>
        <w:lastRenderedPageBreak/>
        <w:drawing>
          <wp:inline distT="0" distB="0" distL="0" distR="0" wp14:anchorId="5BEAD8D5" wp14:editId="5B8D58DD">
            <wp:extent cx="5760085" cy="7534275"/>
            <wp:effectExtent l="0" t="0" r="0" b="9525"/>
            <wp:docPr id="65" name="Picture 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5" name="udhezimi per metodat e analizimit te treguesve te vajit te ulliritt_Page_11.jpg"/>
                    <pic:cNvPicPr/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7534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AF5CA6">
        <w:rPr>
          <w:rFonts w:ascii="Garamond" w:hAnsi="Garamond"/>
          <w:noProof/>
          <w:sz w:val="24"/>
          <w:szCs w:val="24"/>
        </w:rPr>
        <w:lastRenderedPageBreak/>
        <w:drawing>
          <wp:inline distT="0" distB="0" distL="0" distR="0" wp14:anchorId="58970F4B" wp14:editId="36329780">
            <wp:extent cx="5760085" cy="6014085"/>
            <wp:effectExtent l="0" t="0" r="0" b="5715"/>
            <wp:docPr id="66" name="Picture 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6" name="udhezimi per metodat e analizimit te treguesve te vajit te ulliritt_Page_12.jpg"/>
                    <pic:cNvPicPr/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60140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AF5CA6">
        <w:rPr>
          <w:rFonts w:ascii="Garamond" w:hAnsi="Garamond"/>
          <w:noProof/>
          <w:sz w:val="24"/>
          <w:szCs w:val="24"/>
        </w:rPr>
        <w:lastRenderedPageBreak/>
        <w:drawing>
          <wp:inline distT="0" distB="0" distL="0" distR="0" wp14:anchorId="4DEAC884" wp14:editId="431B4093">
            <wp:extent cx="5314950" cy="5124450"/>
            <wp:effectExtent l="0" t="0" r="0" b="0"/>
            <wp:docPr id="67" name="Picture 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7" name="udhezimi per metodat e analizimit te treguesve te vajit te ulliritt_Page_13.jpg"/>
                    <pic:cNvPicPr/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14950" cy="5124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AF5CA6">
        <w:rPr>
          <w:rFonts w:ascii="Garamond" w:hAnsi="Garamond"/>
          <w:noProof/>
          <w:sz w:val="24"/>
          <w:szCs w:val="24"/>
        </w:rPr>
        <w:lastRenderedPageBreak/>
        <w:drawing>
          <wp:inline distT="0" distB="0" distL="0" distR="0" wp14:anchorId="07893254" wp14:editId="355C7BB6">
            <wp:extent cx="5760085" cy="7079615"/>
            <wp:effectExtent l="0" t="0" r="0" b="6985"/>
            <wp:docPr id="68" name="Picture 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8" name="udhezimi per metodat e analizimit te treguesve te vajit te ulliritt_Page_14.jpg"/>
                    <pic:cNvPicPr/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70796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AF5CA6">
        <w:rPr>
          <w:rFonts w:ascii="Garamond" w:hAnsi="Garamond"/>
          <w:noProof/>
          <w:sz w:val="24"/>
          <w:szCs w:val="24"/>
        </w:rPr>
        <w:lastRenderedPageBreak/>
        <w:drawing>
          <wp:inline distT="0" distB="0" distL="0" distR="0" wp14:anchorId="3802BBA0" wp14:editId="5BE4C00A">
            <wp:extent cx="5760085" cy="8125460"/>
            <wp:effectExtent l="0" t="0" r="0" b="8890"/>
            <wp:docPr id="69" name="Picture 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9" name="udhezimi per metodat e analizimit te treguesve te vajit te ulliritt_Page_15.jpg"/>
                    <pic:cNvPicPr/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81254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AF5CA6">
        <w:rPr>
          <w:rFonts w:ascii="Garamond" w:hAnsi="Garamond"/>
          <w:noProof/>
          <w:sz w:val="24"/>
          <w:szCs w:val="24"/>
        </w:rPr>
        <w:lastRenderedPageBreak/>
        <w:drawing>
          <wp:inline distT="0" distB="0" distL="0" distR="0" wp14:anchorId="71A83471" wp14:editId="5CF0DA12">
            <wp:extent cx="5760085" cy="7759700"/>
            <wp:effectExtent l="0" t="0" r="0" b="0"/>
            <wp:docPr id="70" name="Picture 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0" name="udhezimi per metodat e analizimit te treguesve te vajit te ulliritt_Page_16.jpg"/>
                    <pic:cNvPicPr/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7759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AF5CA6">
        <w:rPr>
          <w:rFonts w:ascii="Garamond" w:hAnsi="Garamond"/>
          <w:noProof/>
          <w:sz w:val="24"/>
          <w:szCs w:val="24"/>
        </w:rPr>
        <w:lastRenderedPageBreak/>
        <w:drawing>
          <wp:inline distT="0" distB="0" distL="0" distR="0" wp14:anchorId="1EEACAAB" wp14:editId="306DCBB4">
            <wp:extent cx="5760085" cy="8140700"/>
            <wp:effectExtent l="0" t="0" r="0" b="0"/>
            <wp:docPr id="71" name="Picture 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1" name="udhezimi per metodat e analizimit te treguesve te vajit te ulliritt_Page_17.jpg"/>
                    <pic:cNvPicPr/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8140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AF5CA6">
        <w:rPr>
          <w:rFonts w:ascii="Garamond" w:hAnsi="Garamond"/>
          <w:noProof/>
          <w:sz w:val="24"/>
          <w:szCs w:val="24"/>
        </w:rPr>
        <w:lastRenderedPageBreak/>
        <w:drawing>
          <wp:inline distT="0" distB="0" distL="0" distR="0" wp14:anchorId="7F2C7A19" wp14:editId="68551CBF">
            <wp:extent cx="5760085" cy="7728585"/>
            <wp:effectExtent l="0" t="0" r="0" b="5715"/>
            <wp:docPr id="72" name="Picture 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2" name="udhezimi per metodat e analizimit te treguesve te vajit te ulliritt_Page_18.jpg"/>
                    <pic:cNvPicPr/>
                  </pic:nvPicPr>
                  <pic:blipFill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77285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AF5CA6">
        <w:rPr>
          <w:rFonts w:ascii="Garamond" w:hAnsi="Garamond"/>
          <w:noProof/>
          <w:sz w:val="24"/>
          <w:szCs w:val="24"/>
        </w:rPr>
        <w:lastRenderedPageBreak/>
        <w:drawing>
          <wp:inline distT="0" distB="0" distL="0" distR="0" wp14:anchorId="243CBB68" wp14:editId="48EE4D76">
            <wp:extent cx="5760085" cy="7980045"/>
            <wp:effectExtent l="0" t="0" r="0" b="1905"/>
            <wp:docPr id="73" name="Picture 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3" name="udhezimi per metodat e analizimit te treguesve te vajit te ulliritt_Page_19.jpg"/>
                    <pic:cNvPicPr/>
                  </pic:nvPicPr>
                  <pic:blipFill>
                    <a:blip r:embed="rId3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79800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AF5CA6">
        <w:rPr>
          <w:rFonts w:ascii="Garamond" w:hAnsi="Garamond"/>
          <w:noProof/>
          <w:sz w:val="24"/>
          <w:szCs w:val="24"/>
        </w:rPr>
        <w:lastRenderedPageBreak/>
        <w:drawing>
          <wp:inline distT="0" distB="0" distL="0" distR="0" wp14:anchorId="791E890C" wp14:editId="237C81C1">
            <wp:extent cx="5760085" cy="8140065"/>
            <wp:effectExtent l="0" t="0" r="0" b="0"/>
            <wp:docPr id="74" name="Picture 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4" name="udhezimi per metodat e analizimit te treguesve te vajit te ulliritt_Page_20.jpg"/>
                    <pic:cNvPicPr/>
                  </pic:nvPicPr>
                  <pic:blipFill>
                    <a:blip r:embed="rId3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81400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AF5CA6">
        <w:rPr>
          <w:rFonts w:ascii="Garamond" w:hAnsi="Garamond"/>
          <w:noProof/>
          <w:sz w:val="24"/>
          <w:szCs w:val="24"/>
        </w:rPr>
        <w:lastRenderedPageBreak/>
        <w:drawing>
          <wp:inline distT="0" distB="0" distL="0" distR="0" wp14:anchorId="7A8A8E45" wp14:editId="3080E002">
            <wp:extent cx="5760085" cy="8587740"/>
            <wp:effectExtent l="0" t="0" r="0" b="3810"/>
            <wp:docPr id="75" name="Picture 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5" name="udhezimi per metodat e analizimit te treguesve te vajit te ulliritt_Page_21.jpg"/>
                    <pic:cNvPicPr/>
                  </pic:nvPicPr>
                  <pic:blipFill>
                    <a:blip r:embed="rId3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85877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AF5CA6">
        <w:rPr>
          <w:rFonts w:ascii="Garamond" w:hAnsi="Garamond"/>
          <w:noProof/>
          <w:sz w:val="24"/>
          <w:szCs w:val="24"/>
        </w:rPr>
        <w:lastRenderedPageBreak/>
        <w:drawing>
          <wp:inline distT="0" distB="0" distL="0" distR="0" wp14:anchorId="5B1E78C7" wp14:editId="3B0C5225">
            <wp:extent cx="5760085" cy="7873365"/>
            <wp:effectExtent l="0" t="0" r="0" b="0"/>
            <wp:docPr id="76" name="Picture 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6" name="udhezimi per metodat e analizimit te treguesve te vajit te ulliritt_Page_22.jpg"/>
                    <pic:cNvPicPr/>
                  </pic:nvPicPr>
                  <pic:blipFill>
                    <a:blip r:embed="rId3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78733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AF5CA6">
        <w:rPr>
          <w:rFonts w:ascii="Garamond" w:hAnsi="Garamond"/>
          <w:noProof/>
          <w:sz w:val="24"/>
          <w:szCs w:val="24"/>
        </w:rPr>
        <w:lastRenderedPageBreak/>
        <w:drawing>
          <wp:inline distT="0" distB="0" distL="0" distR="0" wp14:anchorId="62B825D6" wp14:editId="4D907F1F">
            <wp:extent cx="5760085" cy="7523480"/>
            <wp:effectExtent l="0" t="0" r="0" b="1270"/>
            <wp:docPr id="77" name="Picture 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7" name="udhezimi per metodat e analizimit te treguesve te vajit te ulliritt_Page_23.jpg"/>
                    <pic:cNvPicPr/>
                  </pic:nvPicPr>
                  <pic:blipFill>
                    <a:blip r:embed="rId3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75234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AF5CA6">
        <w:rPr>
          <w:rFonts w:ascii="Garamond" w:hAnsi="Garamond"/>
          <w:noProof/>
          <w:sz w:val="24"/>
          <w:szCs w:val="24"/>
        </w:rPr>
        <w:lastRenderedPageBreak/>
        <w:drawing>
          <wp:inline distT="0" distB="0" distL="0" distR="0" wp14:anchorId="3B69B62F" wp14:editId="617EEE75">
            <wp:extent cx="5760085" cy="8005445"/>
            <wp:effectExtent l="0" t="0" r="0" b="0"/>
            <wp:docPr id="78" name="Picture 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8" name="udhezimi per metodat e analizimit te treguesve te vajit te ulliritt_Page_24.jpg"/>
                    <pic:cNvPicPr/>
                  </pic:nvPicPr>
                  <pic:blipFill>
                    <a:blip r:embed="rId3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80054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AF5CA6">
        <w:rPr>
          <w:rFonts w:ascii="Garamond" w:hAnsi="Garamond"/>
          <w:noProof/>
          <w:sz w:val="24"/>
          <w:szCs w:val="24"/>
        </w:rPr>
        <w:lastRenderedPageBreak/>
        <w:drawing>
          <wp:inline distT="0" distB="0" distL="0" distR="0" wp14:anchorId="5D8EDFFC" wp14:editId="4D33AC73">
            <wp:extent cx="5760085" cy="7734300"/>
            <wp:effectExtent l="0" t="0" r="0" b="0"/>
            <wp:docPr id="79" name="Picture 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9" name="udhezimi per metodat e analizimit te treguesve te vajit te ulliritt_Page_25.jpg"/>
                    <pic:cNvPicPr/>
                  </pic:nvPicPr>
                  <pic:blipFill>
                    <a:blip r:embed="rId3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7734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AF5CA6">
        <w:rPr>
          <w:rFonts w:ascii="Garamond" w:hAnsi="Garamond"/>
          <w:noProof/>
          <w:sz w:val="24"/>
          <w:szCs w:val="24"/>
        </w:rPr>
        <w:lastRenderedPageBreak/>
        <w:drawing>
          <wp:inline distT="0" distB="0" distL="0" distR="0" wp14:anchorId="526B92D0" wp14:editId="03EC2A01">
            <wp:extent cx="5760085" cy="7694295"/>
            <wp:effectExtent l="0" t="0" r="0" b="1905"/>
            <wp:docPr id="80" name="Picture 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0" name="udhezimi per metodat e analizimit te treguesve te vajit te ulliritt_Page_26.jpg"/>
                    <pic:cNvPicPr/>
                  </pic:nvPicPr>
                  <pic:blipFill>
                    <a:blip r:embed="rId3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76942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AF5CA6">
        <w:rPr>
          <w:rFonts w:ascii="Garamond" w:hAnsi="Garamond"/>
          <w:noProof/>
          <w:sz w:val="24"/>
          <w:szCs w:val="24"/>
        </w:rPr>
        <w:lastRenderedPageBreak/>
        <w:drawing>
          <wp:inline distT="0" distB="0" distL="0" distR="0" wp14:anchorId="1614262F" wp14:editId="1E0986EF">
            <wp:extent cx="5760085" cy="7753985"/>
            <wp:effectExtent l="0" t="0" r="0" b="0"/>
            <wp:docPr id="81" name="Picture 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1" name="udhezimi per metodat e analizimit te treguesve te vajit te ulliritt_Page_27.jpg"/>
                    <pic:cNvPicPr/>
                  </pic:nvPicPr>
                  <pic:blipFill>
                    <a:blip r:embed="rId3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77539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AF5CA6">
        <w:rPr>
          <w:rFonts w:ascii="Garamond" w:hAnsi="Garamond"/>
          <w:noProof/>
          <w:sz w:val="24"/>
          <w:szCs w:val="24"/>
        </w:rPr>
        <w:lastRenderedPageBreak/>
        <w:drawing>
          <wp:inline distT="0" distB="0" distL="0" distR="0" wp14:anchorId="6E8A3897" wp14:editId="47A9FAC8">
            <wp:extent cx="5760085" cy="7700645"/>
            <wp:effectExtent l="0" t="0" r="0" b="0"/>
            <wp:docPr id="82" name="Picture 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" name="udhezimi per metodat e analizimit te treguesve te vajit te ulliritt_Page_28.jpg"/>
                    <pic:cNvPicPr/>
                  </pic:nvPicPr>
                  <pic:blipFill>
                    <a:blip r:embed="rId4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77006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AF5CA6">
        <w:rPr>
          <w:rFonts w:ascii="Garamond" w:hAnsi="Garamond"/>
          <w:noProof/>
          <w:sz w:val="24"/>
          <w:szCs w:val="24"/>
        </w:rPr>
        <w:lastRenderedPageBreak/>
        <w:drawing>
          <wp:inline distT="0" distB="0" distL="0" distR="0" wp14:anchorId="5F06A34B" wp14:editId="1CB36FE1">
            <wp:extent cx="5760085" cy="7814945"/>
            <wp:effectExtent l="0" t="0" r="0" b="0"/>
            <wp:docPr id="83" name="Picture 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3" name="udhezimi per metodat e analizimit te treguesve te vajit te ulliritt_Page_29.jpg"/>
                    <pic:cNvPicPr/>
                  </pic:nvPicPr>
                  <pic:blipFill>
                    <a:blip r:embed="rId4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78149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AF5CA6">
        <w:rPr>
          <w:rFonts w:ascii="Garamond" w:hAnsi="Garamond"/>
          <w:noProof/>
          <w:sz w:val="24"/>
          <w:szCs w:val="24"/>
        </w:rPr>
        <w:lastRenderedPageBreak/>
        <w:drawing>
          <wp:inline distT="0" distB="0" distL="0" distR="0" wp14:anchorId="2AD7D957" wp14:editId="35B9A6D6">
            <wp:extent cx="5760085" cy="8028940"/>
            <wp:effectExtent l="0" t="0" r="0" b="0"/>
            <wp:docPr id="84" name="Picture 8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4" name="udhezimi per metodat e analizimit te treguesve te vajit te ulliritt_Page_30.jpg"/>
                    <pic:cNvPicPr/>
                  </pic:nvPicPr>
                  <pic:blipFill>
                    <a:blip r:embed="rId4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80289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AF5CA6">
        <w:rPr>
          <w:rFonts w:ascii="Garamond" w:hAnsi="Garamond"/>
          <w:noProof/>
          <w:sz w:val="24"/>
          <w:szCs w:val="24"/>
        </w:rPr>
        <w:lastRenderedPageBreak/>
        <w:drawing>
          <wp:inline distT="0" distB="0" distL="0" distR="0" wp14:anchorId="2E423D7B" wp14:editId="3E3D5414">
            <wp:extent cx="5760085" cy="8289290"/>
            <wp:effectExtent l="0" t="0" r="0" b="0"/>
            <wp:docPr id="85" name="Picture 8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5" name="udhezimi per metodat e analizimit te treguesve te vajit te ulliritt_Page_31.jpg"/>
                    <pic:cNvPicPr/>
                  </pic:nvPicPr>
                  <pic:blipFill>
                    <a:blip r:embed="rId4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82892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AF5CA6">
        <w:rPr>
          <w:rFonts w:ascii="Garamond" w:hAnsi="Garamond"/>
          <w:noProof/>
          <w:sz w:val="24"/>
          <w:szCs w:val="24"/>
        </w:rPr>
        <w:lastRenderedPageBreak/>
        <w:drawing>
          <wp:inline distT="0" distB="0" distL="0" distR="0" wp14:anchorId="51CF462D" wp14:editId="17C40E0F">
            <wp:extent cx="5760085" cy="8183880"/>
            <wp:effectExtent l="0" t="0" r="0" b="7620"/>
            <wp:docPr id="86" name="Picture 8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6" name="udhezimi per metodat e analizimit te treguesve te vajit te ulliritt_Page_32.jpg"/>
                    <pic:cNvPicPr/>
                  </pic:nvPicPr>
                  <pic:blipFill>
                    <a:blip r:embed="rId4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81838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AF5CA6">
        <w:rPr>
          <w:rFonts w:ascii="Garamond" w:hAnsi="Garamond"/>
          <w:noProof/>
          <w:sz w:val="24"/>
          <w:szCs w:val="24"/>
        </w:rPr>
        <w:lastRenderedPageBreak/>
        <w:drawing>
          <wp:inline distT="0" distB="0" distL="0" distR="0" wp14:anchorId="575C0387" wp14:editId="00004716">
            <wp:extent cx="5760085" cy="7119620"/>
            <wp:effectExtent l="0" t="0" r="0" b="5080"/>
            <wp:docPr id="87" name="Picture 8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7" name="udhezimi per metodat e analizimit te treguesve te vajit te ulliritt_Page_33.jpg"/>
                    <pic:cNvPicPr/>
                  </pic:nvPicPr>
                  <pic:blipFill>
                    <a:blip r:embed="rId4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71196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AF5CA6">
        <w:rPr>
          <w:rFonts w:ascii="Garamond" w:hAnsi="Garamond"/>
          <w:noProof/>
          <w:sz w:val="24"/>
          <w:szCs w:val="24"/>
        </w:rPr>
        <w:lastRenderedPageBreak/>
        <w:drawing>
          <wp:inline distT="0" distB="0" distL="0" distR="0" wp14:anchorId="25B3BFD4" wp14:editId="7BD301A1">
            <wp:extent cx="5760085" cy="6999605"/>
            <wp:effectExtent l="0" t="0" r="0" b="0"/>
            <wp:docPr id="88" name="Picture 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8" name="udhezimi per metodat e analizimit te treguesve te vajit te ulliritt_Page_34.jpg"/>
                    <pic:cNvPicPr/>
                  </pic:nvPicPr>
                  <pic:blipFill>
                    <a:blip r:embed="rId4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69996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AF5CA6">
        <w:rPr>
          <w:rFonts w:ascii="Garamond" w:hAnsi="Garamond"/>
          <w:noProof/>
          <w:sz w:val="24"/>
          <w:szCs w:val="24"/>
        </w:rPr>
        <w:lastRenderedPageBreak/>
        <w:drawing>
          <wp:inline distT="0" distB="0" distL="0" distR="0" wp14:anchorId="68F26E67" wp14:editId="37825B6E">
            <wp:extent cx="5760085" cy="7621270"/>
            <wp:effectExtent l="0" t="0" r="0" b="0"/>
            <wp:docPr id="89" name="Picture 8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9" name="udhezimi per metodat e analizimit te treguesve te vajit te ulliritt_Page_35.jpg"/>
                    <pic:cNvPicPr/>
                  </pic:nvPicPr>
                  <pic:blipFill>
                    <a:blip r:embed="rId4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76212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AF5CA6">
        <w:rPr>
          <w:rFonts w:ascii="Garamond" w:hAnsi="Garamond"/>
          <w:noProof/>
          <w:sz w:val="24"/>
          <w:szCs w:val="24"/>
        </w:rPr>
        <w:lastRenderedPageBreak/>
        <w:drawing>
          <wp:inline distT="0" distB="0" distL="0" distR="0" wp14:anchorId="1EFA6806" wp14:editId="07757896">
            <wp:extent cx="5760085" cy="7640320"/>
            <wp:effectExtent l="0" t="0" r="0" b="0"/>
            <wp:docPr id="90" name="Picture 9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0" name="udhezimi per metodat e analizimit te treguesve te vajit te ulliritt_Page_36.jpg"/>
                    <pic:cNvPicPr/>
                  </pic:nvPicPr>
                  <pic:blipFill>
                    <a:blip r:embed="rId4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76403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AF5CA6">
        <w:rPr>
          <w:rFonts w:ascii="Garamond" w:hAnsi="Garamond"/>
          <w:noProof/>
          <w:sz w:val="24"/>
          <w:szCs w:val="24"/>
        </w:rPr>
        <w:lastRenderedPageBreak/>
        <w:drawing>
          <wp:inline distT="0" distB="0" distL="0" distR="0" wp14:anchorId="409FD421" wp14:editId="4E99D453">
            <wp:extent cx="5760085" cy="7873365"/>
            <wp:effectExtent l="0" t="0" r="0" b="0"/>
            <wp:docPr id="91" name="Picture 9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1" name="udhezimi per metodat e analizimit te treguesve te vajit te ulliritt_Page_37.jpg"/>
                    <pic:cNvPicPr/>
                  </pic:nvPicPr>
                  <pic:blipFill>
                    <a:blip r:embed="rId4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78733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AF5CA6">
        <w:rPr>
          <w:rFonts w:ascii="Garamond" w:hAnsi="Garamond"/>
          <w:noProof/>
          <w:sz w:val="24"/>
          <w:szCs w:val="24"/>
        </w:rPr>
        <w:lastRenderedPageBreak/>
        <w:drawing>
          <wp:inline distT="0" distB="0" distL="0" distR="0" wp14:anchorId="7E7341ED" wp14:editId="26B50FC5">
            <wp:extent cx="5760085" cy="8127365"/>
            <wp:effectExtent l="0" t="0" r="0" b="6985"/>
            <wp:docPr id="92" name="Picture 9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2" name="udhezimi per metodat e analizimit te treguesve te vajit te ulliritt_Page_38.jpg"/>
                    <pic:cNvPicPr/>
                  </pic:nvPicPr>
                  <pic:blipFill>
                    <a:blip r:embed="rId5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81273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AF5CA6">
        <w:rPr>
          <w:rFonts w:ascii="Garamond" w:hAnsi="Garamond"/>
          <w:noProof/>
          <w:sz w:val="24"/>
          <w:szCs w:val="24"/>
        </w:rPr>
        <w:lastRenderedPageBreak/>
        <w:drawing>
          <wp:inline distT="0" distB="0" distL="0" distR="0" wp14:anchorId="0B2AB6FC" wp14:editId="00BAA0CA">
            <wp:extent cx="5760085" cy="7248525"/>
            <wp:effectExtent l="0" t="0" r="0" b="9525"/>
            <wp:docPr id="93" name="Picture 9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3" name="udhezimi per metodat e analizimit te treguesve te vajit te ulliritt_Page_39.jpg"/>
                    <pic:cNvPicPr/>
                  </pic:nvPicPr>
                  <pic:blipFill>
                    <a:blip r:embed="rId5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7248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AF5CA6">
        <w:rPr>
          <w:rFonts w:ascii="Garamond" w:hAnsi="Garamond"/>
          <w:noProof/>
          <w:sz w:val="24"/>
          <w:szCs w:val="24"/>
        </w:rPr>
        <w:lastRenderedPageBreak/>
        <w:drawing>
          <wp:inline distT="0" distB="0" distL="0" distR="0" wp14:anchorId="12B7248D" wp14:editId="1701ED6C">
            <wp:extent cx="5760085" cy="7806690"/>
            <wp:effectExtent l="0" t="0" r="0" b="3810"/>
            <wp:docPr id="94" name="Picture 9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4" name="udhezimi per metodat e analizimit te treguesve te vajit te ulliritt_Page_40.jpg"/>
                    <pic:cNvPicPr/>
                  </pic:nvPicPr>
                  <pic:blipFill>
                    <a:blip r:embed="rId5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78066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AF5CA6">
        <w:rPr>
          <w:rFonts w:ascii="Garamond" w:hAnsi="Garamond"/>
          <w:noProof/>
          <w:sz w:val="24"/>
          <w:szCs w:val="24"/>
        </w:rPr>
        <w:lastRenderedPageBreak/>
        <w:drawing>
          <wp:inline distT="0" distB="0" distL="0" distR="0" wp14:anchorId="3FFE100E" wp14:editId="10BAB3AE">
            <wp:extent cx="5760085" cy="6910705"/>
            <wp:effectExtent l="0" t="0" r="0" b="4445"/>
            <wp:docPr id="95" name="Picture 9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5" name="udhezimi per metodat e analizimit te treguesve te vajit te ulliritt_Page_41.jpg"/>
                    <pic:cNvPicPr/>
                  </pic:nvPicPr>
                  <pic:blipFill>
                    <a:blip r:embed="rId5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69107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AF5CA6">
        <w:rPr>
          <w:rFonts w:ascii="Garamond" w:hAnsi="Garamond"/>
          <w:noProof/>
          <w:sz w:val="24"/>
          <w:szCs w:val="24"/>
        </w:rPr>
        <w:lastRenderedPageBreak/>
        <w:drawing>
          <wp:inline distT="0" distB="0" distL="0" distR="0" wp14:anchorId="658BDA0C" wp14:editId="4138F545">
            <wp:extent cx="5760085" cy="7981950"/>
            <wp:effectExtent l="0" t="0" r="0" b="0"/>
            <wp:docPr id="96" name="Picture 9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6" name="udhezimi per metodat e analizimit te treguesve te vajit te ulliritt_Page_42.jpg"/>
                    <pic:cNvPicPr/>
                  </pic:nvPicPr>
                  <pic:blipFill>
                    <a:blip r:embed="rId5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7981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AF5CA6">
        <w:rPr>
          <w:rFonts w:ascii="Garamond" w:hAnsi="Garamond"/>
          <w:noProof/>
          <w:sz w:val="24"/>
          <w:szCs w:val="24"/>
        </w:rPr>
        <w:lastRenderedPageBreak/>
        <w:drawing>
          <wp:inline distT="0" distB="0" distL="0" distR="0" wp14:anchorId="41263C05" wp14:editId="72D9717E">
            <wp:extent cx="5760085" cy="8539480"/>
            <wp:effectExtent l="0" t="0" r="0" b="0"/>
            <wp:docPr id="97" name="Picture 9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7" name="udhezimi per metodat e analizimit te treguesve te vajit te ulliritt_Page_43.jpg"/>
                    <pic:cNvPicPr/>
                  </pic:nvPicPr>
                  <pic:blipFill>
                    <a:blip r:embed="rId5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85394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AF5CA6">
        <w:rPr>
          <w:rFonts w:ascii="Garamond" w:hAnsi="Garamond"/>
          <w:noProof/>
          <w:sz w:val="24"/>
          <w:szCs w:val="24"/>
        </w:rPr>
        <w:lastRenderedPageBreak/>
        <w:drawing>
          <wp:inline distT="0" distB="0" distL="0" distR="0" wp14:anchorId="1AE3DB46" wp14:editId="325FC082">
            <wp:extent cx="5760085" cy="7249160"/>
            <wp:effectExtent l="0" t="0" r="0" b="8890"/>
            <wp:docPr id="98" name="Picture 9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8" name="udhezimi per metodat e analizimit te treguesve te vajit te ulliritt_Page_44.jpg"/>
                    <pic:cNvPicPr/>
                  </pic:nvPicPr>
                  <pic:blipFill>
                    <a:blip r:embed="rId5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72491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AF5CA6">
        <w:rPr>
          <w:rFonts w:ascii="Garamond" w:hAnsi="Garamond"/>
          <w:noProof/>
          <w:sz w:val="24"/>
          <w:szCs w:val="24"/>
        </w:rPr>
        <w:lastRenderedPageBreak/>
        <w:drawing>
          <wp:inline distT="0" distB="0" distL="0" distR="0" wp14:anchorId="1E68F7EC" wp14:editId="3BFBD128">
            <wp:extent cx="5760085" cy="7143115"/>
            <wp:effectExtent l="0" t="0" r="0" b="635"/>
            <wp:docPr id="99" name="Picture 9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9" name="udhezimi per metodat e analizimit te treguesve te vajit te ulliritt_Page_45.jpg"/>
                    <pic:cNvPicPr/>
                  </pic:nvPicPr>
                  <pic:blipFill>
                    <a:blip r:embed="rId5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71431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AF5CA6">
        <w:rPr>
          <w:rFonts w:ascii="Garamond" w:hAnsi="Garamond"/>
          <w:noProof/>
          <w:sz w:val="24"/>
          <w:szCs w:val="24"/>
        </w:rPr>
        <w:lastRenderedPageBreak/>
        <w:drawing>
          <wp:inline distT="0" distB="0" distL="0" distR="0" wp14:anchorId="4693BCC1" wp14:editId="2CBD0E0F">
            <wp:extent cx="5760085" cy="8162290"/>
            <wp:effectExtent l="0" t="0" r="0" b="0"/>
            <wp:docPr id="100" name="Picture 1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" name="udhezimi per metodat e analizimit te treguesve te vajit te ulliritt_Page_46.jpg"/>
                    <pic:cNvPicPr/>
                  </pic:nvPicPr>
                  <pic:blipFill>
                    <a:blip r:embed="rId5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81622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AF5CA6">
        <w:rPr>
          <w:rFonts w:ascii="Garamond" w:hAnsi="Garamond"/>
          <w:noProof/>
          <w:sz w:val="24"/>
          <w:szCs w:val="24"/>
        </w:rPr>
        <w:lastRenderedPageBreak/>
        <w:drawing>
          <wp:inline distT="0" distB="0" distL="0" distR="0" wp14:anchorId="6BD11609" wp14:editId="4F474723">
            <wp:extent cx="5760085" cy="7960995"/>
            <wp:effectExtent l="0" t="0" r="0" b="1905"/>
            <wp:docPr id="101" name="Picture 1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1" name="udhezimi per metodat e analizimit te treguesve te vajit te ulliritt_Page_47.jpg"/>
                    <pic:cNvPicPr/>
                  </pic:nvPicPr>
                  <pic:blipFill>
                    <a:blip r:embed="rId5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79609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AF5CA6">
        <w:rPr>
          <w:rFonts w:ascii="Garamond" w:hAnsi="Garamond"/>
          <w:noProof/>
          <w:sz w:val="24"/>
          <w:szCs w:val="24"/>
        </w:rPr>
        <w:lastRenderedPageBreak/>
        <w:drawing>
          <wp:inline distT="0" distB="0" distL="0" distR="0" wp14:anchorId="7C80EAE5" wp14:editId="78C04395">
            <wp:extent cx="5760085" cy="8064500"/>
            <wp:effectExtent l="0" t="0" r="0" b="0"/>
            <wp:docPr id="102" name="Picture 1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" name="udhezimi per metodat e analizimit te treguesve te vajit te ulliritt_Page_48.jpg"/>
                    <pic:cNvPicPr/>
                  </pic:nvPicPr>
                  <pic:blipFill>
                    <a:blip r:embed="rId6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8064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AF5CA6">
        <w:rPr>
          <w:rFonts w:ascii="Garamond" w:hAnsi="Garamond"/>
          <w:noProof/>
          <w:sz w:val="24"/>
          <w:szCs w:val="24"/>
        </w:rPr>
        <w:lastRenderedPageBreak/>
        <w:drawing>
          <wp:inline distT="0" distB="0" distL="0" distR="0" wp14:anchorId="02ED96A8" wp14:editId="6FB95151">
            <wp:extent cx="5760085" cy="8149590"/>
            <wp:effectExtent l="0" t="0" r="0" b="3810"/>
            <wp:docPr id="103" name="Picture 1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3" name="udhezimi per metodat e analizimit te treguesve te vajit te ulliritt_Page_49.jpg"/>
                    <pic:cNvPicPr/>
                  </pic:nvPicPr>
                  <pic:blipFill>
                    <a:blip r:embed="rId6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81495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AF5CA6">
        <w:rPr>
          <w:rFonts w:ascii="Garamond" w:hAnsi="Garamond"/>
          <w:noProof/>
          <w:sz w:val="24"/>
          <w:szCs w:val="24"/>
        </w:rPr>
        <w:lastRenderedPageBreak/>
        <w:drawing>
          <wp:inline distT="0" distB="0" distL="0" distR="0" wp14:anchorId="337189AA" wp14:editId="25BB0544">
            <wp:extent cx="5760085" cy="8539480"/>
            <wp:effectExtent l="0" t="0" r="0" b="0"/>
            <wp:docPr id="104" name="Picture 1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4" name="udhezimi per metodat e analizimit te treguesve te vajit te ulliritt_Page_50.jpg"/>
                    <pic:cNvPicPr/>
                  </pic:nvPicPr>
                  <pic:blipFill>
                    <a:blip r:embed="rId6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85394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AF5CA6">
        <w:rPr>
          <w:rFonts w:ascii="Garamond" w:hAnsi="Garamond"/>
          <w:noProof/>
          <w:sz w:val="24"/>
          <w:szCs w:val="24"/>
        </w:rPr>
        <w:lastRenderedPageBreak/>
        <w:drawing>
          <wp:inline distT="0" distB="0" distL="0" distR="0" wp14:anchorId="12C5D89F" wp14:editId="4B141A36">
            <wp:extent cx="5760085" cy="7961630"/>
            <wp:effectExtent l="0" t="0" r="0" b="1270"/>
            <wp:docPr id="105" name="Picture 1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5" name="udhezimi per metodat e analizimit te treguesve te vajit te ulliritt_Page_51.jpg"/>
                    <pic:cNvPicPr/>
                  </pic:nvPicPr>
                  <pic:blipFill>
                    <a:blip r:embed="rId6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79616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AF5CA6">
        <w:rPr>
          <w:rFonts w:ascii="Garamond" w:hAnsi="Garamond"/>
          <w:noProof/>
          <w:sz w:val="24"/>
          <w:szCs w:val="24"/>
        </w:rPr>
        <w:lastRenderedPageBreak/>
        <w:drawing>
          <wp:inline distT="0" distB="0" distL="0" distR="0" wp14:anchorId="5D3E6A46" wp14:editId="3E7FE568">
            <wp:extent cx="5760085" cy="8270240"/>
            <wp:effectExtent l="0" t="0" r="0" b="0"/>
            <wp:docPr id="106" name="Picture 1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6" name="udhezimi per metodat e analizimit te treguesve te vajit te ulliritt_Page_52.jpg"/>
                    <pic:cNvPicPr/>
                  </pic:nvPicPr>
                  <pic:blipFill>
                    <a:blip r:embed="rId6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82702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AF5CA6">
        <w:rPr>
          <w:rFonts w:ascii="Garamond" w:hAnsi="Garamond"/>
          <w:noProof/>
          <w:sz w:val="24"/>
          <w:szCs w:val="24"/>
        </w:rPr>
        <w:lastRenderedPageBreak/>
        <w:drawing>
          <wp:inline distT="0" distB="0" distL="0" distR="0" wp14:anchorId="4B90A8C9" wp14:editId="07A81757">
            <wp:extent cx="5760085" cy="8082915"/>
            <wp:effectExtent l="0" t="0" r="0" b="0"/>
            <wp:docPr id="107" name="Picture 1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" name="udhezimi per metodat e analizimit te treguesve te vajit te ulliritt_Page_53.jpg"/>
                    <pic:cNvPicPr/>
                  </pic:nvPicPr>
                  <pic:blipFill>
                    <a:blip r:embed="rId6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80829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AF5CA6">
        <w:rPr>
          <w:rFonts w:ascii="Garamond" w:hAnsi="Garamond"/>
          <w:noProof/>
          <w:sz w:val="24"/>
          <w:szCs w:val="24"/>
        </w:rPr>
        <w:lastRenderedPageBreak/>
        <w:drawing>
          <wp:inline distT="0" distB="0" distL="0" distR="0" wp14:anchorId="569422CB" wp14:editId="0C07BCD0">
            <wp:extent cx="5760085" cy="3855085"/>
            <wp:effectExtent l="0" t="0" r="0" b="0"/>
            <wp:docPr id="108" name="Picture 10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8" name="udhezimi per metodat e analizimit te treguesve te vajit te ulliritt_Page_54.jpg"/>
                    <pic:cNvPicPr/>
                  </pic:nvPicPr>
                  <pic:blipFill>
                    <a:blip r:embed="rId6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38550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8A72B9" w:rsidRPr="00AF5CA6" w:rsidSect="008A72B9">
      <w:headerReference w:type="default" r:id="rId67"/>
      <w:footerReference w:type="default" r:id="rId68"/>
      <w:pgSz w:w="11907" w:h="16840" w:code="9"/>
      <w:pgMar w:top="1418" w:right="1418" w:bottom="1418" w:left="1418" w:header="1304" w:footer="1134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437B85A" w14:textId="77777777" w:rsidR="00E8610F" w:rsidRDefault="00E8610F" w:rsidP="00F55655">
      <w:pPr>
        <w:spacing w:after="0" w:line="240" w:lineRule="auto"/>
      </w:pPr>
      <w:r>
        <w:separator/>
      </w:r>
    </w:p>
  </w:endnote>
  <w:endnote w:type="continuationSeparator" w:id="0">
    <w:p w14:paraId="46AF33B6" w14:textId="77777777" w:rsidR="00E8610F" w:rsidRDefault="00E8610F" w:rsidP="00F55655">
      <w:pPr>
        <w:spacing w:after="0" w:line="240" w:lineRule="auto"/>
      </w:pPr>
      <w:r>
        <w:continuationSeparator/>
      </w:r>
    </w:p>
  </w:endnote>
  <w:endnote w:type="continuationNotice" w:id="1">
    <w:p w14:paraId="4FE5D595" w14:textId="77777777" w:rsidR="00E8610F" w:rsidRDefault="00E8610F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A84450E" w14:textId="77777777" w:rsidR="00E8610F" w:rsidRDefault="00E8610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3A14DD7" w14:textId="77777777" w:rsidR="00E8610F" w:rsidRDefault="00E8610F" w:rsidP="00F55655">
      <w:pPr>
        <w:spacing w:after="0" w:line="240" w:lineRule="auto"/>
      </w:pPr>
      <w:r>
        <w:separator/>
      </w:r>
    </w:p>
  </w:footnote>
  <w:footnote w:type="continuationSeparator" w:id="0">
    <w:p w14:paraId="700D1B22" w14:textId="77777777" w:rsidR="00E8610F" w:rsidRDefault="00E8610F" w:rsidP="00F55655">
      <w:pPr>
        <w:spacing w:after="0" w:line="240" w:lineRule="auto"/>
      </w:pPr>
      <w:r>
        <w:continuationSeparator/>
      </w:r>
    </w:p>
  </w:footnote>
  <w:footnote w:type="continuationNotice" w:id="1">
    <w:p w14:paraId="68C96F02" w14:textId="77777777" w:rsidR="00E8610F" w:rsidRDefault="00E8610F">
      <w:pPr>
        <w:spacing w:after="0" w:line="240" w:lineRule="auto"/>
      </w:pPr>
    </w:p>
  </w:footnote>
  <w:footnote w:id="2">
    <w:p w14:paraId="01C93942" w14:textId="0A65B788" w:rsidR="00E8610F" w:rsidRPr="00DA6CA9" w:rsidRDefault="00E8610F" w:rsidP="00DA6CA9">
      <w:pPr>
        <w:pStyle w:val="FootnoteText"/>
        <w:jc w:val="both"/>
        <w:rPr>
          <w:rFonts w:ascii="Garamond" w:hAnsi="Garamond"/>
        </w:rPr>
      </w:pPr>
      <w:r w:rsidRPr="00DA6CA9">
        <w:rPr>
          <w:rStyle w:val="FootnoteReference"/>
          <w:rFonts w:ascii="Garamond" w:hAnsi="Garamond"/>
        </w:rPr>
        <w:footnoteRef/>
      </w:r>
      <w:r w:rsidRPr="00DA6CA9">
        <w:rPr>
          <w:rFonts w:ascii="Garamond" w:hAnsi="Garamond"/>
        </w:rPr>
        <w:t xml:space="preserve"> </w:t>
      </w:r>
      <w:r w:rsidRPr="00DA6CA9">
        <w:rPr>
          <w:rFonts w:ascii="Garamond" w:hAnsi="Garamond"/>
          <w:iCs/>
        </w:rPr>
        <w:t xml:space="preserve">1. Ky udhëzim është përafruar pjesërisht me </w:t>
      </w:r>
      <w:r>
        <w:rPr>
          <w:rFonts w:ascii="Garamond" w:hAnsi="Garamond"/>
          <w:iCs/>
        </w:rPr>
        <w:t>r</w:t>
      </w:r>
      <w:r w:rsidRPr="00DA6CA9">
        <w:rPr>
          <w:rFonts w:ascii="Garamond" w:hAnsi="Garamond"/>
          <w:iCs/>
        </w:rPr>
        <w:t>regulloren (KE)</w:t>
      </w:r>
      <w:r w:rsidRPr="00DA6CA9">
        <w:rPr>
          <w:rFonts w:ascii="Garamond" w:hAnsi="Garamond"/>
          <w:iCs/>
          <w:color w:val="231F20"/>
        </w:rPr>
        <w:t xml:space="preserve">, datë 29 </w:t>
      </w:r>
      <w:r w:rsidRPr="00DA6CA9">
        <w:rPr>
          <w:rFonts w:ascii="Garamond" w:hAnsi="Garamond"/>
          <w:iCs/>
          <w:color w:val="333333"/>
        </w:rPr>
        <w:t>korrik</w:t>
      </w:r>
      <w:r w:rsidRPr="00DA6CA9">
        <w:rPr>
          <w:rFonts w:ascii="Garamond" w:hAnsi="Garamond"/>
          <w:iCs/>
          <w:color w:val="231F20"/>
        </w:rPr>
        <w:t xml:space="preserve"> 2022</w:t>
      </w:r>
      <w:r w:rsidRPr="00DA6CA9">
        <w:rPr>
          <w:rFonts w:ascii="Garamond" w:hAnsi="Garamond"/>
          <w:iCs/>
        </w:rPr>
        <w:t xml:space="preserve">, që përcakton rregullat për kontrollet e konformitetit me standardet e tregtimit për vajin e ullirit dhe metodat e analizimit të karakteristikave të vajit të ullirit, </w:t>
      </w:r>
      <w:r>
        <w:rPr>
          <w:rFonts w:ascii="Garamond" w:hAnsi="Garamond"/>
          <w:iCs/>
        </w:rPr>
        <w:t>n</w:t>
      </w:r>
      <w:r w:rsidRPr="00DA6CA9">
        <w:rPr>
          <w:rFonts w:ascii="Garamond" w:hAnsi="Garamond"/>
          <w:iCs/>
        </w:rPr>
        <w:t xml:space="preserve">r. CELEX: </w:t>
      </w:r>
      <w:r w:rsidRPr="00DA6CA9">
        <w:rPr>
          <w:rFonts w:ascii="Garamond" w:hAnsi="Garamond"/>
          <w:iCs/>
          <w:color w:val="333333"/>
        </w:rPr>
        <w:t>32022R2105,</w:t>
      </w:r>
      <w:r w:rsidRPr="00DA6CA9">
        <w:rPr>
          <w:rFonts w:ascii="Garamond" w:hAnsi="Garamond"/>
          <w:iCs/>
        </w:rPr>
        <w:t xml:space="preserve"> </w:t>
      </w:r>
      <w:r w:rsidRPr="00DA6CA9">
        <w:rPr>
          <w:rFonts w:ascii="Garamond" w:hAnsi="Garamond"/>
          <w:iCs/>
          <w:color w:val="231F20"/>
        </w:rPr>
        <w:t>(</w:t>
      </w:r>
      <w:r w:rsidRPr="00DA6CA9">
        <w:rPr>
          <w:rFonts w:ascii="Garamond" w:hAnsi="Garamond"/>
          <w:iCs/>
        </w:rPr>
        <w:t>Fletorja Zyrtare e Bashkimit Evropian,</w:t>
      </w:r>
      <w:r w:rsidRPr="00DA6CA9">
        <w:rPr>
          <w:rFonts w:ascii="Garamond" w:hAnsi="Garamond"/>
          <w:iCs/>
          <w:color w:val="231F20"/>
        </w:rPr>
        <w:t xml:space="preserve"> </w:t>
      </w:r>
      <w:r>
        <w:rPr>
          <w:rFonts w:ascii="Garamond" w:hAnsi="Garamond"/>
          <w:iCs/>
          <w:color w:val="231F20"/>
        </w:rPr>
        <w:t>s</w:t>
      </w:r>
      <w:r w:rsidRPr="00DA6CA9">
        <w:rPr>
          <w:rFonts w:ascii="Garamond" w:hAnsi="Garamond"/>
          <w:iCs/>
          <w:color w:val="231F20"/>
        </w:rPr>
        <w:t xml:space="preserve">eria L 284, datë 4.11.2022, </w:t>
      </w:r>
      <w:r w:rsidRPr="00DA6CA9">
        <w:rPr>
          <w:rFonts w:ascii="Garamond" w:hAnsi="Garamond"/>
          <w:iCs/>
          <w:color w:val="333333"/>
        </w:rPr>
        <w:t>faqe</w:t>
      </w:r>
      <w:r w:rsidRPr="00DA6CA9">
        <w:rPr>
          <w:rFonts w:ascii="Garamond" w:hAnsi="Garamond"/>
          <w:iCs/>
          <w:color w:val="231F20"/>
        </w:rPr>
        <w:t xml:space="preserve"> 23).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3F437D0" w14:textId="77777777" w:rsidR="00E8610F" w:rsidRDefault="00E8610F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4867"/>
    <w:rsid w:val="00074867"/>
    <w:rsid w:val="000B6756"/>
    <w:rsid w:val="00125F0D"/>
    <w:rsid w:val="00152A61"/>
    <w:rsid w:val="00263F70"/>
    <w:rsid w:val="002C3D59"/>
    <w:rsid w:val="0037728B"/>
    <w:rsid w:val="003C3138"/>
    <w:rsid w:val="003C56B7"/>
    <w:rsid w:val="0048465F"/>
    <w:rsid w:val="007D39B1"/>
    <w:rsid w:val="008A72B9"/>
    <w:rsid w:val="0094431D"/>
    <w:rsid w:val="00962845"/>
    <w:rsid w:val="00AF5CA6"/>
    <w:rsid w:val="00BD1DE0"/>
    <w:rsid w:val="00C213F4"/>
    <w:rsid w:val="00CB45A9"/>
    <w:rsid w:val="00DA6CA9"/>
    <w:rsid w:val="00E8610F"/>
    <w:rsid w:val="00F05140"/>
    <w:rsid w:val="00F55655"/>
    <w:rsid w:val="00F92E05"/>
    <w:rsid w:val="00F94E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1C7AB1A"/>
  <w15:chartTrackingRefBased/>
  <w15:docId w15:val="{82FF4DC4-8A79-47A4-AD71-A5419A208E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Legal2">
    <w:name w:val="Legal 2"/>
    <w:basedOn w:val="Normal"/>
    <w:rsid w:val="00074867"/>
    <w:pPr>
      <w:tabs>
        <w:tab w:val="left" w:pos="560"/>
      </w:tabs>
      <w:autoSpaceDE w:val="0"/>
      <w:autoSpaceDN w:val="0"/>
      <w:adjustRightInd w:val="0"/>
      <w:spacing w:line="330" w:lineRule="atLeast"/>
      <w:ind w:left="560" w:hanging="560"/>
    </w:pPr>
    <w:rPr>
      <w:rFonts w:ascii="Calibri" w:hAnsi="Calibri" w:cs="Calibri"/>
      <w:color w:val="000000"/>
      <w:sz w:val="24"/>
      <w:szCs w:val="24"/>
    </w:rPr>
  </w:style>
  <w:style w:type="paragraph" w:customStyle="1" w:styleId="Legal1">
    <w:name w:val="Legal 1"/>
    <w:basedOn w:val="Normal"/>
    <w:uiPriority w:val="99"/>
    <w:rsid w:val="00074867"/>
    <w:pPr>
      <w:tabs>
        <w:tab w:val="left" w:pos="560"/>
      </w:tabs>
      <w:autoSpaceDE w:val="0"/>
      <w:autoSpaceDN w:val="0"/>
      <w:adjustRightInd w:val="0"/>
      <w:spacing w:line="330" w:lineRule="atLeast"/>
      <w:ind w:left="560" w:hanging="560"/>
    </w:pPr>
    <w:rPr>
      <w:rFonts w:ascii="Calibri" w:hAnsi="Calibri" w:cs="Calibri"/>
      <w:color w:val="000000"/>
      <w:sz w:val="24"/>
      <w:szCs w:val="24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F55655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F55655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F55655"/>
    <w:rPr>
      <w:vertAlign w:val="superscript"/>
    </w:rPr>
  </w:style>
  <w:style w:type="paragraph" w:styleId="Header">
    <w:name w:val="header"/>
    <w:basedOn w:val="Normal"/>
    <w:link w:val="HeaderChar"/>
    <w:uiPriority w:val="99"/>
    <w:unhideWhenUsed/>
    <w:rsid w:val="0037728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7728B"/>
    <w:rPr>
      <w:lang w:val="sq-AL"/>
    </w:rPr>
  </w:style>
  <w:style w:type="paragraph" w:styleId="Footer">
    <w:name w:val="footer"/>
    <w:basedOn w:val="Normal"/>
    <w:link w:val="FooterChar"/>
    <w:uiPriority w:val="99"/>
    <w:unhideWhenUsed/>
    <w:rsid w:val="0037728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7728B"/>
    <w:rPr>
      <w:lang w:val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image" Target="media/image14.jpg"/><Relationship Id="rId21" Type="http://schemas.openxmlformats.org/officeDocument/2006/relationships/image" Target="media/image9.jpg"/><Relationship Id="rId42" Type="http://schemas.openxmlformats.org/officeDocument/2006/relationships/image" Target="media/image30.jpg"/><Relationship Id="rId47" Type="http://schemas.openxmlformats.org/officeDocument/2006/relationships/image" Target="media/image35.jpg"/><Relationship Id="rId63" Type="http://schemas.openxmlformats.org/officeDocument/2006/relationships/image" Target="media/image51.jpg"/><Relationship Id="rId68" Type="http://schemas.openxmlformats.org/officeDocument/2006/relationships/footer" Target="footer1.xml"/><Relationship Id="rId7" Type="http://schemas.openxmlformats.org/officeDocument/2006/relationships/numbering" Target="numbering.xml"/><Relationship Id="rId2" Type="http://schemas.openxmlformats.org/officeDocument/2006/relationships/customXml" Target="../customXml/item2.xml"/><Relationship Id="rId16" Type="http://schemas.openxmlformats.org/officeDocument/2006/relationships/image" Target="media/image4.jpg"/><Relationship Id="rId29" Type="http://schemas.openxmlformats.org/officeDocument/2006/relationships/image" Target="media/image17.jpg"/><Relationship Id="rId11" Type="http://schemas.openxmlformats.org/officeDocument/2006/relationships/footnotes" Target="footnotes.xml"/><Relationship Id="rId24" Type="http://schemas.openxmlformats.org/officeDocument/2006/relationships/image" Target="media/image12.jpg"/><Relationship Id="rId32" Type="http://schemas.openxmlformats.org/officeDocument/2006/relationships/image" Target="media/image20.jpg"/><Relationship Id="rId37" Type="http://schemas.openxmlformats.org/officeDocument/2006/relationships/image" Target="media/image25.jpg"/><Relationship Id="rId40" Type="http://schemas.openxmlformats.org/officeDocument/2006/relationships/image" Target="media/image28.jpeg"/><Relationship Id="rId45" Type="http://schemas.openxmlformats.org/officeDocument/2006/relationships/image" Target="media/image33.jpg"/><Relationship Id="rId53" Type="http://schemas.openxmlformats.org/officeDocument/2006/relationships/image" Target="media/image41.jpg"/><Relationship Id="rId58" Type="http://schemas.openxmlformats.org/officeDocument/2006/relationships/image" Target="media/image46.jpg"/><Relationship Id="rId66" Type="http://schemas.openxmlformats.org/officeDocument/2006/relationships/image" Target="media/image54.jpg"/><Relationship Id="rId5" Type="http://schemas.openxmlformats.org/officeDocument/2006/relationships/customXml" Target="../customXml/item5.xml"/><Relationship Id="rId61" Type="http://schemas.openxmlformats.org/officeDocument/2006/relationships/image" Target="media/image49.jpg"/><Relationship Id="rId19" Type="http://schemas.openxmlformats.org/officeDocument/2006/relationships/image" Target="media/image7.jpg"/><Relationship Id="rId14" Type="http://schemas.openxmlformats.org/officeDocument/2006/relationships/image" Target="media/image2.jpg"/><Relationship Id="rId22" Type="http://schemas.openxmlformats.org/officeDocument/2006/relationships/image" Target="media/image10.jpg"/><Relationship Id="rId27" Type="http://schemas.openxmlformats.org/officeDocument/2006/relationships/image" Target="media/image15.jpg"/><Relationship Id="rId30" Type="http://schemas.openxmlformats.org/officeDocument/2006/relationships/image" Target="media/image18.jpg"/><Relationship Id="rId35" Type="http://schemas.openxmlformats.org/officeDocument/2006/relationships/image" Target="media/image23.jpg"/><Relationship Id="rId43" Type="http://schemas.openxmlformats.org/officeDocument/2006/relationships/image" Target="media/image31.jpg"/><Relationship Id="rId48" Type="http://schemas.openxmlformats.org/officeDocument/2006/relationships/image" Target="media/image36.jpg"/><Relationship Id="rId56" Type="http://schemas.openxmlformats.org/officeDocument/2006/relationships/image" Target="media/image44.jpg"/><Relationship Id="rId64" Type="http://schemas.openxmlformats.org/officeDocument/2006/relationships/image" Target="media/image52.jpg"/><Relationship Id="rId69" Type="http://schemas.openxmlformats.org/officeDocument/2006/relationships/fontTable" Target="fontTable.xml"/><Relationship Id="rId8" Type="http://schemas.openxmlformats.org/officeDocument/2006/relationships/styles" Target="styles.xml"/><Relationship Id="rId51" Type="http://schemas.openxmlformats.org/officeDocument/2006/relationships/image" Target="media/image39.jpg"/><Relationship Id="rId3" Type="http://schemas.openxmlformats.org/officeDocument/2006/relationships/customXml" Target="../customXml/item3.xml"/><Relationship Id="rId12" Type="http://schemas.openxmlformats.org/officeDocument/2006/relationships/endnotes" Target="endnotes.xml"/><Relationship Id="rId17" Type="http://schemas.openxmlformats.org/officeDocument/2006/relationships/image" Target="media/image5.jpg"/><Relationship Id="rId25" Type="http://schemas.openxmlformats.org/officeDocument/2006/relationships/image" Target="media/image13.jpg"/><Relationship Id="rId33" Type="http://schemas.openxmlformats.org/officeDocument/2006/relationships/image" Target="media/image21.jpg"/><Relationship Id="rId38" Type="http://schemas.openxmlformats.org/officeDocument/2006/relationships/image" Target="media/image26.jpg"/><Relationship Id="rId46" Type="http://schemas.openxmlformats.org/officeDocument/2006/relationships/image" Target="media/image34.jpg"/><Relationship Id="rId59" Type="http://schemas.openxmlformats.org/officeDocument/2006/relationships/image" Target="media/image47.jpg"/><Relationship Id="rId67" Type="http://schemas.openxmlformats.org/officeDocument/2006/relationships/header" Target="header1.xml"/><Relationship Id="rId20" Type="http://schemas.openxmlformats.org/officeDocument/2006/relationships/image" Target="media/image8.jpg"/><Relationship Id="rId41" Type="http://schemas.openxmlformats.org/officeDocument/2006/relationships/image" Target="media/image29.jpg"/><Relationship Id="rId54" Type="http://schemas.openxmlformats.org/officeDocument/2006/relationships/image" Target="media/image42.jpg"/><Relationship Id="rId62" Type="http://schemas.openxmlformats.org/officeDocument/2006/relationships/image" Target="media/image50.jpg"/><Relationship Id="rId7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5" Type="http://schemas.openxmlformats.org/officeDocument/2006/relationships/image" Target="media/image3.jpg"/><Relationship Id="rId23" Type="http://schemas.openxmlformats.org/officeDocument/2006/relationships/image" Target="media/image11.jpg"/><Relationship Id="rId28" Type="http://schemas.openxmlformats.org/officeDocument/2006/relationships/image" Target="media/image16.jpg"/><Relationship Id="rId36" Type="http://schemas.openxmlformats.org/officeDocument/2006/relationships/image" Target="media/image24.jpg"/><Relationship Id="rId49" Type="http://schemas.openxmlformats.org/officeDocument/2006/relationships/image" Target="media/image37.jpg"/><Relationship Id="rId57" Type="http://schemas.openxmlformats.org/officeDocument/2006/relationships/image" Target="media/image45.jpg"/><Relationship Id="rId10" Type="http://schemas.openxmlformats.org/officeDocument/2006/relationships/webSettings" Target="webSettings.xml"/><Relationship Id="rId31" Type="http://schemas.openxmlformats.org/officeDocument/2006/relationships/image" Target="media/image19.jpg"/><Relationship Id="rId44" Type="http://schemas.openxmlformats.org/officeDocument/2006/relationships/image" Target="media/image32.jpg"/><Relationship Id="rId52" Type="http://schemas.openxmlformats.org/officeDocument/2006/relationships/image" Target="media/image40.jpg"/><Relationship Id="rId60" Type="http://schemas.openxmlformats.org/officeDocument/2006/relationships/image" Target="media/image48.jpg"/><Relationship Id="rId65" Type="http://schemas.openxmlformats.org/officeDocument/2006/relationships/image" Target="media/image53.jpg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3" Type="http://schemas.openxmlformats.org/officeDocument/2006/relationships/image" Target="media/image1.jpg"/><Relationship Id="rId18" Type="http://schemas.openxmlformats.org/officeDocument/2006/relationships/image" Target="media/image6.jpg"/><Relationship Id="rId39" Type="http://schemas.openxmlformats.org/officeDocument/2006/relationships/image" Target="media/image27.jpg"/><Relationship Id="rId34" Type="http://schemas.openxmlformats.org/officeDocument/2006/relationships/image" Target="media/image22.jpg"/><Relationship Id="rId50" Type="http://schemas.openxmlformats.org/officeDocument/2006/relationships/image" Target="media/image38.jpg"/><Relationship Id="rId55" Type="http://schemas.openxmlformats.org/officeDocument/2006/relationships/image" Target="media/image43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C140E3A4B7C04E49AC2F2730FBD29A0C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21</Nr_x002e__x0020_akti>
    <Data_x0020_e_x0020_Krijimit xmlns="0e656187-b300-4fb0-8bf4-3a50f872073c">2024-01-08T10:20:50Z</Data_x0020_e_x0020_Krijimit>
    <URL xmlns="0e656187-b300-4fb0-8bf4-3a50f872073c" xsi:nil="true"/>
    <Institucion_x0020_Pergjegjes xmlns="0e656187-b300-4fb0-8bf4-3a50f872073c">http://qbz.gov.al/resource/authority/legal-institution/46|ministria-e-bujqesise-dhe-zhvillimit-rural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2024-01-05T00:00:00Z</Date_x0020_protokolli>
    <Titulli xmlns="0e656187-b300-4fb0-8bf4-3a50f872073c">Mbi metodat e analizimit të treguesve të vajit të ullirit</Titulli>
    <Modifikuesi xmlns="0e656187-b300-4fb0-8bf4-3a50f872073c">Fjora.Cahani</Modifikuesi>
    <Nr_x002e__x0020_prot_x0020_QBZ xmlns="0e656187-b300-4fb0-8bf4-3a50f872073c">44/1</Nr_x002e__x0020_prot_x0020_QBZ>
    <Data_x0020_e_x0020_Modifikimit xmlns="0e656187-b300-4fb0-8bf4-3a50f872073c">2024-01-10T11:02:23Z</Data_x0020_e_x0020_Modifikimit>
    <Dekretuar xmlns="0e656187-b300-4fb0-8bf4-3a50f872073c">false</Dekretuar>
    <Data xmlns="0e656187-b300-4fb0-8bf4-3a50f872073c">2023-10-31T00:00:00Z</Data>
    <Nr_x002e__x0020_protokolli_x0020_i_x0020_aktit xmlns="0e656187-b300-4fb0-8bf4-3a50f872073c">5808/1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C140E3A4B7C04E49AC2F2730FBD29A0C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4EC1C92-DE77-4175-91CA-7DE533F3D71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6645A336-D558-43D0-9352-E222183813D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E2CE745-F951-4F72-AE74-0BC467B28BCB}">
  <ds:schemaRefs>
    <ds:schemaRef ds:uri="http://www.w3.org/XML/1998/namespace"/>
    <ds:schemaRef ds:uri="http://schemas.microsoft.com/office/2006/documentManagement/types"/>
    <ds:schemaRef ds:uri="http://purl.org/dc/dcmitype/"/>
    <ds:schemaRef ds:uri="http://purl.org/dc/terms/"/>
    <ds:schemaRef ds:uri="http://schemas.microsoft.com/office/2006/metadata/properties"/>
    <ds:schemaRef ds:uri="http://purl.org/dc/elements/1.1/"/>
    <ds:schemaRef ds:uri="http://schemas.openxmlformats.org/package/2006/metadata/core-properties"/>
    <ds:schemaRef ds:uri="0e656187-b300-4fb0-8bf4-3a50f872073c"/>
  </ds:schemaRefs>
</ds:datastoreItem>
</file>

<file path=customXml/itemProps4.xml><?xml version="1.0" encoding="utf-8"?>
<ds:datastoreItem xmlns:ds="http://schemas.openxmlformats.org/officeDocument/2006/customXml" ds:itemID="{22751A5B-2DA2-4A56-A963-2D9E72D9A196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D387E1BA-180B-4CF8-9D60-A156A280BCE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3730C15A-576B-468B-9DDF-D28E48CD2EE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56</Pages>
  <Words>952</Words>
  <Characters>5433</Characters>
  <Application>Microsoft Office Word</Application>
  <DocSecurity>0</DocSecurity>
  <Lines>45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Mbi metodat e analizimit të treguesve të vajit të ullirit</vt:lpstr>
    </vt:vector>
  </TitlesOfParts>
  <Company/>
  <LinksUpToDate>false</LinksUpToDate>
  <CharactersWithSpaces>6373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Mbi metodat e analizimit të treguesve të vajit të ullirit</dc:title>
  <dc:creator>Nevila Samarxhi</dc:creator>
  <cp:lastModifiedBy>Amarilda Muja</cp:lastModifiedBy>
  <cp:revision>15</cp:revision>
  <dcterms:created xsi:type="dcterms:W3CDTF">2024-01-08T11:30:00Z</dcterms:created>
  <dcterms:modified xsi:type="dcterms:W3CDTF">2024-01-10T10:41:00Z</dcterms:modified>
</cp:coreProperties>
</file>