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4FAA2" w14:textId="77777777" w:rsidR="00163E2D" w:rsidRPr="00B915B8" w:rsidRDefault="00163E2D" w:rsidP="00163E2D">
      <w:pPr>
        <w:ind w:firstLine="284"/>
        <w:jc w:val="center"/>
        <w:rPr>
          <w:rFonts w:ascii="Garamond" w:hAnsi="Garamond"/>
          <w:b/>
          <w:color w:val="000000" w:themeColor="text1"/>
        </w:rPr>
      </w:pPr>
      <w:r>
        <w:rPr>
          <w:rFonts w:ascii="Garamond" w:hAnsi="Garamond"/>
          <w:b/>
          <w:color w:val="000000" w:themeColor="text1"/>
        </w:rPr>
        <w:t>UDHËZIM</w:t>
      </w:r>
    </w:p>
    <w:p w14:paraId="20E006B3" w14:textId="77777777" w:rsidR="00163E2D" w:rsidRPr="00B915B8" w:rsidRDefault="00163E2D" w:rsidP="00163E2D">
      <w:pPr>
        <w:pStyle w:val="NoSpacing"/>
        <w:ind w:firstLine="284"/>
        <w:jc w:val="center"/>
        <w:rPr>
          <w:rFonts w:ascii="Garamond" w:hAnsi="Garamond"/>
          <w:b/>
          <w:color w:val="000000"/>
          <w:sz w:val="24"/>
          <w:szCs w:val="24"/>
        </w:rPr>
      </w:pPr>
      <w:r w:rsidRPr="00B915B8">
        <w:rPr>
          <w:rFonts w:ascii="Garamond" w:hAnsi="Garamond"/>
          <w:b/>
          <w:color w:val="000000"/>
          <w:sz w:val="24"/>
          <w:szCs w:val="24"/>
        </w:rPr>
        <w:t>Nr</w:t>
      </w:r>
      <w:r>
        <w:rPr>
          <w:rFonts w:ascii="Garamond" w:hAnsi="Garamond"/>
          <w:b/>
          <w:color w:val="000000"/>
          <w:sz w:val="24"/>
          <w:szCs w:val="24"/>
        </w:rPr>
        <w:t>. 20</w:t>
      </w:r>
      <w:r w:rsidRPr="00B915B8">
        <w:rPr>
          <w:rFonts w:ascii="Garamond" w:hAnsi="Garamond"/>
          <w:b/>
          <w:color w:val="000000"/>
          <w:sz w:val="24"/>
          <w:szCs w:val="24"/>
        </w:rPr>
        <w:t>, datë</w:t>
      </w:r>
      <w:r>
        <w:rPr>
          <w:rFonts w:ascii="Garamond" w:hAnsi="Garamond"/>
          <w:b/>
          <w:color w:val="000000"/>
          <w:sz w:val="24"/>
          <w:szCs w:val="24"/>
        </w:rPr>
        <w:t xml:space="preserve"> 18.7</w:t>
      </w:r>
      <w:r w:rsidRPr="00B915B8">
        <w:rPr>
          <w:rFonts w:ascii="Garamond" w:hAnsi="Garamond"/>
          <w:b/>
          <w:color w:val="000000"/>
          <w:sz w:val="24"/>
          <w:szCs w:val="24"/>
        </w:rPr>
        <w:t>.2024</w:t>
      </w:r>
    </w:p>
    <w:p w14:paraId="4D6DBF71" w14:textId="77777777" w:rsidR="00163E2D" w:rsidRPr="00B915B8" w:rsidRDefault="00163E2D" w:rsidP="00163E2D">
      <w:pPr>
        <w:ind w:firstLine="284"/>
        <w:jc w:val="center"/>
        <w:rPr>
          <w:rFonts w:ascii="Garamond" w:hAnsi="Garamond"/>
          <w:b/>
          <w:color w:val="000000" w:themeColor="text1"/>
        </w:rPr>
      </w:pPr>
    </w:p>
    <w:p w14:paraId="065637A8" w14:textId="3E3AAA0D" w:rsidR="00163E2D" w:rsidRPr="00B915B8" w:rsidRDefault="00163E2D" w:rsidP="00163E2D">
      <w:pPr>
        <w:ind w:firstLine="284"/>
        <w:jc w:val="center"/>
        <w:rPr>
          <w:rFonts w:ascii="Garamond" w:hAnsi="Garamond"/>
          <w:b/>
          <w:color w:val="000000" w:themeColor="text1"/>
        </w:rPr>
      </w:pPr>
      <w:r w:rsidRPr="00B915B8">
        <w:rPr>
          <w:rFonts w:ascii="Garamond" w:hAnsi="Garamond"/>
          <w:b/>
          <w:color w:val="000000" w:themeColor="text1"/>
        </w:rPr>
        <w:t>PËR RREGULLAT MBI MASAT E VEÇANTA TË KONTROLLIT PËR ÇRRËNJOSJEN</w:t>
      </w:r>
      <w:r w:rsidR="006D067B">
        <w:rPr>
          <w:rFonts w:ascii="Garamond" w:hAnsi="Garamond"/>
          <w:b/>
          <w:color w:val="000000" w:themeColor="text1"/>
        </w:rPr>
        <w:t xml:space="preserve"> </w:t>
      </w:r>
      <w:r w:rsidRPr="00B915B8">
        <w:rPr>
          <w:rFonts w:ascii="Garamond" w:hAnsi="Garamond"/>
          <w:b/>
          <w:color w:val="000000" w:themeColor="text1"/>
        </w:rPr>
        <w:t>DHE PARANDALIMIN E PËRHAPJES SË KANCERIT TË PATATES “</w:t>
      </w:r>
      <w:r w:rsidRPr="00B915B8">
        <w:rPr>
          <w:rFonts w:ascii="Garamond" w:eastAsiaTheme="minorHAnsi" w:hAnsi="Garamond"/>
          <w:b/>
          <w:i/>
          <w:color w:val="000000"/>
          <w:lang w:eastAsia="en-US"/>
        </w:rPr>
        <w:t>SYNCHYTRIUM ENDOBIOTICUM</w:t>
      </w:r>
      <w:r w:rsidRPr="00B915B8">
        <w:rPr>
          <w:rFonts w:ascii="Garamond" w:eastAsiaTheme="minorHAnsi" w:hAnsi="Garamond"/>
          <w:b/>
          <w:color w:val="000000"/>
          <w:lang w:eastAsia="en-US"/>
        </w:rPr>
        <w:t>” (SCHILBERSKY) PERCIVAL</w:t>
      </w:r>
      <w:r w:rsidRPr="00B915B8">
        <w:rPr>
          <w:rStyle w:val="FootnoteReference"/>
          <w:rFonts w:ascii="Garamond" w:eastAsiaTheme="minorHAnsi" w:hAnsi="Garamond"/>
          <w:b/>
          <w:color w:val="000000"/>
          <w:lang w:eastAsia="en-US"/>
        </w:rPr>
        <w:footnoteReference w:id="2"/>
      </w:r>
    </w:p>
    <w:p w14:paraId="34A1E732" w14:textId="0D831ACA" w:rsidR="00163E2D" w:rsidRPr="004A7766" w:rsidRDefault="004A7766" w:rsidP="00163E2D">
      <w:pPr>
        <w:ind w:firstLine="284"/>
        <w:jc w:val="center"/>
        <w:rPr>
          <w:rFonts w:ascii="Garamond" w:hAnsi="Garamond"/>
          <w:i/>
          <w:color w:val="000000" w:themeColor="text1"/>
        </w:rPr>
      </w:pPr>
      <w:r w:rsidRPr="004A7766">
        <w:rPr>
          <w:rFonts w:ascii="Garamond" w:hAnsi="Garamond"/>
          <w:i/>
          <w:color w:val="000000" w:themeColor="text1"/>
        </w:rPr>
        <w:t>(Ndryshuar me udhëzimin nr. 13, datë 17.3.2025)</w:t>
      </w:r>
    </w:p>
    <w:p w14:paraId="79A77738" w14:textId="52268CAC" w:rsidR="004A7766" w:rsidRPr="004A7766" w:rsidRDefault="004A7766" w:rsidP="004A7766">
      <w:pPr>
        <w:ind w:firstLine="284"/>
        <w:jc w:val="right"/>
        <w:rPr>
          <w:rFonts w:ascii="Garamond" w:hAnsi="Garamond"/>
          <w:i/>
          <w:color w:val="000000" w:themeColor="text1"/>
        </w:rPr>
      </w:pPr>
      <w:r w:rsidRPr="004A7766">
        <w:rPr>
          <w:rFonts w:ascii="Garamond" w:hAnsi="Garamond"/>
          <w:i/>
          <w:color w:val="000000" w:themeColor="text1"/>
        </w:rPr>
        <w:t>(i përditësuar)</w:t>
      </w:r>
    </w:p>
    <w:p w14:paraId="2BEF7595" w14:textId="77777777" w:rsidR="004A7766" w:rsidRPr="004A7766" w:rsidRDefault="004A7766" w:rsidP="00163E2D">
      <w:pPr>
        <w:ind w:firstLine="284"/>
        <w:jc w:val="center"/>
        <w:rPr>
          <w:rFonts w:ascii="Garamond" w:hAnsi="Garamond"/>
          <w:i/>
          <w:color w:val="000000" w:themeColor="text1"/>
        </w:rPr>
      </w:pPr>
    </w:p>
    <w:p w14:paraId="422F47B9" w14:textId="1BAF9761" w:rsidR="00163E2D" w:rsidRPr="00B915B8" w:rsidRDefault="00163E2D" w:rsidP="00163E2D">
      <w:pPr>
        <w:ind w:firstLine="284"/>
        <w:jc w:val="both"/>
        <w:rPr>
          <w:rFonts w:ascii="Garamond" w:hAnsi="Garamond"/>
          <w:color w:val="000000" w:themeColor="text1"/>
        </w:rPr>
      </w:pPr>
      <w:r w:rsidRPr="00B915B8">
        <w:rPr>
          <w:rFonts w:ascii="Garamond" w:hAnsi="Garamond"/>
          <w:color w:val="000000" w:themeColor="text1"/>
        </w:rPr>
        <w:t xml:space="preserve">Në zbatim të nenit 102, pika 4 të Kushtetutës të Republikës së Shqipërisë dhe mbështetur në pikën 3, të nenit 8, të </w:t>
      </w:r>
      <w:r w:rsidR="006D067B" w:rsidRPr="00B915B8">
        <w:rPr>
          <w:rFonts w:ascii="Garamond" w:hAnsi="Garamond"/>
          <w:color w:val="000000" w:themeColor="text1"/>
        </w:rPr>
        <w:t>ligjit n</w:t>
      </w:r>
      <w:r w:rsidRPr="00B915B8">
        <w:rPr>
          <w:rFonts w:ascii="Garamond" w:hAnsi="Garamond"/>
          <w:color w:val="000000" w:themeColor="text1"/>
        </w:rPr>
        <w:t>r. 105/2016</w:t>
      </w:r>
      <w:r w:rsidR="006D067B">
        <w:rPr>
          <w:rFonts w:ascii="Garamond" w:hAnsi="Garamond"/>
          <w:color w:val="000000" w:themeColor="text1"/>
        </w:rPr>
        <w:t>,</w:t>
      </w:r>
      <w:r w:rsidRPr="00B915B8">
        <w:rPr>
          <w:rFonts w:ascii="Garamond" w:hAnsi="Garamond"/>
          <w:color w:val="000000" w:themeColor="text1"/>
        </w:rPr>
        <w:t xml:space="preserve"> “Për mbrojtjen e bimëve”, të ndryshuar, </w:t>
      </w:r>
    </w:p>
    <w:p w14:paraId="2ADF66E4"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77AF4C5" w14:textId="77777777" w:rsidR="00163E2D" w:rsidRPr="00B915B8" w:rsidRDefault="00163E2D" w:rsidP="00163E2D">
      <w:pPr>
        <w:autoSpaceDE w:val="0"/>
        <w:autoSpaceDN w:val="0"/>
        <w:adjustRightInd w:val="0"/>
        <w:ind w:firstLine="284"/>
        <w:jc w:val="center"/>
        <w:rPr>
          <w:rFonts w:ascii="Garamond" w:eastAsiaTheme="minorHAnsi" w:hAnsi="Garamond"/>
          <w:bCs/>
          <w:lang w:eastAsia="en-US"/>
        </w:rPr>
      </w:pPr>
      <w:r w:rsidRPr="00B915B8">
        <w:rPr>
          <w:rFonts w:ascii="Garamond" w:eastAsiaTheme="minorHAnsi" w:hAnsi="Garamond"/>
          <w:bCs/>
          <w:lang w:eastAsia="en-US"/>
        </w:rPr>
        <w:t>UDHËZOJ:</w:t>
      </w:r>
    </w:p>
    <w:p w14:paraId="230D0F65" w14:textId="77777777" w:rsidR="00163E2D" w:rsidRPr="00B915B8" w:rsidRDefault="00163E2D" w:rsidP="00163E2D">
      <w:pPr>
        <w:autoSpaceDE w:val="0"/>
        <w:autoSpaceDN w:val="0"/>
        <w:adjustRightInd w:val="0"/>
        <w:ind w:firstLine="284"/>
        <w:rPr>
          <w:rFonts w:ascii="Garamond" w:eastAsiaTheme="minorHAnsi" w:hAnsi="Garamond"/>
          <w:bCs/>
          <w:lang w:eastAsia="en-US"/>
        </w:rPr>
      </w:pPr>
    </w:p>
    <w:p w14:paraId="471469C3" w14:textId="77777777" w:rsidR="00163E2D" w:rsidRPr="00B915B8" w:rsidRDefault="00163E2D" w:rsidP="00163E2D">
      <w:pPr>
        <w:autoSpaceDE w:val="0"/>
        <w:autoSpaceDN w:val="0"/>
        <w:adjustRightInd w:val="0"/>
        <w:ind w:firstLine="284"/>
        <w:jc w:val="center"/>
        <w:rPr>
          <w:rFonts w:ascii="Garamond" w:eastAsiaTheme="minorHAnsi" w:hAnsi="Garamond"/>
          <w:bCs/>
          <w:lang w:eastAsia="en-US"/>
        </w:rPr>
      </w:pPr>
      <w:r w:rsidRPr="00B915B8">
        <w:rPr>
          <w:rFonts w:ascii="Garamond" w:eastAsiaTheme="minorHAnsi" w:hAnsi="Garamond"/>
          <w:bCs/>
          <w:lang w:eastAsia="en-US"/>
        </w:rPr>
        <w:t>Neni 1</w:t>
      </w:r>
    </w:p>
    <w:p w14:paraId="752A3009" w14:textId="77777777" w:rsidR="00163E2D" w:rsidRPr="00B915B8" w:rsidRDefault="00163E2D" w:rsidP="00163E2D">
      <w:pPr>
        <w:autoSpaceDE w:val="0"/>
        <w:autoSpaceDN w:val="0"/>
        <w:adjustRightInd w:val="0"/>
        <w:ind w:firstLine="284"/>
        <w:jc w:val="center"/>
        <w:rPr>
          <w:rFonts w:ascii="Garamond" w:eastAsiaTheme="minorHAnsi" w:hAnsi="Garamond"/>
          <w:b/>
          <w:bCs/>
          <w:lang w:eastAsia="en-US"/>
        </w:rPr>
      </w:pPr>
      <w:r w:rsidRPr="00B915B8">
        <w:rPr>
          <w:rFonts w:ascii="Garamond" w:eastAsiaTheme="minorHAnsi" w:hAnsi="Garamond"/>
          <w:b/>
          <w:bCs/>
          <w:lang w:eastAsia="en-US"/>
        </w:rPr>
        <w:t xml:space="preserve">Qëllimi </w:t>
      </w:r>
    </w:p>
    <w:p w14:paraId="6E81AD12" w14:textId="77777777" w:rsidR="00163E2D" w:rsidRPr="00B915B8" w:rsidRDefault="00163E2D" w:rsidP="00163E2D">
      <w:pPr>
        <w:autoSpaceDE w:val="0"/>
        <w:autoSpaceDN w:val="0"/>
        <w:adjustRightInd w:val="0"/>
        <w:ind w:firstLine="284"/>
        <w:jc w:val="both"/>
        <w:rPr>
          <w:rFonts w:ascii="Garamond" w:eastAsiaTheme="minorHAnsi" w:hAnsi="Garamond"/>
          <w:lang w:eastAsia="en-US"/>
        </w:rPr>
      </w:pPr>
    </w:p>
    <w:p w14:paraId="7FD989A4" w14:textId="77777777" w:rsidR="00163E2D" w:rsidRPr="00AA69FE" w:rsidRDefault="00163E2D" w:rsidP="00163E2D">
      <w:pPr>
        <w:autoSpaceDE w:val="0"/>
        <w:autoSpaceDN w:val="0"/>
        <w:adjustRightInd w:val="0"/>
        <w:ind w:firstLine="284"/>
        <w:jc w:val="both"/>
        <w:rPr>
          <w:rFonts w:ascii="Garamond" w:eastAsiaTheme="minorHAnsi" w:hAnsi="Garamond"/>
          <w:color w:val="000000"/>
          <w:lang w:eastAsia="en-US"/>
        </w:rPr>
      </w:pPr>
      <w:r w:rsidRPr="00B915B8">
        <w:rPr>
          <w:rFonts w:ascii="Garamond" w:eastAsiaTheme="minorHAnsi" w:hAnsi="Garamond"/>
          <w:lang w:eastAsia="en-US"/>
        </w:rPr>
        <w:t xml:space="preserve">Qëllimi i këtij </w:t>
      </w:r>
      <w:r w:rsidRPr="00B915B8">
        <w:rPr>
          <w:rFonts w:ascii="Garamond" w:eastAsiaTheme="minorHAnsi" w:hAnsi="Garamond"/>
          <w:color w:val="000000"/>
          <w:lang w:eastAsia="en-US"/>
        </w:rPr>
        <w:t xml:space="preserve">udhëzimi është të përcaktojë masat për çrrënjosjen dhe parandalimin e përhapjes të dëmtuesit </w:t>
      </w:r>
      <w:r w:rsidRPr="00B915B8">
        <w:rPr>
          <w:rFonts w:ascii="Garamond" w:eastAsiaTheme="minorHAnsi" w:hAnsi="Garamond"/>
          <w:i/>
          <w:color w:val="000000"/>
          <w:lang w:eastAsia="en-US"/>
        </w:rPr>
        <w:t xml:space="preserve">Synchytrium </w:t>
      </w:r>
      <w:r w:rsidRPr="00AA69FE">
        <w:rPr>
          <w:rFonts w:ascii="Garamond" w:eastAsiaTheme="minorHAnsi" w:hAnsi="Garamond"/>
          <w:i/>
          <w:color w:val="000000"/>
          <w:lang w:eastAsia="en-US"/>
        </w:rPr>
        <w:t>endobioticum</w:t>
      </w:r>
      <w:r w:rsidRPr="00AA69FE">
        <w:rPr>
          <w:rFonts w:ascii="Garamond" w:eastAsiaTheme="minorHAnsi" w:hAnsi="Garamond"/>
          <w:color w:val="000000"/>
          <w:lang w:eastAsia="en-US"/>
        </w:rPr>
        <w:t xml:space="preserve"> (Schilbersky) Percival, brenda territorit të Republikës së Shqipërisë.</w:t>
      </w:r>
    </w:p>
    <w:p w14:paraId="57824D64" w14:textId="77777777" w:rsidR="00163E2D" w:rsidRPr="00AA69FE" w:rsidRDefault="00163E2D" w:rsidP="00163E2D">
      <w:pPr>
        <w:autoSpaceDE w:val="0"/>
        <w:autoSpaceDN w:val="0"/>
        <w:adjustRightInd w:val="0"/>
        <w:ind w:firstLine="284"/>
        <w:jc w:val="center"/>
        <w:rPr>
          <w:rFonts w:ascii="Garamond" w:eastAsiaTheme="minorHAnsi" w:hAnsi="Garamond"/>
          <w:b/>
          <w:bCs/>
          <w:lang w:eastAsia="en-US"/>
        </w:rPr>
      </w:pPr>
    </w:p>
    <w:p w14:paraId="3CDFD610" w14:textId="77777777" w:rsidR="00163E2D" w:rsidRPr="00AA69FE" w:rsidRDefault="00163E2D" w:rsidP="00163E2D">
      <w:pPr>
        <w:autoSpaceDE w:val="0"/>
        <w:autoSpaceDN w:val="0"/>
        <w:adjustRightInd w:val="0"/>
        <w:ind w:firstLine="284"/>
        <w:jc w:val="center"/>
        <w:rPr>
          <w:rFonts w:ascii="Garamond" w:eastAsiaTheme="minorHAnsi" w:hAnsi="Garamond"/>
          <w:bCs/>
          <w:lang w:eastAsia="en-US"/>
        </w:rPr>
      </w:pPr>
      <w:r w:rsidRPr="00AA69FE">
        <w:rPr>
          <w:rFonts w:ascii="Garamond" w:eastAsiaTheme="minorHAnsi" w:hAnsi="Garamond"/>
          <w:bCs/>
          <w:lang w:eastAsia="en-US"/>
        </w:rPr>
        <w:t>Neni 2</w:t>
      </w:r>
    </w:p>
    <w:p w14:paraId="7223EA64" w14:textId="77777777" w:rsidR="00163E2D" w:rsidRPr="00AA69FE" w:rsidRDefault="00163E2D" w:rsidP="00163E2D">
      <w:pPr>
        <w:autoSpaceDE w:val="0"/>
        <w:autoSpaceDN w:val="0"/>
        <w:adjustRightInd w:val="0"/>
        <w:ind w:firstLine="284"/>
        <w:jc w:val="center"/>
        <w:rPr>
          <w:rFonts w:ascii="Garamond" w:eastAsiaTheme="minorHAnsi" w:hAnsi="Garamond"/>
          <w:b/>
          <w:bCs/>
          <w:lang w:eastAsia="en-US"/>
        </w:rPr>
      </w:pPr>
      <w:r w:rsidRPr="00AA69FE">
        <w:rPr>
          <w:rFonts w:ascii="Garamond" w:eastAsiaTheme="minorHAnsi" w:hAnsi="Garamond"/>
          <w:b/>
          <w:bCs/>
          <w:lang w:eastAsia="en-US"/>
        </w:rPr>
        <w:t>Përkufizimet</w:t>
      </w:r>
    </w:p>
    <w:p w14:paraId="66E40293" w14:textId="77777777" w:rsidR="00163E2D" w:rsidRPr="00AA69FE" w:rsidRDefault="00163E2D" w:rsidP="00163E2D">
      <w:pPr>
        <w:autoSpaceDE w:val="0"/>
        <w:autoSpaceDN w:val="0"/>
        <w:adjustRightInd w:val="0"/>
        <w:ind w:firstLine="284"/>
        <w:jc w:val="center"/>
        <w:rPr>
          <w:rFonts w:ascii="Garamond" w:eastAsiaTheme="minorHAnsi" w:hAnsi="Garamond"/>
          <w:b/>
          <w:bCs/>
          <w:lang w:eastAsia="en-US"/>
        </w:rPr>
      </w:pPr>
    </w:p>
    <w:p w14:paraId="5443B22B" w14:textId="6F9979C1" w:rsidR="00163E2D" w:rsidRPr="00B915B8" w:rsidRDefault="00163E2D" w:rsidP="00163E2D">
      <w:pPr>
        <w:widowControl w:val="0"/>
        <w:tabs>
          <w:tab w:val="left" w:pos="418"/>
        </w:tabs>
        <w:autoSpaceDE w:val="0"/>
        <w:autoSpaceDN w:val="0"/>
        <w:ind w:firstLine="284"/>
        <w:jc w:val="both"/>
        <w:rPr>
          <w:rFonts w:ascii="Garamond" w:eastAsiaTheme="minorHAnsi" w:hAnsi="Garamond"/>
          <w:color w:val="000000"/>
          <w:lang w:eastAsia="en-US"/>
        </w:rPr>
      </w:pPr>
      <w:r w:rsidRPr="00AA69FE">
        <w:rPr>
          <w:rFonts w:ascii="Garamond" w:eastAsiaTheme="minorHAnsi" w:hAnsi="Garamond"/>
          <w:color w:val="000000"/>
          <w:lang w:eastAsia="en-US"/>
        </w:rPr>
        <w:t>Për qëllim të këtij udhëzimi, termat e përcaktuar</w:t>
      </w:r>
      <w:r w:rsidRPr="00B915B8">
        <w:rPr>
          <w:rFonts w:ascii="Garamond" w:eastAsiaTheme="minorHAnsi" w:hAnsi="Garamond"/>
          <w:color w:val="000000"/>
          <w:lang w:eastAsia="en-US"/>
        </w:rPr>
        <w:t xml:space="preserve"> në nenin 2, të </w:t>
      </w:r>
      <w:r w:rsidR="00D66105" w:rsidRPr="00B915B8">
        <w:rPr>
          <w:rFonts w:ascii="Garamond" w:eastAsiaTheme="minorHAnsi" w:hAnsi="Garamond"/>
          <w:color w:val="000000"/>
          <w:lang w:eastAsia="en-US"/>
        </w:rPr>
        <w:t>ligjit nr. 105</w:t>
      </w:r>
      <w:r w:rsidRPr="00B915B8">
        <w:rPr>
          <w:rFonts w:ascii="Garamond" w:eastAsiaTheme="minorHAnsi" w:hAnsi="Garamond"/>
          <w:color w:val="000000"/>
          <w:lang w:eastAsia="en-US"/>
        </w:rPr>
        <w:t xml:space="preserve">/2016, </w:t>
      </w:r>
      <w:r w:rsidRPr="00D66105">
        <w:rPr>
          <w:rFonts w:ascii="Garamond" w:eastAsiaTheme="minorHAnsi" w:hAnsi="Garamond"/>
          <w:color w:val="000000"/>
          <w:lang w:eastAsia="en-US"/>
        </w:rPr>
        <w:t xml:space="preserve">“Për mbrojtjen e bimëve”, </w:t>
      </w:r>
      <w:r w:rsidRPr="00B915B8">
        <w:rPr>
          <w:rFonts w:ascii="Garamond" w:eastAsiaTheme="minorHAnsi" w:hAnsi="Garamond"/>
          <w:color w:val="000000"/>
          <w:lang w:eastAsia="en-US"/>
        </w:rPr>
        <w:t xml:space="preserve">të ndryshuar, dhe në nenin 2, të </w:t>
      </w:r>
      <w:r w:rsidR="00D66105" w:rsidRPr="00B915B8">
        <w:rPr>
          <w:rFonts w:ascii="Garamond" w:eastAsiaTheme="minorHAnsi" w:hAnsi="Garamond"/>
          <w:color w:val="000000"/>
          <w:lang w:eastAsia="en-US"/>
        </w:rPr>
        <w:t>urdhrit n</w:t>
      </w:r>
      <w:r w:rsidRPr="00B915B8">
        <w:rPr>
          <w:rFonts w:ascii="Garamond" w:eastAsiaTheme="minorHAnsi" w:hAnsi="Garamond"/>
          <w:color w:val="000000"/>
          <w:lang w:eastAsia="en-US"/>
        </w:rPr>
        <w:t xml:space="preserve">r. 113, datë 15.3.2022, “Për miratimin e rregullores </w:t>
      </w:r>
      <w:r w:rsidR="003E12FA">
        <w:rPr>
          <w:rFonts w:ascii="Garamond" w:eastAsiaTheme="minorHAnsi" w:hAnsi="Garamond"/>
          <w:color w:val="000000"/>
          <w:lang w:eastAsia="en-US"/>
        </w:rPr>
        <w:t>‘</w:t>
      </w:r>
      <w:r w:rsidRPr="00B915B8">
        <w:rPr>
          <w:rFonts w:ascii="Garamond" w:eastAsiaTheme="minorHAnsi" w:hAnsi="Garamond"/>
          <w:color w:val="000000"/>
          <w:lang w:eastAsia="en-US"/>
        </w:rPr>
        <w:t>Për masat mbrojtëse kundër dëmtuesve të bimëve</w:t>
      </w:r>
      <w:r w:rsidR="003E12FA">
        <w:rPr>
          <w:rFonts w:ascii="Garamond" w:eastAsiaTheme="minorHAnsi" w:hAnsi="Garamond"/>
          <w:color w:val="000000"/>
          <w:lang w:eastAsia="en-US"/>
        </w:rPr>
        <w:t>’</w:t>
      </w:r>
      <w:r w:rsidRPr="00B915B8">
        <w:rPr>
          <w:rFonts w:ascii="Garamond" w:eastAsiaTheme="minorHAnsi" w:hAnsi="Garamond"/>
          <w:color w:val="000000"/>
          <w:lang w:eastAsia="en-US"/>
        </w:rPr>
        <w:t xml:space="preserve">”, të ndryshuar, kanë të njëjtin kuptim. </w:t>
      </w:r>
    </w:p>
    <w:p w14:paraId="4417039F" w14:textId="77777777" w:rsidR="00163E2D" w:rsidRPr="00B915B8" w:rsidRDefault="00163E2D" w:rsidP="00163E2D">
      <w:pPr>
        <w:widowControl w:val="0"/>
        <w:tabs>
          <w:tab w:val="left" w:pos="418"/>
        </w:tabs>
        <w:autoSpaceDE w:val="0"/>
        <w:autoSpaceDN w:val="0"/>
        <w:ind w:firstLine="284"/>
        <w:rPr>
          <w:rFonts w:ascii="Garamond" w:eastAsiaTheme="minorHAnsi" w:hAnsi="Garamond"/>
          <w:color w:val="000000"/>
          <w:lang w:eastAsia="en-US"/>
        </w:rPr>
      </w:pPr>
      <w:r w:rsidRPr="00B915B8">
        <w:rPr>
          <w:rFonts w:ascii="Garamond" w:eastAsiaTheme="minorHAnsi" w:hAnsi="Garamond"/>
          <w:color w:val="000000"/>
          <w:lang w:eastAsia="en-US"/>
        </w:rPr>
        <w:t>Ndërsa termat e mëposhtëm kanë këto kuptime:</w:t>
      </w:r>
    </w:p>
    <w:p w14:paraId="41F2C919" w14:textId="77777777" w:rsidR="00163E2D" w:rsidRPr="00B915B8" w:rsidRDefault="00163E2D" w:rsidP="00163E2D">
      <w:pPr>
        <w:widowControl w:val="0"/>
        <w:tabs>
          <w:tab w:val="left" w:pos="418"/>
        </w:tabs>
        <w:autoSpaceDE w:val="0"/>
        <w:autoSpaceDN w:val="0"/>
        <w:ind w:firstLine="284"/>
        <w:jc w:val="both"/>
        <w:rPr>
          <w:rFonts w:ascii="Garamond" w:hAnsi="Garamond"/>
        </w:rPr>
      </w:pPr>
      <w:r w:rsidRPr="00B915B8">
        <w:rPr>
          <w:rFonts w:ascii="Garamond" w:hAnsi="Garamond"/>
        </w:rPr>
        <w:t xml:space="preserve">1. “Dëmtues i specifikuar” është </w:t>
      </w:r>
      <w:r w:rsidRPr="00B915B8">
        <w:rPr>
          <w:rFonts w:ascii="Garamond" w:hAnsi="Garamond"/>
          <w:i/>
        </w:rPr>
        <w:t>Synchytrium endobioticum</w:t>
      </w:r>
      <w:r w:rsidRPr="00B915B8">
        <w:rPr>
          <w:rFonts w:ascii="Garamond" w:hAnsi="Garamond"/>
        </w:rPr>
        <w:t xml:space="preserve"> (Schilbersky) Percival;</w:t>
      </w:r>
    </w:p>
    <w:p w14:paraId="1A1991DC" w14:textId="77777777" w:rsidR="00163E2D" w:rsidRPr="00B915B8" w:rsidRDefault="00163E2D" w:rsidP="00163E2D">
      <w:pPr>
        <w:widowControl w:val="0"/>
        <w:tabs>
          <w:tab w:val="left" w:pos="418"/>
        </w:tabs>
        <w:autoSpaceDE w:val="0"/>
        <w:autoSpaceDN w:val="0"/>
        <w:ind w:firstLine="284"/>
        <w:jc w:val="both"/>
        <w:rPr>
          <w:rFonts w:ascii="Garamond" w:hAnsi="Garamond"/>
        </w:rPr>
      </w:pPr>
      <w:r w:rsidRPr="00B915B8">
        <w:rPr>
          <w:rFonts w:ascii="Garamond" w:hAnsi="Garamond"/>
        </w:rPr>
        <w:t xml:space="preserve">2. “Bimë të specifikuara” është bima e </w:t>
      </w:r>
      <w:r w:rsidRPr="00B915B8">
        <w:rPr>
          <w:rFonts w:ascii="Garamond" w:hAnsi="Garamond"/>
          <w:i/>
        </w:rPr>
        <w:t>Solanum tuberosum</w:t>
      </w:r>
      <w:r w:rsidRPr="00B915B8">
        <w:rPr>
          <w:rFonts w:ascii="Garamond" w:hAnsi="Garamond"/>
        </w:rPr>
        <w:t xml:space="preserve"> L. përveç farave.</w:t>
      </w:r>
    </w:p>
    <w:p w14:paraId="61FD6D3A"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2542EC6" w14:textId="77777777" w:rsidR="00163E2D" w:rsidRPr="00B915B8" w:rsidRDefault="00163E2D" w:rsidP="00163E2D">
      <w:pPr>
        <w:autoSpaceDE w:val="0"/>
        <w:autoSpaceDN w:val="0"/>
        <w:adjustRightInd w:val="0"/>
        <w:ind w:firstLine="284"/>
        <w:jc w:val="center"/>
        <w:rPr>
          <w:rFonts w:ascii="Garamond" w:eastAsiaTheme="minorHAnsi" w:hAnsi="Garamond"/>
          <w:bCs/>
          <w:color w:val="000000"/>
          <w:lang w:eastAsia="en-US"/>
        </w:rPr>
      </w:pPr>
      <w:r w:rsidRPr="00B915B8">
        <w:rPr>
          <w:rFonts w:ascii="Garamond" w:eastAsiaTheme="minorHAnsi" w:hAnsi="Garamond"/>
          <w:bCs/>
          <w:color w:val="000000"/>
          <w:lang w:eastAsia="en-US"/>
        </w:rPr>
        <w:t>Neni 3</w:t>
      </w:r>
    </w:p>
    <w:p w14:paraId="02934091"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Vrojtimet dhe testet laboratorike të dëmtuesit të specifikuar</w:t>
      </w:r>
    </w:p>
    <w:p w14:paraId="6620BDF6"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1124648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Autoriteti Kombëtar i Veterinarisë dhe Mbrojtjes së Bimëve “AKVMB” kryen vrojtime vjetore të bazuara në risk për praninë e dëmtuesit të specifikuar, të paktën me inspektim vizual, të zhardhokëve në vendndodhjet e prodhimit ku rriten ose ruhen bimët e specifikuara.</w:t>
      </w:r>
    </w:p>
    <w:p w14:paraId="3C32726E"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Në rast dyshimi për infektimin e bimëve të specifikuara nga dëmtuesi i specifikuar, merren mostra dhe testohen në laboratorët rajonalë të Autoritetit Kombëtar të Ushqimit “AKU” dhe testet konfirmatore për praninë e dëmtuesit të specifikuar kryhen në Institutin e Sigurisë Ushqimore dhe Veterinarisë (ISUV), duke përdorur metodat e përcaktuara në aneksin I bashkëlidhur këtij udhëzimi.</w:t>
      </w:r>
    </w:p>
    <w:p w14:paraId="765CAD71" w14:textId="795153CC"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AKVMB</w:t>
      </w:r>
      <w:r w:rsidR="003E12FA">
        <w:rPr>
          <w:rFonts w:ascii="Garamond" w:eastAsiaTheme="minorHAnsi" w:hAnsi="Garamond"/>
          <w:bCs/>
          <w:color w:val="000000"/>
          <w:lang w:eastAsia="en-US"/>
        </w:rPr>
        <w:t>-ja</w:t>
      </w:r>
      <w:r w:rsidRPr="00B915B8">
        <w:rPr>
          <w:rFonts w:ascii="Garamond" w:eastAsiaTheme="minorHAnsi" w:hAnsi="Garamond"/>
          <w:bCs/>
          <w:color w:val="000000"/>
          <w:lang w:eastAsia="en-US"/>
        </w:rPr>
        <w:t>, AKU</w:t>
      </w:r>
      <w:r w:rsidR="003E12FA">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dhe ISUV</w:t>
      </w:r>
      <w:r w:rsidR="003E12FA">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sipas fushës së përgjegjësisë, raportojnë te SPMB-ja, brenda datës 30 prill të çdo viti, rezultatet e vrojtimeve të përmendura në pikën 1 të këtij neni, të kryera në vitin paraardhës. </w:t>
      </w:r>
    </w:p>
    <w:p w14:paraId="5C76ACD4"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Raportimi i rezultateve kryhet në përputhje me modelin e përcaktuar në aneksin II bashkëlidhur këtij udhëzimi.</w:t>
      </w:r>
    </w:p>
    <w:p w14:paraId="4FD126B1"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p>
    <w:p w14:paraId="25C640CD" w14:textId="77777777" w:rsidR="00163E2D" w:rsidRPr="0052664E" w:rsidRDefault="00163E2D" w:rsidP="00163E2D">
      <w:pPr>
        <w:autoSpaceDE w:val="0"/>
        <w:autoSpaceDN w:val="0"/>
        <w:adjustRightInd w:val="0"/>
        <w:ind w:firstLine="284"/>
        <w:jc w:val="center"/>
        <w:rPr>
          <w:rFonts w:ascii="Garamond" w:eastAsiaTheme="minorHAnsi" w:hAnsi="Garamond"/>
          <w:bCs/>
          <w:color w:val="000000"/>
          <w:lang w:eastAsia="en-US"/>
        </w:rPr>
      </w:pPr>
      <w:r w:rsidRPr="0052664E">
        <w:rPr>
          <w:rFonts w:ascii="Garamond" w:eastAsiaTheme="minorHAnsi" w:hAnsi="Garamond"/>
          <w:bCs/>
          <w:color w:val="000000"/>
          <w:lang w:eastAsia="en-US"/>
        </w:rPr>
        <w:t>Neni 4</w:t>
      </w:r>
    </w:p>
    <w:p w14:paraId="41B0AC8C"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lastRenderedPageBreak/>
        <w:t>Përcaktimi i vendndodhjeve të prodhimit të infektuara dhe bimëve të specifikuara të infektuara</w:t>
      </w:r>
    </w:p>
    <w:p w14:paraId="31D859EA"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3FE44C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AKVMB-ja cakton një vendndodhje prodhimi si të infektuar nga dëmtuesi i specifikuar ku prania e dëmtuesit të specifikuar në atë vendndodhje është konfirmuar zyrtarisht nga testet e përmendura në pikën 2, të nenit 3.</w:t>
      </w:r>
    </w:p>
    <w:p w14:paraId="5CA1F0F8"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Bimët e specifikuara të rritura në një vendndodhje prodhimi të përcaktuar si të infektuar nga dëmtuesi i specifikuar ose që kanë qenë në kontakt me tokën në të cilën është gjetur dëmtuesi i specifikuar, do të caktohen zyrtarisht si të infektuara.</w:t>
      </w:r>
    </w:p>
    <w:p w14:paraId="4BA63009" w14:textId="77777777" w:rsidR="00163E2D" w:rsidRDefault="00163E2D" w:rsidP="00163E2D">
      <w:pPr>
        <w:autoSpaceDE w:val="0"/>
        <w:autoSpaceDN w:val="0"/>
        <w:adjustRightInd w:val="0"/>
        <w:ind w:firstLine="284"/>
        <w:jc w:val="center"/>
        <w:rPr>
          <w:rFonts w:ascii="Garamond" w:eastAsiaTheme="minorHAnsi" w:hAnsi="Garamond"/>
          <w:b/>
          <w:bCs/>
          <w:color w:val="000000"/>
          <w:lang w:eastAsia="en-US"/>
        </w:rPr>
      </w:pPr>
    </w:p>
    <w:p w14:paraId="418DB039" w14:textId="77777777" w:rsidR="00163E2D" w:rsidRPr="00B915B8" w:rsidRDefault="00163E2D" w:rsidP="00163E2D">
      <w:pPr>
        <w:autoSpaceDE w:val="0"/>
        <w:autoSpaceDN w:val="0"/>
        <w:adjustRightInd w:val="0"/>
        <w:ind w:firstLine="284"/>
        <w:jc w:val="center"/>
        <w:rPr>
          <w:rFonts w:ascii="Garamond" w:eastAsiaTheme="minorHAnsi" w:hAnsi="Garamond"/>
          <w:bCs/>
          <w:color w:val="000000"/>
          <w:lang w:eastAsia="en-US"/>
        </w:rPr>
      </w:pPr>
      <w:r w:rsidRPr="00B915B8">
        <w:rPr>
          <w:rFonts w:ascii="Garamond" w:eastAsiaTheme="minorHAnsi" w:hAnsi="Garamond"/>
          <w:bCs/>
          <w:color w:val="000000"/>
          <w:lang w:eastAsia="en-US"/>
        </w:rPr>
        <w:t>Neni 5</w:t>
      </w:r>
    </w:p>
    <w:p w14:paraId="73AE4435"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Krijimi i zonave të shënuara</w:t>
      </w:r>
    </w:p>
    <w:p w14:paraId="7F7BACB9"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469E1EA2" w14:textId="46A7FC12"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Kur prania e dëmtuesit të specifikuar konfirmohet zyrtarisht, AKVMB</w:t>
      </w:r>
      <w:r w:rsidR="00454C0F">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pa vonesë përcakton zonën si zonë e shënuar në përputhje me procedurat sipas pikës 2, të këtij neni. Përcaktimi i patotipit bëhet duke përdorur metodat e përcaktuara në pikën 5, të aneksit I, bashkëlidhur këtij udhëzimi.</w:t>
      </w:r>
    </w:p>
    <w:p w14:paraId="3B09F635"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2. Zona e shënuar përbëhet nga:</w:t>
      </w:r>
    </w:p>
    <w:p w14:paraId="0837226E" w14:textId="4F4FFE02"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a) zona e infektuar, duke përfshirë të paktën vendndodhjen e prodhimit të përcaktuar si të infektuar</w:t>
      </w:r>
      <w:r w:rsidR="00104A6C" w:rsidRPr="00B915B8">
        <w:rPr>
          <w:rFonts w:ascii="Garamond" w:eastAsiaTheme="minorHAnsi" w:hAnsi="Garamond"/>
          <w:bCs/>
          <w:color w:val="000000"/>
          <w:lang w:eastAsia="en-US"/>
        </w:rPr>
        <w:t>;</w:t>
      </w:r>
      <w:r w:rsidRPr="00B915B8">
        <w:rPr>
          <w:rFonts w:ascii="Garamond" w:eastAsiaTheme="minorHAnsi" w:hAnsi="Garamond"/>
          <w:bCs/>
          <w:color w:val="000000"/>
          <w:lang w:eastAsia="en-US"/>
        </w:rPr>
        <w:t xml:space="preserve"> dhe</w:t>
      </w:r>
    </w:p>
    <w:p w14:paraId="46307AE7"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b) zona e sigurisë, që rrethon zonën e infektuar.</w:t>
      </w:r>
    </w:p>
    <w:p w14:paraId="4CE7B873"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Kufizimi i zonës së sigurisë të përmendur në shkronjën “b”, bazohet në parime të shëndosha shkencore, biologjinë e dëmtuesit të specifikuar, nivelin e infektimit, shpërndarjen dhe shpeshtësinë e kultivimit të bimëve të specifikuara në zonën në fjalë, kushtet mjedisore dhe gjeografike, si dhe riskun specifik të përhapjes së sporeve në fazën e dimërimit.</w:t>
      </w:r>
    </w:p>
    <w:p w14:paraId="709BE705" w14:textId="06BDD88F"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AKVMB</w:t>
      </w:r>
      <w:r w:rsidR="00BF1734">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kryen hulumtimet e duhura për të identifikuar origjinën e infeksionit. Ata do të gjurmojnë bimët e specifikuara të lidhura me rastin e infeksionit në fjalë, duke përfshirë ato që janë zhvendosur përpara krijimit të zonës së shënuar.</w:t>
      </w:r>
    </w:p>
    <w:p w14:paraId="27FAA374" w14:textId="342F5322"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4. Brenda zonës së shënuar, AKVMB</w:t>
      </w:r>
      <w:r w:rsidR="00BF1734">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të rrisë ndërgjegjësimin e operatorëve profesionistë në lidhje me kërcënimin e dëmtuesit të specifikuar dhe masat e marra për çrrënjosjen e tij dhe për të parandaluar përhapjen e tij jashtë zonës. AKVMB</w:t>
      </w:r>
      <w:r w:rsidR="00BF1734">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të sigurojë që operatorët profesionistë të jenë në dijeni të përcaktimit të zonës së shënuar, zonës së infektuar dhe zonës së sigurisë, si dhe për dispozitat </w:t>
      </w:r>
      <w:r w:rsidR="00FE7C52">
        <w:rPr>
          <w:rFonts w:ascii="Garamond" w:eastAsiaTheme="minorHAnsi" w:hAnsi="Garamond"/>
          <w:bCs/>
          <w:color w:val="000000"/>
          <w:lang w:eastAsia="en-US"/>
        </w:rPr>
        <w:t>e</w:t>
      </w:r>
      <w:r w:rsidRPr="00B915B8">
        <w:rPr>
          <w:rFonts w:ascii="Garamond" w:eastAsiaTheme="minorHAnsi" w:hAnsi="Garamond"/>
          <w:bCs/>
          <w:color w:val="000000"/>
          <w:lang w:eastAsia="en-US"/>
        </w:rPr>
        <w:t xml:space="preserve"> këtij udhëzimi.</w:t>
      </w:r>
    </w:p>
    <w:p w14:paraId="555D5DB3"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p>
    <w:p w14:paraId="79E07D95" w14:textId="77777777" w:rsidR="00163E2D" w:rsidRPr="00B915B8" w:rsidRDefault="00163E2D" w:rsidP="00163E2D">
      <w:pPr>
        <w:autoSpaceDE w:val="0"/>
        <w:autoSpaceDN w:val="0"/>
        <w:adjustRightInd w:val="0"/>
        <w:ind w:firstLine="284"/>
        <w:jc w:val="center"/>
        <w:rPr>
          <w:rFonts w:ascii="Garamond" w:eastAsiaTheme="minorHAnsi" w:hAnsi="Garamond"/>
          <w:bCs/>
          <w:color w:val="000000"/>
          <w:lang w:eastAsia="en-US"/>
        </w:rPr>
      </w:pPr>
      <w:r w:rsidRPr="00B915B8">
        <w:rPr>
          <w:rFonts w:ascii="Garamond" w:eastAsiaTheme="minorHAnsi" w:hAnsi="Garamond"/>
          <w:bCs/>
          <w:color w:val="000000"/>
          <w:lang w:eastAsia="en-US"/>
        </w:rPr>
        <w:t>Neni 6</w:t>
      </w:r>
    </w:p>
    <w:p w14:paraId="343EAA00"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Masat për çrrënjosjen</w:t>
      </w:r>
    </w:p>
    <w:p w14:paraId="630C98FD"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75561DB0"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Bimët e specifikuara, të cilat kanë origjinën nga një zonë e infektuar, shkatërrohen ose përpunohen në kushte të sigurta për të parandaluar çdo përhapje të mëtejshme të dëmtuesit të specifikuar. Nëse nuk është e mundur të përcaktohet vendndodhja e prodhimit nga e kanë origjinën bimët e specifikuara të infektuara, i gjithë loti në të cilin janë gjetur bimët e specifikuara të infektuara të shkatërrohet ose përpunohet në kushte që parandalojnë çdo përhapje të mëtejshme të dëmtuesit të specifikuar.</w:t>
      </w:r>
    </w:p>
    <w:p w14:paraId="03BDEBD7"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2. Në një zonë të infektuar, zbatohen të gjitha masat e mëposhtme:</w:t>
      </w:r>
    </w:p>
    <w:p w14:paraId="280D572C"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a) asnjë bimë e specifikuar nuk do të mbillet, rritet ose ruhet;</w:t>
      </w:r>
    </w:p>
    <w:p w14:paraId="22D5F213"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b) asnjë bimë tjetër, e destinuar për rimbjellje jashtë zonës së infektuar, nuk do të rritet ose ruhet, si në tokë ose kudo tjetër;</w:t>
      </w:r>
    </w:p>
    <w:p w14:paraId="04B49A7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c) dheu duhet të hiqet nga bimët e ndryshme nga ato të përmendura në shkronjat “a” dhe “b”, me metoda të përshtatshme që sigurojnë se nuk ka risk të identifikueshëm të përhapjes së dëmtuesit të specifikuar, përpara se këto bimë të zhvendosen nga zona e infektuar në zonën e sigurisë ose jashtë zonës së shënuar ose menjëherë pas saj;</w:t>
      </w:r>
    </w:p>
    <w:p w14:paraId="1F97BA94"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lastRenderedPageBreak/>
        <w:t>ç) makineritë duhet të pastrohen nga dheu dhe mbeturinat e bimëve, përpara ose menjëherë pasi të zhvendosen nga zona e infektuar dhe përpara se të hyjnë në ndonjë vend prodhimi që ndodhet në zonën e sigurisë ose jashtë zonës së përcaktuar;</w:t>
      </w:r>
    </w:p>
    <w:p w14:paraId="1ADD7B56"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d) çdo tokë ose mbeturina me origjinë nga një zonë e infektuar mund të zhvendoset dhe përdoret ose depozitohet jashtë asaj zone vetëm në kushte që sigurojnë që nuk ka risk të identifikueshëm të përhapjes së dëmtuesit të specifikuar.</w:t>
      </w:r>
    </w:p>
    <w:p w14:paraId="3DD1553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Bimët e tjera nga ato të përmendura në shkronjat “a” dhe “b” të pikës 2, nga të cilat nuk është hequr dheu mund të zhvendosen nga zona e përcaktuar vetëm nëse plotësohen dy kushtet e mëposhtme:</w:t>
      </w:r>
    </w:p>
    <w:p w14:paraId="22BF7AB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a) ato transportohen me qëllim të heqjes së dheut nga ato bimë me metoda të përshtatshme që sigurojnë se nuk ka risk të identifikueshëm të përhapjes së dëmtuesit të specifikuar;</w:t>
      </w:r>
    </w:p>
    <w:p w14:paraId="26D4C1B6" w14:textId="169508C9"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b) transporti dhe heqja e dheut bëhet nën mbikëqyrjen zyrtare dhe janë marrë masat e duhura për të parandaluar në mënyrë efektive përhapjen e dëmtuesit të specifikuar.</w:t>
      </w:r>
    </w:p>
    <w:p w14:paraId="4B18322B" w14:textId="383E18A2"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4. AKVMB</w:t>
      </w:r>
      <w:r w:rsidR="00FE7C52">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siguron që:</w:t>
      </w:r>
    </w:p>
    <w:p w14:paraId="7A49674C"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a) në zonën e sigurisë, nuk rriten bimë të destinuara për rimbjellje jashtë zonës së përcaktuar;</w:t>
      </w:r>
    </w:p>
    <w:p w14:paraId="6D0CB9FB" w14:textId="03CA59DD"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b) në zonën e sigurisë, rriten vetëm bimë të specifikuara të një varieteti, i cili është rezistent ndaj patotipave të dëmtuesit të specifikuar që gjenden në zonën e infektuar ose ndaj të gjithë patotipeve që dihet se ndodhen në vend, siç parashikohet në nenin 7, përveç atyre për prodhimin e bimëve të specifikuara për mbjellje</w:t>
      </w:r>
      <w:r w:rsidR="00D66005">
        <w:rPr>
          <w:rFonts w:ascii="Garamond" w:eastAsiaTheme="minorHAnsi" w:hAnsi="Garamond"/>
          <w:bCs/>
          <w:color w:val="000000"/>
          <w:lang w:eastAsia="en-US"/>
        </w:rPr>
        <w:t>; dhe</w:t>
      </w:r>
    </w:p>
    <w:p w14:paraId="1C47B744" w14:textId="77777777" w:rsidR="00163E2D" w:rsidRPr="00B915B8" w:rsidRDefault="00163E2D" w:rsidP="00ED6E83">
      <w:pPr>
        <w:shd w:val="clear" w:color="auto" w:fill="FFFFFF"/>
        <w:ind w:firstLine="284"/>
        <w:jc w:val="both"/>
        <w:textAlignment w:val="baseline"/>
        <w:rPr>
          <w:rFonts w:ascii="Garamond" w:eastAsiaTheme="minorHAnsi" w:hAnsi="Garamond"/>
          <w:bCs/>
          <w:color w:val="000000"/>
          <w:lang w:eastAsia="en-US"/>
        </w:rPr>
      </w:pPr>
      <w:r w:rsidRPr="00B915B8">
        <w:rPr>
          <w:rFonts w:ascii="Garamond" w:eastAsiaTheme="minorHAnsi" w:hAnsi="Garamond"/>
          <w:bCs/>
          <w:color w:val="000000"/>
          <w:lang w:eastAsia="en-US"/>
        </w:rPr>
        <w:t>c) çdo sasi dheu ose mbeturina me origjinë nga zona e sigurisë zhvendoset dhe përdoret ose depozitohet jashtë zonës së përcaktuar në kushte të tilla që të mos ketë risk të identifikueshëm të përhapjes së dëmtuesit të specifikuar.</w:t>
      </w:r>
    </w:p>
    <w:p w14:paraId="064E6088" w14:textId="0BA32697" w:rsidR="00163E2D" w:rsidRPr="00B915B8" w:rsidRDefault="00163E2D" w:rsidP="00163E2D">
      <w:pPr>
        <w:autoSpaceDE w:val="0"/>
        <w:autoSpaceDN w:val="0"/>
        <w:adjustRightInd w:val="0"/>
        <w:ind w:firstLine="284"/>
        <w:rPr>
          <w:rFonts w:ascii="Garamond" w:eastAsiaTheme="minorHAnsi" w:hAnsi="Garamond"/>
          <w:bCs/>
          <w:color w:val="000000"/>
          <w:lang w:eastAsia="en-US"/>
        </w:rPr>
      </w:pPr>
      <w:r w:rsidRPr="00B915B8">
        <w:rPr>
          <w:rFonts w:ascii="Garamond" w:eastAsiaTheme="minorHAnsi" w:hAnsi="Garamond"/>
          <w:bCs/>
          <w:color w:val="000000"/>
          <w:lang w:eastAsia="en-US"/>
        </w:rPr>
        <w:t>5. AKVMB</w:t>
      </w:r>
      <w:r w:rsidR="00ED6E83">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i njofton këto masa SPMB-së, menjëherë pasi ato të jenë marrë.</w:t>
      </w:r>
    </w:p>
    <w:p w14:paraId="07D9F70F" w14:textId="77777777" w:rsidR="00163E2D" w:rsidRPr="00B915B8" w:rsidRDefault="00163E2D" w:rsidP="00163E2D">
      <w:pPr>
        <w:autoSpaceDE w:val="0"/>
        <w:autoSpaceDN w:val="0"/>
        <w:adjustRightInd w:val="0"/>
        <w:ind w:firstLine="284"/>
        <w:rPr>
          <w:rFonts w:ascii="Garamond" w:eastAsiaTheme="minorHAnsi" w:hAnsi="Garamond"/>
          <w:bCs/>
          <w:color w:val="000000"/>
          <w:lang w:eastAsia="en-US"/>
        </w:rPr>
      </w:pPr>
    </w:p>
    <w:p w14:paraId="4FE7B006"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7</w:t>
      </w:r>
    </w:p>
    <w:p w14:paraId="0658AB27"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Varietetet e patates rezistente ndaj patotipeve të dëmtuesve të specifikuar</w:t>
      </w:r>
    </w:p>
    <w:p w14:paraId="12AAA9E6"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38448EE8"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Një varietet patate duhet të përcaktohet si rezistent ndaj një patotipi të caktuar të dëmtuesit të specifikuar, kur ajo reagon ndaj një kontaminimi nga agjenti patogjen i atij patotipi në mënyrë të tillë që të mos krijohen spore në fazën e dimërimit.</w:t>
      </w:r>
    </w:p>
    <w:p w14:paraId="392B3685"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Testimi për rezistencën kryhet në përputhje me protokollin e përcaktuar në aneksin III bashkëlidhur këtij udhëzimi. Shkalla e rezistencës së varieteteve të patates përcaktohet në përputhje me vendosjen e pikëve standarde të përcaktuar në tabelën në aneksin III bashkëlidhur këtij udhëzimi.</w:t>
      </w:r>
    </w:p>
    <w:p w14:paraId="49D756C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Enti Shtetëror i Farave dhe Fidanëve në bashkëpunim me AKVMB-në, njoftojnë SPMB-në, brenda datës 31 janar të çdo viti, listën e të gjitha varieteteve të reja të patateve që kanë certifikuar për tregtim në vitin paraardhës dhe që kanë gjetur, duke kryer testime të përmendur në pikën 2 të këtij neni, të jetë rezistent ndaj dëmtuesit të specifikuar. Ato duhet të deklarojnë varietetet së bashku me patotipet ndaj të cilave ato janë rezistente, si dhe metodën e përdorur për të përcaktuar atë rezistencë.</w:t>
      </w:r>
    </w:p>
    <w:p w14:paraId="652998B7"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p>
    <w:p w14:paraId="07D47EB3"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8</w:t>
      </w:r>
    </w:p>
    <w:p w14:paraId="7E0D40D0"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Njoftimi për praninë e konfirmuar të dëmtuesit të specifikuar në një varietet rezistent patateje</w:t>
      </w:r>
    </w:p>
    <w:p w14:paraId="5D7C56B5" w14:textId="77777777" w:rsidR="00163E2D" w:rsidRPr="00B915B8" w:rsidRDefault="00163E2D" w:rsidP="00163E2D">
      <w:pPr>
        <w:autoSpaceDE w:val="0"/>
        <w:autoSpaceDN w:val="0"/>
        <w:adjustRightInd w:val="0"/>
        <w:ind w:firstLine="284"/>
        <w:jc w:val="both"/>
        <w:rPr>
          <w:rFonts w:ascii="Garamond" w:eastAsiaTheme="minorHAnsi" w:hAnsi="Garamond"/>
          <w:b/>
          <w:bCs/>
          <w:color w:val="000000"/>
          <w:lang w:eastAsia="en-US"/>
        </w:rPr>
      </w:pPr>
    </w:p>
    <w:p w14:paraId="0617545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Operatorët profesionistë dhe çdo person tjetër që vihet në dijeni për ndonjë simptomë të dëmtuesit të specifikuar, që rezulton nga një dëmtim ose ndryshim në efektivitetin e një varieteti rezistent patateje, i cili lidhet me një ndryshim të dyshuar në patotipin e dëmtuesit të specifikuar ose patotipi i ri, njofton menjëherë AKVMB-në.</w:t>
      </w:r>
    </w:p>
    <w:p w14:paraId="480C623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 xml:space="preserve">2. Në të gjitha rastet e raportuara në përputhje me pikën 1 të këtij neni, AKVMB-ja hulumton patotipin e përfshirë dhe e konfirmon duke përdorur metodat e përcaktuara në anekset I dhe III </w:t>
      </w:r>
      <w:r w:rsidRPr="00B915B8">
        <w:rPr>
          <w:rFonts w:ascii="Garamond" w:eastAsiaTheme="minorHAnsi" w:hAnsi="Garamond"/>
          <w:bCs/>
          <w:color w:val="000000"/>
          <w:lang w:eastAsia="en-US"/>
        </w:rPr>
        <w:lastRenderedPageBreak/>
        <w:t>bashkëlidhur këtij udhëzimi, nëse prania është për shkak të një ndryshimi në patotipin e dëmtuesit të specifikuar ose të një patotipi të ri.</w:t>
      </w:r>
    </w:p>
    <w:p w14:paraId="1E21413C" w14:textId="18C681CE"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AKVMB</w:t>
      </w:r>
      <w:r w:rsidR="00A22FDF">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regjistron menjëherë informacionin e marrë në përputhje me pik</w:t>
      </w:r>
      <w:r w:rsidR="00A22FDF">
        <w:rPr>
          <w:rFonts w:ascii="Garamond" w:eastAsiaTheme="minorHAnsi" w:hAnsi="Garamond"/>
          <w:bCs/>
          <w:color w:val="000000"/>
          <w:lang w:eastAsia="en-US"/>
        </w:rPr>
        <w:t>at</w:t>
      </w:r>
      <w:r w:rsidRPr="00B915B8">
        <w:rPr>
          <w:rFonts w:ascii="Garamond" w:eastAsiaTheme="minorHAnsi" w:hAnsi="Garamond"/>
          <w:bCs/>
          <w:color w:val="000000"/>
          <w:lang w:eastAsia="en-US"/>
        </w:rPr>
        <w:t xml:space="preserve"> 1 dhe 2 të këtij neni.</w:t>
      </w:r>
    </w:p>
    <w:p w14:paraId="7CD05F6E" w14:textId="238DB036"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AKVMB</w:t>
      </w:r>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AKU</w:t>
      </w:r>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dhe ISUV</w:t>
      </w:r>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sipas fushës së përgjegjësisë informon në mënyrë të detajuar</w:t>
      </w:r>
      <w:r>
        <w:rPr>
          <w:rFonts w:ascii="Garamond" w:eastAsiaTheme="minorHAnsi" w:hAnsi="Garamond"/>
          <w:bCs/>
          <w:color w:val="000000"/>
          <w:lang w:eastAsia="en-US"/>
        </w:rPr>
        <w:t xml:space="preserve"> </w:t>
      </w:r>
      <w:r w:rsidRPr="00B915B8">
        <w:rPr>
          <w:rFonts w:ascii="Garamond" w:eastAsiaTheme="minorHAnsi" w:hAnsi="Garamond"/>
          <w:bCs/>
          <w:color w:val="000000"/>
          <w:lang w:eastAsia="en-US"/>
        </w:rPr>
        <w:t>SPMB-në, çdo vit deri më 31 janar, mbi konfirmimet e bëra në përputhje me pikën 2 të këtij neni, për vitin paraardhës.</w:t>
      </w:r>
    </w:p>
    <w:p w14:paraId="60E9E77C" w14:textId="77777777" w:rsidR="00163E2D" w:rsidRPr="00B915B8" w:rsidRDefault="00163E2D" w:rsidP="00163E2D">
      <w:pPr>
        <w:autoSpaceDE w:val="0"/>
        <w:autoSpaceDN w:val="0"/>
        <w:adjustRightInd w:val="0"/>
        <w:ind w:firstLine="284"/>
        <w:jc w:val="both"/>
        <w:rPr>
          <w:rFonts w:ascii="Garamond" w:eastAsiaTheme="minorHAnsi" w:hAnsi="Garamond"/>
          <w:b/>
          <w:bCs/>
          <w:color w:val="000000"/>
          <w:lang w:eastAsia="en-US"/>
        </w:rPr>
      </w:pPr>
    </w:p>
    <w:p w14:paraId="086268E0"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9</w:t>
      </w:r>
    </w:p>
    <w:p w14:paraId="425E1146"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Revokimi i masave</w:t>
      </w:r>
    </w:p>
    <w:p w14:paraId="2DC9713D"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2409FD97" w14:textId="199D6F9A"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AKVMB</w:t>
      </w:r>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mund të revokojë masat e miratuara në përputhje me nenin 6 në lidhje me një zonë të shënuar, kur kjo zonë e shënuar bëhet e pastër nga dëmtuesit e specifikuar në përputhje me kushtet e përcaktuara në aneksin IV bashkëlidhur këtij udhëzimi.</w:t>
      </w:r>
    </w:p>
    <w:p w14:paraId="2E5247D3" w14:textId="55343E75"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Pas revokimit të masave sipas pikës 1, AKVMB</w:t>
      </w:r>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inspekton vjeljen e kulturave të para të bimëve të specifikuara, të cilat janë të ndjeshme ndaj patotipit përkatës të dëmtuesit të specifikuar. Kjo kulturë e parë nuk do të zhvendoset jashtë zonës së shënuar derisa të kryhet ky inspektim, vetëm nëse lëvizja kryhet nën kontrollin e AKVMB-së.</w:t>
      </w:r>
    </w:p>
    <w:p w14:paraId="259A2572" w14:textId="761B96C1"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3. Me përjashtim të pikës 1, dhe pas të paktën 10 vjetësh nga zbulimi i fundit i dëmtuesit të specifikuar në pjesë të veçanta të zonës së infektuar, AKVMB</w:t>
      </w:r>
      <w:r w:rsidR="00CC2FF6">
        <w:rPr>
          <w:rFonts w:ascii="Garamond" w:eastAsiaTheme="minorHAnsi" w:hAnsi="Garamond"/>
          <w:bCs/>
          <w:color w:val="000000"/>
          <w:lang w:eastAsia="en-US"/>
        </w:rPr>
        <w:t>-ja</w:t>
      </w:r>
      <w:r w:rsidRPr="00B915B8">
        <w:rPr>
          <w:rFonts w:ascii="Garamond" w:eastAsiaTheme="minorHAnsi" w:hAnsi="Garamond"/>
          <w:bCs/>
          <w:color w:val="000000"/>
          <w:lang w:eastAsia="en-US"/>
        </w:rPr>
        <w:t xml:space="preserve"> mund të revokojë pjesërisht masat zbatuese në pjesët përkatëse të zonave të përcaktuara në fjalë, në përputhje me pikën 2 të aneksit IV bashkëlidhur këtij udhëzimi.</w:t>
      </w:r>
    </w:p>
    <w:p w14:paraId="259B5E4F"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4. Përjashtimisht nga shkronja “a” e pikës 2 të nenit 6, kur plotësohen kushtet për një revokim të pjesshëm të masave të parashikuara në nenin 6, bimët e specifikuara që nuk janë të destinuara për mbjellje mund të rriten me kusht që ato janë të një varieteti që është rezistent ndaj patotipeve të dëmtuesit të specifikuar që gjenden në vendndodhjen e infektuar të prodhimit ose ndaj të gjithë patotipeve që dihet se janë prezent në vend.</w:t>
      </w:r>
    </w:p>
    <w:p w14:paraId="547DB2A6"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p>
    <w:p w14:paraId="753B5BC0" w14:textId="77777777" w:rsidR="00163E2D" w:rsidRPr="007A4E6B" w:rsidRDefault="00163E2D" w:rsidP="00163E2D">
      <w:pPr>
        <w:autoSpaceDE w:val="0"/>
        <w:autoSpaceDN w:val="0"/>
        <w:adjustRightInd w:val="0"/>
        <w:ind w:firstLine="284"/>
        <w:jc w:val="center"/>
        <w:rPr>
          <w:rFonts w:ascii="Garamond" w:eastAsiaTheme="minorHAnsi" w:hAnsi="Garamond"/>
          <w:bCs/>
          <w:color w:val="000000"/>
          <w:lang w:eastAsia="en-US"/>
        </w:rPr>
      </w:pPr>
      <w:r w:rsidRPr="007A4E6B">
        <w:rPr>
          <w:rFonts w:ascii="Garamond" w:eastAsiaTheme="minorHAnsi" w:hAnsi="Garamond"/>
          <w:bCs/>
          <w:color w:val="000000"/>
          <w:lang w:eastAsia="en-US"/>
        </w:rPr>
        <w:t>Neni 10</w:t>
      </w:r>
    </w:p>
    <w:p w14:paraId="013BBF9A"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r w:rsidRPr="00B915B8">
        <w:rPr>
          <w:rFonts w:ascii="Garamond" w:eastAsiaTheme="minorHAnsi" w:hAnsi="Garamond"/>
          <w:b/>
          <w:bCs/>
          <w:color w:val="000000"/>
          <w:lang w:eastAsia="en-US"/>
        </w:rPr>
        <w:t>Dispozitat përfundimtare</w:t>
      </w:r>
    </w:p>
    <w:p w14:paraId="6C322B51" w14:textId="77777777" w:rsidR="00163E2D" w:rsidRPr="00B915B8" w:rsidRDefault="00163E2D" w:rsidP="00163E2D">
      <w:pPr>
        <w:autoSpaceDE w:val="0"/>
        <w:autoSpaceDN w:val="0"/>
        <w:adjustRightInd w:val="0"/>
        <w:ind w:firstLine="284"/>
        <w:jc w:val="center"/>
        <w:rPr>
          <w:rFonts w:ascii="Garamond" w:eastAsiaTheme="minorHAnsi" w:hAnsi="Garamond"/>
          <w:b/>
          <w:bCs/>
          <w:color w:val="000000"/>
          <w:lang w:eastAsia="en-US"/>
        </w:rPr>
      </w:pPr>
    </w:p>
    <w:p w14:paraId="5BB4C15B"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1. Ngarkohen për zbatimin e këtij udhëzimi, Autoriteti Kombëtar i Veterinarisë dhe Mbrojtjes së Bimëve, Autoriteti Kombëtar i Ushqimit, Instituti i Sigurisë Ushqimore dhe Veterinarisë dhe Enti Shtetëror i Farave dhe Fidanëve.</w:t>
      </w:r>
    </w:p>
    <w:p w14:paraId="406A99E6" w14:textId="77777777" w:rsidR="00163E2D" w:rsidRPr="00B915B8" w:rsidRDefault="00163E2D" w:rsidP="00163E2D">
      <w:pPr>
        <w:autoSpaceDE w:val="0"/>
        <w:autoSpaceDN w:val="0"/>
        <w:adjustRightInd w:val="0"/>
        <w:ind w:firstLine="284"/>
        <w:jc w:val="both"/>
        <w:rPr>
          <w:rFonts w:ascii="Garamond" w:eastAsiaTheme="minorHAnsi" w:hAnsi="Garamond"/>
          <w:bCs/>
          <w:color w:val="000000"/>
          <w:lang w:eastAsia="en-US"/>
        </w:rPr>
      </w:pPr>
      <w:r w:rsidRPr="00B915B8">
        <w:rPr>
          <w:rFonts w:ascii="Garamond" w:eastAsiaTheme="minorHAnsi" w:hAnsi="Garamond"/>
          <w:bCs/>
          <w:color w:val="000000"/>
          <w:lang w:eastAsia="en-US"/>
        </w:rPr>
        <w:t>2. Ky udhëzim hyn në fuqi pas botimit në Fletoren Zyrtare dhe i shtrin efektet nga data 15 janar 2025.</w:t>
      </w:r>
    </w:p>
    <w:p w14:paraId="549EDE3A" w14:textId="77777777" w:rsidR="00163E2D" w:rsidRPr="00B915B8" w:rsidRDefault="00163E2D" w:rsidP="00163E2D">
      <w:pPr>
        <w:ind w:firstLine="284"/>
        <w:jc w:val="both"/>
        <w:rPr>
          <w:rFonts w:ascii="Garamond" w:hAnsi="Garamond"/>
          <w:b/>
          <w:color w:val="000000" w:themeColor="text1"/>
        </w:rPr>
      </w:pPr>
    </w:p>
    <w:p w14:paraId="6DC03075" w14:textId="77777777" w:rsidR="00163E2D" w:rsidRPr="00195D96" w:rsidRDefault="00163E2D" w:rsidP="00163E2D">
      <w:pPr>
        <w:ind w:firstLine="284"/>
        <w:jc w:val="right"/>
        <w:rPr>
          <w:rFonts w:ascii="Garamond" w:hAnsi="Garamond" w:cs="Garamond"/>
        </w:rPr>
      </w:pPr>
      <w:r w:rsidRPr="00195D96">
        <w:rPr>
          <w:rFonts w:ascii="Garamond" w:hAnsi="Garamond" w:cs="Garamond"/>
        </w:rPr>
        <w:t>MINISTËR I BUJQËSISË DHE ZHVILLIMIT RURAL</w:t>
      </w:r>
    </w:p>
    <w:p w14:paraId="010FED19" w14:textId="77777777" w:rsidR="00163E2D" w:rsidRDefault="00163E2D" w:rsidP="00163E2D">
      <w:pPr>
        <w:ind w:firstLine="284"/>
        <w:jc w:val="right"/>
        <w:rPr>
          <w:rFonts w:ascii="Garamond" w:hAnsi="Garamond" w:cs="Garamond"/>
          <w:b/>
          <w:bCs/>
        </w:rPr>
      </w:pPr>
      <w:r w:rsidRPr="00195D96">
        <w:rPr>
          <w:rFonts w:ascii="Garamond" w:hAnsi="Garamond" w:cs="Garamond"/>
          <w:b/>
          <w:bCs/>
        </w:rPr>
        <w:t>Anila Denaj</w:t>
      </w:r>
    </w:p>
    <w:p w14:paraId="5B077D78" w14:textId="77777777" w:rsidR="00163E2D" w:rsidRDefault="00163E2D" w:rsidP="00163E2D">
      <w:pPr>
        <w:ind w:firstLine="284"/>
        <w:jc w:val="right"/>
        <w:rPr>
          <w:rFonts w:ascii="Garamond" w:eastAsiaTheme="minorHAnsi" w:hAnsi="Garamond"/>
          <w:bCs/>
          <w:color w:val="000000" w:themeColor="text1"/>
          <w:lang w:eastAsia="en-US"/>
        </w:rPr>
      </w:pPr>
    </w:p>
    <w:p w14:paraId="298D3B82" w14:textId="77777777" w:rsidR="00AC4DA6" w:rsidRDefault="00AC4DA6" w:rsidP="00163E2D">
      <w:pPr>
        <w:ind w:firstLine="284"/>
        <w:jc w:val="right"/>
        <w:rPr>
          <w:rFonts w:ascii="Garamond" w:eastAsiaTheme="minorHAnsi" w:hAnsi="Garamond"/>
          <w:bCs/>
          <w:color w:val="000000" w:themeColor="text1"/>
          <w:lang w:eastAsia="en-US"/>
        </w:rPr>
      </w:pPr>
    </w:p>
    <w:p w14:paraId="2A30BB87" w14:textId="77777777" w:rsidR="00AC4DA6" w:rsidRDefault="00AC4DA6" w:rsidP="00163E2D">
      <w:pPr>
        <w:ind w:firstLine="284"/>
        <w:jc w:val="right"/>
        <w:rPr>
          <w:rFonts w:ascii="Garamond" w:eastAsiaTheme="minorHAnsi" w:hAnsi="Garamond"/>
          <w:bCs/>
          <w:color w:val="000000" w:themeColor="text1"/>
          <w:lang w:eastAsia="en-US"/>
        </w:rPr>
      </w:pPr>
    </w:p>
    <w:p w14:paraId="2A96E098" w14:textId="77777777" w:rsidR="00AC4DA6" w:rsidRDefault="00AC4DA6" w:rsidP="00163E2D">
      <w:pPr>
        <w:ind w:firstLine="284"/>
        <w:jc w:val="right"/>
        <w:rPr>
          <w:rFonts w:ascii="Garamond" w:eastAsiaTheme="minorHAnsi" w:hAnsi="Garamond"/>
          <w:bCs/>
          <w:color w:val="000000" w:themeColor="text1"/>
          <w:lang w:eastAsia="en-US"/>
        </w:rPr>
      </w:pPr>
    </w:p>
    <w:p w14:paraId="7932E3AF" w14:textId="77777777" w:rsidR="00AC4DA6" w:rsidRDefault="00AC4DA6" w:rsidP="00163E2D">
      <w:pPr>
        <w:ind w:firstLine="284"/>
        <w:jc w:val="right"/>
        <w:rPr>
          <w:rFonts w:ascii="Garamond" w:eastAsiaTheme="minorHAnsi" w:hAnsi="Garamond"/>
          <w:bCs/>
          <w:color w:val="000000" w:themeColor="text1"/>
          <w:lang w:eastAsia="en-US"/>
        </w:rPr>
      </w:pPr>
    </w:p>
    <w:p w14:paraId="3055A0D1" w14:textId="77777777" w:rsidR="00AC4DA6" w:rsidRDefault="00AC4DA6" w:rsidP="00163E2D">
      <w:pPr>
        <w:ind w:firstLine="284"/>
        <w:jc w:val="right"/>
        <w:rPr>
          <w:rFonts w:ascii="Garamond" w:eastAsiaTheme="minorHAnsi" w:hAnsi="Garamond"/>
          <w:bCs/>
          <w:color w:val="000000" w:themeColor="text1"/>
          <w:lang w:eastAsia="en-US"/>
        </w:rPr>
      </w:pPr>
    </w:p>
    <w:p w14:paraId="60074FA9" w14:textId="77777777" w:rsidR="00AC4DA6" w:rsidRDefault="00AC4DA6" w:rsidP="00163E2D">
      <w:pPr>
        <w:ind w:firstLine="284"/>
        <w:jc w:val="right"/>
        <w:rPr>
          <w:rFonts w:ascii="Garamond" w:eastAsiaTheme="minorHAnsi" w:hAnsi="Garamond"/>
          <w:bCs/>
          <w:color w:val="000000" w:themeColor="text1"/>
          <w:lang w:eastAsia="en-US"/>
        </w:rPr>
      </w:pPr>
    </w:p>
    <w:p w14:paraId="1387E927" w14:textId="77777777" w:rsidR="00AC4DA6" w:rsidRDefault="00AC4DA6" w:rsidP="00163E2D">
      <w:pPr>
        <w:ind w:firstLine="284"/>
        <w:jc w:val="right"/>
        <w:rPr>
          <w:rFonts w:ascii="Garamond" w:eastAsiaTheme="minorHAnsi" w:hAnsi="Garamond"/>
          <w:bCs/>
          <w:color w:val="000000" w:themeColor="text1"/>
          <w:lang w:eastAsia="en-US"/>
        </w:rPr>
      </w:pPr>
    </w:p>
    <w:p w14:paraId="60084014" w14:textId="77777777" w:rsidR="00AC4DA6" w:rsidRDefault="00AC4DA6" w:rsidP="00163E2D">
      <w:pPr>
        <w:ind w:firstLine="284"/>
        <w:jc w:val="right"/>
        <w:rPr>
          <w:rFonts w:ascii="Garamond" w:eastAsiaTheme="minorHAnsi" w:hAnsi="Garamond"/>
          <w:bCs/>
          <w:color w:val="000000" w:themeColor="text1"/>
          <w:lang w:eastAsia="en-US"/>
        </w:rPr>
      </w:pPr>
    </w:p>
    <w:p w14:paraId="378F20F9" w14:textId="77777777" w:rsidR="00AC4DA6" w:rsidRDefault="00AC4DA6" w:rsidP="00163E2D">
      <w:pPr>
        <w:ind w:firstLine="284"/>
        <w:jc w:val="right"/>
        <w:rPr>
          <w:rFonts w:ascii="Garamond" w:eastAsiaTheme="minorHAnsi" w:hAnsi="Garamond"/>
          <w:bCs/>
          <w:color w:val="000000" w:themeColor="text1"/>
          <w:lang w:eastAsia="en-US"/>
        </w:rPr>
      </w:pPr>
    </w:p>
    <w:p w14:paraId="08F0C4E8" w14:textId="77777777" w:rsidR="00AC4DA6" w:rsidRDefault="00AC4DA6" w:rsidP="00163E2D">
      <w:pPr>
        <w:ind w:firstLine="284"/>
        <w:jc w:val="right"/>
        <w:rPr>
          <w:rFonts w:ascii="Garamond" w:eastAsiaTheme="minorHAnsi" w:hAnsi="Garamond"/>
          <w:bCs/>
          <w:color w:val="000000" w:themeColor="text1"/>
          <w:lang w:eastAsia="en-US"/>
        </w:rPr>
      </w:pPr>
    </w:p>
    <w:p w14:paraId="17BEA098" w14:textId="77777777" w:rsidR="00AC4DA6" w:rsidRDefault="00AC4DA6" w:rsidP="00163E2D">
      <w:pPr>
        <w:ind w:firstLine="284"/>
        <w:jc w:val="right"/>
        <w:rPr>
          <w:rFonts w:ascii="Garamond" w:eastAsiaTheme="minorHAnsi" w:hAnsi="Garamond"/>
          <w:bCs/>
          <w:color w:val="000000" w:themeColor="text1"/>
          <w:lang w:eastAsia="en-US"/>
        </w:rPr>
      </w:pPr>
    </w:p>
    <w:p w14:paraId="0723B66C" w14:textId="77777777" w:rsidR="00AC4DA6" w:rsidRDefault="00AC4DA6" w:rsidP="00163E2D">
      <w:pPr>
        <w:ind w:firstLine="284"/>
        <w:jc w:val="right"/>
        <w:rPr>
          <w:rFonts w:ascii="Garamond" w:eastAsiaTheme="minorHAnsi" w:hAnsi="Garamond"/>
          <w:bCs/>
          <w:color w:val="000000" w:themeColor="text1"/>
          <w:lang w:eastAsia="en-US"/>
        </w:rPr>
      </w:pPr>
    </w:p>
    <w:p w14:paraId="2C5340AD" w14:textId="32419F86" w:rsidR="005310B7" w:rsidRPr="00CC2FF6" w:rsidRDefault="00CC2FF6" w:rsidP="00F5176E">
      <w:pPr>
        <w:autoSpaceDE w:val="0"/>
        <w:autoSpaceDN w:val="0"/>
        <w:adjustRightInd w:val="0"/>
        <w:ind w:firstLine="284"/>
        <w:jc w:val="center"/>
        <w:rPr>
          <w:rFonts w:ascii="Garamond" w:eastAsiaTheme="minorHAnsi" w:hAnsi="Garamond"/>
          <w:bCs/>
          <w:color w:val="000000"/>
          <w:lang w:eastAsia="en-US"/>
        </w:rPr>
      </w:pPr>
      <w:r w:rsidRPr="00CC2FF6">
        <w:rPr>
          <w:rFonts w:ascii="Garamond" w:eastAsiaTheme="minorHAnsi" w:hAnsi="Garamond"/>
          <w:bCs/>
          <w:color w:val="000000"/>
          <w:lang w:eastAsia="en-US"/>
        </w:rPr>
        <w:t>ANEKSI I</w:t>
      </w:r>
    </w:p>
    <w:p w14:paraId="10E4FD53" w14:textId="5B9C57E6" w:rsidR="005310B7" w:rsidRPr="00CC2FF6" w:rsidRDefault="00CC2FF6" w:rsidP="00F5176E">
      <w:pPr>
        <w:autoSpaceDE w:val="0"/>
        <w:autoSpaceDN w:val="0"/>
        <w:adjustRightInd w:val="0"/>
        <w:ind w:firstLine="284"/>
        <w:jc w:val="center"/>
        <w:rPr>
          <w:rFonts w:ascii="Garamond" w:eastAsiaTheme="minorHAnsi" w:hAnsi="Garamond"/>
          <w:bCs/>
          <w:color w:val="000000"/>
          <w:lang w:eastAsia="en-US"/>
        </w:rPr>
      </w:pPr>
      <w:r w:rsidRPr="00CC2FF6">
        <w:rPr>
          <w:rFonts w:ascii="Garamond" w:eastAsiaTheme="minorHAnsi" w:hAnsi="Garamond"/>
          <w:bCs/>
          <w:color w:val="000000"/>
          <w:lang w:eastAsia="en-US"/>
        </w:rPr>
        <w:t>METODAT E TESTIMIT PËR ZBULIMIN DHE IDENTIFIKIMIN E DËMTUESIT TË SPECIFIKUAR TË PËRMENDUR NË PIKËN 2 TË NENIT 3</w:t>
      </w:r>
    </w:p>
    <w:p w14:paraId="510B2348" w14:textId="77777777" w:rsidR="005310B7" w:rsidRPr="00F5176E" w:rsidRDefault="005310B7" w:rsidP="00F5176E">
      <w:pPr>
        <w:autoSpaceDE w:val="0"/>
        <w:autoSpaceDN w:val="0"/>
        <w:adjustRightInd w:val="0"/>
        <w:ind w:firstLine="284"/>
        <w:jc w:val="center"/>
        <w:rPr>
          <w:rFonts w:ascii="Garamond" w:eastAsiaTheme="minorHAnsi" w:hAnsi="Garamond"/>
          <w:b/>
          <w:bCs/>
          <w:color w:val="000000"/>
          <w:lang w:eastAsia="en-US"/>
        </w:rPr>
      </w:pPr>
    </w:p>
    <w:p w14:paraId="3BD70FC7" w14:textId="77777777"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1. Testimi me anë të sporeve</w:t>
      </w:r>
    </w:p>
    <w:p w14:paraId="448508BA" w14:textId="650C668A"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 zbulimin dhe identifikimin përdoren </w:t>
      </w:r>
      <w:r w:rsidR="007024DE" w:rsidRPr="00F5176E">
        <w:rPr>
          <w:rFonts w:ascii="Garamond" w:eastAsiaTheme="minorHAnsi" w:hAnsi="Garamond"/>
          <w:bCs/>
          <w:color w:val="000000"/>
          <w:lang w:eastAsia="en-US"/>
        </w:rPr>
        <w:t>spor</w:t>
      </w:r>
      <w:r w:rsidR="0075779D" w:rsidRPr="00F5176E">
        <w:rPr>
          <w:rFonts w:ascii="Garamond" w:eastAsiaTheme="minorHAnsi" w:hAnsi="Garamond"/>
          <w:bCs/>
          <w:color w:val="000000"/>
          <w:lang w:eastAsia="en-US"/>
        </w:rPr>
        <w:t>e</w:t>
      </w:r>
      <w:r w:rsidR="00876EEE" w:rsidRPr="00F5176E">
        <w:rPr>
          <w:rFonts w:ascii="Garamond" w:eastAsiaTheme="minorHAnsi" w:hAnsi="Garamond"/>
          <w:bCs/>
          <w:color w:val="000000"/>
          <w:lang w:eastAsia="en-US"/>
        </w:rPr>
        <w:t>t</w:t>
      </w:r>
      <w:r w:rsidR="0075779D"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verore dhe sporet e </w:t>
      </w:r>
      <w:r w:rsidR="00C3508B" w:rsidRPr="00F5176E">
        <w:rPr>
          <w:rFonts w:ascii="Garamond" w:eastAsiaTheme="minorHAnsi" w:hAnsi="Garamond"/>
          <w:bCs/>
          <w:color w:val="000000"/>
          <w:lang w:eastAsia="en-US"/>
        </w:rPr>
        <w:t>dimërimit</w:t>
      </w:r>
      <w:r w:rsidRPr="00F5176E">
        <w:rPr>
          <w:rFonts w:ascii="Garamond" w:eastAsiaTheme="minorHAnsi" w:hAnsi="Garamond"/>
          <w:bCs/>
          <w:color w:val="000000"/>
          <w:lang w:eastAsia="en-US"/>
        </w:rPr>
        <w:t xml:space="preserve">, të </w:t>
      </w:r>
      <w:r w:rsidR="0075779D" w:rsidRPr="00F5176E">
        <w:rPr>
          <w:rFonts w:ascii="Garamond" w:eastAsiaTheme="minorHAnsi" w:hAnsi="Garamond"/>
          <w:bCs/>
          <w:color w:val="000000"/>
          <w:lang w:eastAsia="en-US"/>
        </w:rPr>
        <w:t>marra</w:t>
      </w:r>
      <w:r w:rsidRPr="00F5176E">
        <w:rPr>
          <w:rFonts w:ascii="Garamond" w:eastAsiaTheme="minorHAnsi" w:hAnsi="Garamond"/>
          <w:bCs/>
          <w:color w:val="000000"/>
          <w:lang w:eastAsia="en-US"/>
        </w:rPr>
        <w:t xml:space="preserve"> nga toka pas si</w:t>
      </w:r>
      <w:r w:rsidR="0075779D" w:rsidRPr="00F5176E">
        <w:rPr>
          <w:rFonts w:ascii="Garamond" w:eastAsiaTheme="minorHAnsi" w:hAnsi="Garamond"/>
          <w:bCs/>
          <w:color w:val="000000"/>
          <w:lang w:eastAsia="en-US"/>
        </w:rPr>
        <w:t>tës</w:t>
      </w:r>
      <w:r w:rsidRPr="00F5176E">
        <w:rPr>
          <w:rFonts w:ascii="Garamond" w:eastAsiaTheme="minorHAnsi" w:hAnsi="Garamond"/>
          <w:bCs/>
          <w:color w:val="000000"/>
          <w:lang w:eastAsia="en-US"/>
        </w:rPr>
        <w:t xml:space="preserve"> ose direkt nga materiali bimor.</w:t>
      </w:r>
    </w:p>
    <w:p w14:paraId="3EACB3B1" w14:textId="77777777"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2. Metodat për zbulimin</w:t>
      </w:r>
    </w:p>
    <w:p w14:paraId="02766B44" w14:textId="77777777"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Për nxjerrjen e sporeve të dëmtuesit të specifikuar nga toka, duhet të përdoret një nga metodat e mëposhtme:</w:t>
      </w:r>
    </w:p>
    <w:p w14:paraId="13FDBAA4" w14:textId="6AE4F84F"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a) metoda e sitës së tokës, siç përshkruhet nga </w:t>
      </w:r>
      <w:r w:rsidR="0075779D" w:rsidRPr="00F5176E">
        <w:rPr>
          <w:rFonts w:ascii="Garamond" w:hAnsi="Garamond"/>
        </w:rPr>
        <w:t>Pratt</w:t>
      </w:r>
      <w:r w:rsidRPr="00F5176E">
        <w:rPr>
          <w:rFonts w:ascii="Garamond" w:eastAsiaTheme="minorHAnsi" w:hAnsi="Garamond"/>
          <w:bCs/>
          <w:color w:val="000000"/>
          <w:lang w:eastAsia="en-US"/>
        </w:rPr>
        <w:t xml:space="preserve"> (1976) (</w:t>
      </w:r>
      <w:r w:rsidRPr="00F5176E">
        <w:rPr>
          <w:rFonts w:ascii="Garamond" w:eastAsiaTheme="minorHAnsi" w:hAnsi="Garamond"/>
          <w:bCs/>
          <w:color w:val="000000"/>
          <w:vertAlign w:val="superscript"/>
          <w:lang w:eastAsia="en-US"/>
        </w:rPr>
        <w:t>1</w:t>
      </w:r>
      <w:r w:rsidRPr="00F5176E">
        <w:rPr>
          <w:rFonts w:ascii="Garamond" w:eastAsiaTheme="minorHAnsi" w:hAnsi="Garamond"/>
          <w:bCs/>
          <w:color w:val="000000"/>
          <w:lang w:eastAsia="en-US"/>
        </w:rPr>
        <w:t>);</w:t>
      </w:r>
    </w:p>
    <w:p w14:paraId="07EDDC22" w14:textId="454AA4FC"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b) metoda e sitës së tokës, siç përshkruhet nga </w:t>
      </w:r>
      <w:r w:rsidR="00CC2FF6" w:rsidRPr="00F5176E">
        <w:rPr>
          <w:rFonts w:ascii="Garamond" w:eastAsiaTheme="minorHAnsi" w:hAnsi="Garamond"/>
          <w:bCs/>
          <w:color w:val="000000"/>
          <w:lang w:eastAsia="en-US"/>
        </w:rPr>
        <w:t xml:space="preserve">Van </w:t>
      </w:r>
      <w:r w:rsidRPr="00F5176E">
        <w:rPr>
          <w:rFonts w:ascii="Garamond" w:eastAsiaTheme="minorHAnsi" w:hAnsi="Garamond"/>
          <w:bCs/>
          <w:color w:val="000000"/>
          <w:lang w:eastAsia="en-US"/>
        </w:rPr>
        <w:t xml:space="preserve">Leeuwen </w:t>
      </w:r>
      <w:r w:rsidRPr="00F5176E">
        <w:rPr>
          <w:rFonts w:ascii="Garamond" w:eastAsiaTheme="minorHAnsi" w:hAnsi="Garamond"/>
          <w:bCs/>
          <w:i/>
          <w:color w:val="000000"/>
          <w:lang w:eastAsia="en-US"/>
        </w:rPr>
        <w:t>et al</w:t>
      </w:r>
      <w:r w:rsidRPr="00F5176E">
        <w:rPr>
          <w:rFonts w:ascii="Garamond" w:eastAsiaTheme="minorHAnsi" w:hAnsi="Garamond"/>
          <w:bCs/>
          <w:color w:val="000000"/>
          <w:lang w:eastAsia="en-US"/>
        </w:rPr>
        <w:t>. (2005) (</w:t>
      </w:r>
      <w:r w:rsidRPr="00F5176E">
        <w:rPr>
          <w:rFonts w:ascii="Garamond" w:eastAsiaTheme="minorHAnsi" w:hAnsi="Garamond"/>
          <w:bCs/>
          <w:color w:val="000000"/>
          <w:vertAlign w:val="superscript"/>
          <w:lang w:eastAsia="en-US"/>
        </w:rPr>
        <w:t>2</w:t>
      </w:r>
      <w:r w:rsidRPr="00F5176E">
        <w:rPr>
          <w:rFonts w:ascii="Garamond" w:eastAsiaTheme="minorHAnsi" w:hAnsi="Garamond"/>
          <w:bCs/>
          <w:color w:val="000000"/>
          <w:lang w:eastAsia="en-US"/>
        </w:rPr>
        <w:t>);</w:t>
      </w:r>
    </w:p>
    <w:p w14:paraId="4B22B175" w14:textId="2284B4ED"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c) teknika e centrifugës zonale për përpunimin e mostrës me kapacitet të lartë, siç përshkruhet nga Wander </w:t>
      </w:r>
      <w:r w:rsidRPr="00F5176E">
        <w:rPr>
          <w:rFonts w:ascii="Garamond" w:eastAsiaTheme="minorHAnsi" w:hAnsi="Garamond"/>
          <w:bCs/>
          <w:i/>
          <w:color w:val="000000"/>
          <w:lang w:eastAsia="en-US"/>
        </w:rPr>
        <w:t>et al</w:t>
      </w:r>
      <w:r w:rsidRPr="00F5176E">
        <w:rPr>
          <w:rFonts w:ascii="Garamond" w:eastAsiaTheme="minorHAnsi" w:hAnsi="Garamond"/>
          <w:bCs/>
          <w:color w:val="000000"/>
          <w:lang w:eastAsia="en-US"/>
        </w:rPr>
        <w:t>. (2007) (</w:t>
      </w:r>
      <w:r w:rsidRPr="00F5176E">
        <w:rPr>
          <w:rFonts w:ascii="Garamond" w:eastAsiaTheme="minorHAnsi" w:hAnsi="Garamond"/>
          <w:bCs/>
          <w:color w:val="000000"/>
          <w:vertAlign w:val="superscript"/>
          <w:lang w:eastAsia="en-US"/>
        </w:rPr>
        <w:t>3</w:t>
      </w:r>
      <w:r w:rsidRPr="00F5176E">
        <w:rPr>
          <w:rFonts w:ascii="Garamond" w:eastAsiaTheme="minorHAnsi" w:hAnsi="Garamond"/>
          <w:bCs/>
          <w:color w:val="000000"/>
          <w:lang w:eastAsia="en-US"/>
        </w:rPr>
        <w:t>).</w:t>
      </w:r>
    </w:p>
    <w:p w14:paraId="0CFEBCAF" w14:textId="77777777"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3. Metodat e identifikimit</w:t>
      </w:r>
    </w:p>
    <w:p w14:paraId="23993D9F" w14:textId="77777777"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Pas nxjerrjes, sporet e dëmtuesit të specifikuar duhet të identifikohen me një nga metodat e mëposhtme:</w:t>
      </w:r>
    </w:p>
    <w:p w14:paraId="48DDD181" w14:textId="581DBC17"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a) identifikimi morfologjik nën një </w:t>
      </w:r>
      <w:r w:rsidR="004704EA" w:rsidRPr="00F5176E">
        <w:rPr>
          <w:rFonts w:ascii="Garamond" w:eastAsiaTheme="minorHAnsi" w:hAnsi="Garamond"/>
          <w:bCs/>
          <w:color w:val="000000"/>
          <w:lang w:eastAsia="en-US"/>
        </w:rPr>
        <w:t>mikroskop drite me zmadhim 100x-</w:t>
      </w:r>
      <w:r w:rsidRPr="00F5176E">
        <w:rPr>
          <w:rFonts w:ascii="Garamond" w:eastAsiaTheme="minorHAnsi" w:hAnsi="Garamond"/>
          <w:bCs/>
          <w:color w:val="000000"/>
          <w:lang w:eastAsia="en-US"/>
        </w:rPr>
        <w:t>400x;</w:t>
      </w:r>
    </w:p>
    <w:p w14:paraId="00BB2C6A" w14:textId="07C5AFF3"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b) PCR konvencionale duke përdorur p</w:t>
      </w:r>
      <w:r w:rsidR="004704EA" w:rsidRPr="00F5176E">
        <w:rPr>
          <w:rFonts w:ascii="Garamond" w:eastAsiaTheme="minorHAnsi" w:hAnsi="Garamond"/>
          <w:bCs/>
          <w:color w:val="000000"/>
          <w:lang w:eastAsia="en-US"/>
        </w:rPr>
        <w:t>rimer</w:t>
      </w:r>
      <w:r w:rsidR="00392A3E" w:rsidRPr="00F5176E">
        <w:rPr>
          <w:rFonts w:ascii="Garamond" w:eastAsiaTheme="minorHAnsi" w:hAnsi="Garamond"/>
          <w:bCs/>
          <w:color w:val="000000"/>
          <w:lang w:eastAsia="en-US"/>
        </w:rPr>
        <w:t>-a</w:t>
      </w:r>
      <w:r w:rsidRPr="00F5176E">
        <w:rPr>
          <w:rFonts w:ascii="Garamond" w:eastAsiaTheme="minorHAnsi" w:hAnsi="Garamond"/>
          <w:bCs/>
          <w:i/>
          <w:color w:val="000000"/>
          <w:lang w:eastAsia="en-US"/>
        </w:rPr>
        <w:t xml:space="preserve"> </w:t>
      </w:r>
      <w:r w:rsidRPr="00F5176E">
        <w:rPr>
          <w:rFonts w:ascii="Garamond" w:eastAsiaTheme="minorHAnsi" w:hAnsi="Garamond"/>
          <w:bCs/>
          <w:color w:val="000000"/>
          <w:lang w:eastAsia="en-US"/>
        </w:rPr>
        <w:t>të bazuar në Lévesque et al. (2001) (</w:t>
      </w:r>
      <w:r w:rsidRPr="00F5176E">
        <w:rPr>
          <w:rFonts w:ascii="Garamond" w:eastAsiaTheme="minorHAnsi" w:hAnsi="Garamond"/>
          <w:bCs/>
          <w:color w:val="000000"/>
          <w:vertAlign w:val="superscript"/>
          <w:lang w:eastAsia="en-US"/>
        </w:rPr>
        <w:t>4</w:t>
      </w:r>
      <w:r w:rsidRPr="00F5176E">
        <w:rPr>
          <w:rFonts w:ascii="Garamond" w:eastAsiaTheme="minorHAnsi" w:hAnsi="Garamond"/>
          <w:bCs/>
          <w:color w:val="000000"/>
          <w:lang w:eastAsia="en-US"/>
        </w:rPr>
        <w:t>) dhe van den Boogert et al. (2005) (</w:t>
      </w:r>
      <w:r w:rsidRPr="00F5176E">
        <w:rPr>
          <w:rFonts w:ascii="Garamond" w:eastAsiaTheme="minorHAnsi" w:hAnsi="Garamond"/>
          <w:bCs/>
          <w:color w:val="000000"/>
          <w:vertAlign w:val="superscript"/>
          <w:lang w:eastAsia="en-US"/>
        </w:rPr>
        <w:t>5</w:t>
      </w:r>
      <w:r w:rsidRPr="00F5176E">
        <w:rPr>
          <w:rFonts w:ascii="Garamond" w:eastAsiaTheme="minorHAnsi" w:hAnsi="Garamond"/>
          <w:bCs/>
          <w:color w:val="000000"/>
          <w:lang w:eastAsia="en-US"/>
        </w:rPr>
        <w:t>);</w:t>
      </w:r>
    </w:p>
    <w:p w14:paraId="27A39D39" w14:textId="5BCF536A"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c) </w:t>
      </w:r>
      <w:r w:rsidR="004704EA" w:rsidRPr="00CC2FF6">
        <w:rPr>
          <w:rFonts w:ascii="Garamond" w:hAnsi="Garamond"/>
          <w:i/>
        </w:rPr>
        <w:t>real-time</w:t>
      </w:r>
      <w:r w:rsidR="004704EA" w:rsidRPr="00F5176E">
        <w:rPr>
          <w:rFonts w:ascii="Garamond" w:hAnsi="Garamond"/>
        </w:rPr>
        <w:t xml:space="preserve"> </w:t>
      </w:r>
      <w:r w:rsidRPr="00F5176E">
        <w:rPr>
          <w:rFonts w:ascii="Garamond" w:eastAsiaTheme="minorHAnsi" w:hAnsi="Garamond"/>
          <w:bCs/>
          <w:color w:val="000000"/>
          <w:lang w:eastAsia="en-US"/>
        </w:rPr>
        <w:t xml:space="preserve">PCR duke përdorur </w:t>
      </w:r>
      <w:r w:rsidR="00392A3E" w:rsidRPr="00F5176E">
        <w:rPr>
          <w:rFonts w:ascii="Garamond" w:eastAsiaTheme="minorHAnsi" w:hAnsi="Garamond"/>
          <w:bCs/>
          <w:color w:val="000000"/>
          <w:lang w:eastAsia="en-US"/>
        </w:rPr>
        <w:t>primer-a</w:t>
      </w:r>
      <w:r w:rsidRPr="00F5176E">
        <w:rPr>
          <w:rFonts w:ascii="Garamond" w:eastAsiaTheme="minorHAnsi" w:hAnsi="Garamond"/>
          <w:bCs/>
          <w:color w:val="000000"/>
          <w:lang w:eastAsia="en-US"/>
        </w:rPr>
        <w:t xml:space="preserve"> dhe sonda pas </w:t>
      </w:r>
      <w:r w:rsidR="00CC2FF6" w:rsidRPr="00F5176E">
        <w:rPr>
          <w:rFonts w:ascii="Garamond" w:eastAsiaTheme="minorHAnsi" w:hAnsi="Garamond"/>
          <w:bCs/>
          <w:color w:val="000000"/>
          <w:lang w:eastAsia="en-US"/>
        </w:rPr>
        <w:t xml:space="preserve">Van </w:t>
      </w:r>
      <w:r w:rsidRPr="00F5176E">
        <w:rPr>
          <w:rFonts w:ascii="Garamond" w:eastAsiaTheme="minorHAnsi" w:hAnsi="Garamond"/>
          <w:bCs/>
          <w:color w:val="000000"/>
          <w:lang w:eastAsia="en-US"/>
        </w:rPr>
        <w:t>Gent-Pelzer et al. (2010) (</w:t>
      </w:r>
      <w:r w:rsidRPr="00F5176E">
        <w:rPr>
          <w:rFonts w:ascii="Garamond" w:eastAsiaTheme="minorHAnsi" w:hAnsi="Garamond"/>
          <w:bCs/>
          <w:color w:val="000000"/>
          <w:vertAlign w:val="superscript"/>
          <w:lang w:eastAsia="en-US"/>
        </w:rPr>
        <w:t>6</w:t>
      </w:r>
      <w:r w:rsidRPr="00F5176E">
        <w:rPr>
          <w:rFonts w:ascii="Garamond" w:eastAsiaTheme="minorHAnsi" w:hAnsi="Garamond"/>
          <w:bCs/>
          <w:color w:val="000000"/>
          <w:lang w:eastAsia="en-US"/>
        </w:rPr>
        <w:t>);</w:t>
      </w:r>
    </w:p>
    <w:p w14:paraId="4AD36ED2" w14:textId="65D51578" w:rsidR="005310B7" w:rsidRPr="00F5176E" w:rsidRDefault="004704EA"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ç</w:t>
      </w:r>
      <w:r w:rsidR="005310B7" w:rsidRPr="00F5176E">
        <w:rPr>
          <w:rFonts w:ascii="Garamond" w:eastAsiaTheme="minorHAnsi" w:hAnsi="Garamond"/>
          <w:bCs/>
          <w:color w:val="000000"/>
          <w:lang w:eastAsia="en-US"/>
        </w:rPr>
        <w:t xml:space="preserve">) </w:t>
      </w:r>
      <w:r w:rsidRPr="00CC2FF6">
        <w:rPr>
          <w:rFonts w:ascii="Garamond" w:hAnsi="Garamond"/>
          <w:i/>
        </w:rPr>
        <w:t>real-time</w:t>
      </w:r>
      <w:r w:rsidRPr="00F5176E">
        <w:rPr>
          <w:rFonts w:ascii="Garamond" w:hAnsi="Garamond"/>
        </w:rPr>
        <w:t xml:space="preserve"> </w:t>
      </w:r>
      <w:r w:rsidRPr="00F5176E">
        <w:rPr>
          <w:rFonts w:ascii="Garamond" w:eastAsiaTheme="minorHAnsi" w:hAnsi="Garamond"/>
          <w:bCs/>
          <w:color w:val="000000"/>
          <w:lang w:eastAsia="en-US"/>
        </w:rPr>
        <w:t>PCR në kohë reale duke përdorur primer</w:t>
      </w:r>
      <w:r w:rsidR="00392A3E" w:rsidRPr="00F5176E">
        <w:rPr>
          <w:rFonts w:ascii="Garamond" w:eastAsiaTheme="minorHAnsi" w:hAnsi="Garamond"/>
          <w:bCs/>
          <w:color w:val="000000"/>
          <w:lang w:eastAsia="en-US"/>
        </w:rPr>
        <w:t>-a</w:t>
      </w:r>
      <w:r w:rsidR="005310B7" w:rsidRPr="00F5176E">
        <w:rPr>
          <w:rFonts w:ascii="Garamond" w:eastAsiaTheme="minorHAnsi" w:hAnsi="Garamond"/>
          <w:bCs/>
          <w:color w:val="000000"/>
          <w:lang w:eastAsia="en-US"/>
        </w:rPr>
        <w:t xml:space="preserve"> dhe sonda pas Smith et al. (2014) (</w:t>
      </w:r>
      <w:r w:rsidR="005310B7" w:rsidRPr="00F5176E">
        <w:rPr>
          <w:rFonts w:ascii="Garamond" w:eastAsiaTheme="minorHAnsi" w:hAnsi="Garamond"/>
          <w:bCs/>
          <w:color w:val="000000"/>
          <w:vertAlign w:val="superscript"/>
          <w:lang w:eastAsia="en-US"/>
        </w:rPr>
        <w:t>7</w:t>
      </w:r>
      <w:r w:rsidR="005310B7" w:rsidRPr="00F5176E">
        <w:rPr>
          <w:rFonts w:ascii="Garamond" w:eastAsiaTheme="minorHAnsi" w:hAnsi="Garamond"/>
          <w:bCs/>
          <w:color w:val="000000"/>
          <w:lang w:eastAsia="en-US"/>
        </w:rPr>
        <w:t>).</w:t>
      </w:r>
    </w:p>
    <w:p w14:paraId="2C4F4ED6" w14:textId="21F9CBC4" w:rsidR="005310B7" w:rsidRPr="00F5176E" w:rsidRDefault="005310B7"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 xml:space="preserve">4. Qëndrueshmëria e sporeve </w:t>
      </w:r>
      <w:r w:rsidR="004704EA" w:rsidRPr="00F5176E">
        <w:rPr>
          <w:rFonts w:ascii="Garamond" w:eastAsiaTheme="minorHAnsi" w:hAnsi="Garamond"/>
          <w:b/>
          <w:bCs/>
          <w:color w:val="000000"/>
          <w:lang w:eastAsia="en-US"/>
        </w:rPr>
        <w:t>dimërore</w:t>
      </w:r>
    </w:p>
    <w:p w14:paraId="7990301F" w14:textId="3BBFF8A1"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Përcaktimi i qëndrueshmërisë së sporeve </w:t>
      </w:r>
      <w:r w:rsidR="004704EA" w:rsidRPr="00F5176E">
        <w:rPr>
          <w:rFonts w:ascii="Garamond" w:eastAsiaTheme="minorHAnsi" w:hAnsi="Garamond"/>
          <w:bCs/>
          <w:color w:val="000000"/>
          <w:lang w:eastAsia="en-US"/>
        </w:rPr>
        <w:t>dimërore</w:t>
      </w:r>
      <w:r w:rsidRPr="00F5176E">
        <w:rPr>
          <w:rFonts w:ascii="Garamond" w:eastAsiaTheme="minorHAnsi" w:hAnsi="Garamond"/>
          <w:bCs/>
          <w:color w:val="000000"/>
          <w:lang w:eastAsia="en-US"/>
        </w:rPr>
        <w:t xml:space="preserve"> mund të arrihet me ekzaminim mikroskopik ose </w:t>
      </w:r>
      <w:r w:rsidR="004704EA" w:rsidRPr="00F5176E">
        <w:rPr>
          <w:rFonts w:ascii="Garamond" w:eastAsiaTheme="minorHAnsi" w:hAnsi="Garamond"/>
          <w:bCs/>
          <w:color w:val="000000"/>
          <w:lang w:eastAsia="en-US"/>
        </w:rPr>
        <w:t>analizë biologjike</w:t>
      </w:r>
      <w:r w:rsidRPr="00F5176E">
        <w:rPr>
          <w:rFonts w:ascii="Garamond" w:eastAsiaTheme="minorHAnsi" w:hAnsi="Garamond"/>
          <w:bCs/>
          <w:color w:val="000000"/>
          <w:lang w:eastAsia="en-US"/>
        </w:rPr>
        <w:t>. Qëndrueshmëria e sporan</w:t>
      </w:r>
      <w:r w:rsidR="004704EA" w:rsidRPr="00F5176E">
        <w:rPr>
          <w:rFonts w:ascii="Garamond" w:eastAsiaTheme="minorHAnsi" w:hAnsi="Garamond"/>
          <w:bCs/>
          <w:color w:val="000000"/>
          <w:lang w:eastAsia="en-US"/>
        </w:rPr>
        <w:t>gjeve</w:t>
      </w:r>
      <w:r w:rsidRPr="00F5176E">
        <w:rPr>
          <w:rFonts w:ascii="Garamond" w:eastAsiaTheme="minorHAnsi" w:hAnsi="Garamond"/>
          <w:bCs/>
          <w:color w:val="000000"/>
          <w:lang w:eastAsia="en-US"/>
        </w:rPr>
        <w:t xml:space="preserve"> mund të përcaktohet nga ekzaminimi mikroskopik i sporang</w:t>
      </w:r>
      <w:r w:rsidR="004704EA" w:rsidRPr="00F5176E">
        <w:rPr>
          <w:rFonts w:ascii="Garamond" w:eastAsiaTheme="minorHAnsi" w:hAnsi="Garamond"/>
          <w:bCs/>
          <w:color w:val="000000"/>
          <w:lang w:eastAsia="en-US"/>
        </w:rPr>
        <w:t>jeve</w:t>
      </w:r>
      <w:r w:rsidRPr="00F5176E">
        <w:rPr>
          <w:rFonts w:ascii="Garamond" w:eastAsiaTheme="minorHAnsi" w:hAnsi="Garamond"/>
          <w:bCs/>
          <w:color w:val="000000"/>
          <w:lang w:eastAsia="en-US"/>
        </w:rPr>
        <w:t xml:space="preserve"> të </w:t>
      </w:r>
      <w:r w:rsidR="004704EA" w:rsidRPr="00F5176E">
        <w:rPr>
          <w:rFonts w:ascii="Garamond" w:eastAsiaTheme="minorHAnsi" w:hAnsi="Garamond"/>
          <w:bCs/>
          <w:color w:val="000000"/>
          <w:lang w:eastAsia="en-US"/>
        </w:rPr>
        <w:t>kaluar</w:t>
      </w:r>
      <w:r w:rsidRPr="00F5176E">
        <w:rPr>
          <w:rFonts w:ascii="Garamond" w:eastAsiaTheme="minorHAnsi" w:hAnsi="Garamond"/>
          <w:bCs/>
          <w:color w:val="000000"/>
          <w:lang w:eastAsia="en-US"/>
        </w:rPr>
        <w:t xml:space="preserve"> në laktofenol ose në ujë </w:t>
      </w:r>
      <w:r w:rsidR="004704EA" w:rsidRPr="00F5176E">
        <w:rPr>
          <w:rFonts w:ascii="Garamond" w:eastAsiaTheme="minorHAnsi" w:hAnsi="Garamond"/>
          <w:bCs/>
          <w:color w:val="000000"/>
          <w:lang w:eastAsia="en-US"/>
        </w:rPr>
        <w:t>(Przetakiewicz</w:t>
      </w:r>
      <w:r w:rsidRPr="00F5176E">
        <w:rPr>
          <w:rFonts w:ascii="Garamond" w:eastAsiaTheme="minorHAnsi" w:hAnsi="Garamond"/>
          <w:bCs/>
          <w:color w:val="000000"/>
          <w:lang w:eastAsia="en-US"/>
        </w:rPr>
        <w:t xml:space="preserve"> 2015) (</w:t>
      </w:r>
      <w:r w:rsidRPr="00F5176E">
        <w:rPr>
          <w:rFonts w:ascii="Garamond" w:eastAsiaTheme="minorHAnsi" w:hAnsi="Garamond"/>
          <w:bCs/>
          <w:color w:val="000000"/>
          <w:vertAlign w:val="superscript"/>
          <w:lang w:eastAsia="en-US"/>
        </w:rPr>
        <w:t>8</w:t>
      </w:r>
      <w:r w:rsidR="004704EA" w:rsidRPr="00F5176E">
        <w:rPr>
          <w:rFonts w:ascii="Garamond" w:eastAsiaTheme="minorHAnsi" w:hAnsi="Garamond"/>
          <w:bCs/>
          <w:color w:val="000000"/>
          <w:lang w:eastAsia="en-US"/>
        </w:rPr>
        <w:t>). Sporangjet</w:t>
      </w:r>
      <w:r w:rsidRPr="00F5176E">
        <w:rPr>
          <w:rFonts w:ascii="Garamond" w:eastAsiaTheme="minorHAnsi" w:hAnsi="Garamond"/>
          <w:bCs/>
          <w:color w:val="000000"/>
          <w:lang w:eastAsia="en-US"/>
        </w:rPr>
        <w:t xml:space="preserve"> me përmbajtje kokrrizore ose me protoplazmë pak të rrumbullakosur mund të konsiderohet e zbatueshme. Ato të plazmolizuara përgjithmonë ose pa përmbajtje të dukshme do të konsiderohen të vdekura.</w:t>
      </w:r>
    </w:p>
    <w:p w14:paraId="6CAEF253" w14:textId="3B443F88" w:rsidR="005310B7" w:rsidRPr="00F5176E" w:rsidRDefault="005310B7"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Si alternativë, ose në rast dyshimi, mund të kryhet një analizë biologjike, siç përshkruhet në pikën 3 të aneksit IV.</w:t>
      </w:r>
    </w:p>
    <w:p w14:paraId="51B64B7F" w14:textId="77777777" w:rsidR="006E7790" w:rsidRPr="00F5176E" w:rsidRDefault="006E7790" w:rsidP="001E45F8">
      <w:pPr>
        <w:autoSpaceDE w:val="0"/>
        <w:autoSpaceDN w:val="0"/>
        <w:adjustRightInd w:val="0"/>
        <w:ind w:firstLine="284"/>
        <w:jc w:val="both"/>
        <w:rPr>
          <w:rFonts w:ascii="Garamond" w:eastAsiaTheme="minorHAnsi" w:hAnsi="Garamond"/>
          <w:b/>
          <w:bCs/>
          <w:color w:val="000000"/>
          <w:lang w:eastAsia="en-US"/>
        </w:rPr>
      </w:pPr>
      <w:r w:rsidRPr="00F5176E">
        <w:rPr>
          <w:rFonts w:ascii="Garamond" w:eastAsiaTheme="minorHAnsi" w:hAnsi="Garamond"/>
          <w:b/>
          <w:bCs/>
          <w:color w:val="000000"/>
          <w:lang w:eastAsia="en-US"/>
        </w:rPr>
        <w:t>5. Përcaktimi i patotipeve</w:t>
      </w:r>
    </w:p>
    <w:p w14:paraId="40A1B4A1" w14:textId="4966B68C"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Përcaktimi i patotipeve kërko</w:t>
      </w:r>
      <w:r w:rsidR="00392A3E" w:rsidRPr="00F5176E">
        <w:rPr>
          <w:rFonts w:ascii="Garamond" w:eastAsiaTheme="minorHAnsi" w:hAnsi="Garamond"/>
          <w:bCs/>
          <w:color w:val="000000"/>
          <w:lang w:eastAsia="en-US"/>
        </w:rPr>
        <w:t>n</w:t>
      </w:r>
      <w:r w:rsidRPr="00F5176E">
        <w:rPr>
          <w:rFonts w:ascii="Garamond" w:eastAsiaTheme="minorHAnsi" w:hAnsi="Garamond"/>
          <w:bCs/>
          <w:color w:val="000000"/>
          <w:lang w:eastAsia="en-US"/>
        </w:rPr>
        <w:t xml:space="preserve"> </w:t>
      </w:r>
      <w:r w:rsidR="00900DE2" w:rsidRPr="00F5176E">
        <w:rPr>
          <w:rFonts w:ascii="Garamond" w:eastAsiaTheme="minorHAnsi" w:hAnsi="Garamond"/>
          <w:bCs/>
          <w:color w:val="000000"/>
          <w:lang w:eastAsia="en-US"/>
        </w:rPr>
        <w:t>simptoma</w:t>
      </w:r>
      <w:r w:rsidRPr="00F5176E">
        <w:rPr>
          <w:rFonts w:ascii="Garamond" w:eastAsiaTheme="minorHAnsi" w:hAnsi="Garamond"/>
          <w:bCs/>
          <w:color w:val="000000"/>
          <w:lang w:eastAsia="en-US"/>
        </w:rPr>
        <w:t xml:space="preserve"> të freskëta.</w:t>
      </w:r>
    </w:p>
    <w:p w14:paraId="32853AF7" w14:textId="0475EAE9"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Inokula për testim prodhohet me një nga metodat e mëposhtme:</w:t>
      </w:r>
    </w:p>
    <w:p w14:paraId="3C33E993" w14:textId="3AA594DB"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a) metoda e SASA (Shkenca dhe Këshilla për Bujqësinë Skoceze), e përbërë nga dy hapat e mëposhtëm:</w:t>
      </w:r>
    </w:p>
    <w:p w14:paraId="2E94900F" w14:textId="4C588BDD" w:rsidR="006E7790" w:rsidRPr="00F5176E" w:rsidRDefault="005B710D"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i</w:t>
      </w:r>
      <w:r w:rsidR="00914302">
        <w:rPr>
          <w:rFonts w:ascii="Garamond" w:eastAsiaTheme="minorHAnsi" w:hAnsi="Garamond"/>
          <w:bCs/>
          <w:color w:val="000000"/>
          <w:lang w:eastAsia="en-US"/>
        </w:rPr>
        <w:t>.</w:t>
      </w:r>
      <w:r w:rsidRPr="00F5176E">
        <w:rPr>
          <w:rFonts w:ascii="Garamond" w:eastAsiaTheme="minorHAnsi" w:hAnsi="Garamond"/>
          <w:bCs/>
          <w:color w:val="000000"/>
          <w:lang w:eastAsia="en-US"/>
        </w:rPr>
        <w:t xml:space="preserve"> </w:t>
      </w:r>
      <w:r w:rsidR="00392A3E" w:rsidRPr="00F5176E">
        <w:rPr>
          <w:rFonts w:ascii="Garamond" w:eastAsiaTheme="minorHAnsi" w:hAnsi="Garamond"/>
          <w:bCs/>
          <w:color w:val="000000"/>
          <w:lang w:eastAsia="en-US"/>
        </w:rPr>
        <w:t>prodhimi i inokuli</w:t>
      </w:r>
      <w:r w:rsidR="006E7790" w:rsidRPr="00F5176E">
        <w:rPr>
          <w:rFonts w:ascii="Garamond" w:eastAsiaTheme="minorHAnsi" w:hAnsi="Garamond"/>
          <w:bCs/>
          <w:color w:val="000000"/>
          <w:lang w:eastAsia="en-US"/>
        </w:rPr>
        <w:t>mit</w:t>
      </w:r>
    </w:p>
    <w:p w14:paraId="14675942" w14:textId="71D97FE4" w:rsidR="006E7790" w:rsidRPr="00F5176E" w:rsidRDefault="006E7790" w:rsidP="001E45F8">
      <w:pPr>
        <w:pStyle w:val="ListParagraph"/>
        <w:autoSpaceDE w:val="0"/>
        <w:autoSpaceDN w:val="0"/>
        <w:adjustRightInd w:val="0"/>
        <w:ind w:left="0"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Indet e vjetra (kafe) të </w:t>
      </w:r>
      <w:r w:rsidR="00900DE2" w:rsidRPr="00F5176E">
        <w:rPr>
          <w:rFonts w:ascii="Garamond" w:eastAsiaTheme="minorHAnsi" w:hAnsi="Garamond"/>
          <w:bCs/>
          <w:color w:val="000000"/>
          <w:lang w:eastAsia="en-US"/>
        </w:rPr>
        <w:t xml:space="preserve">simptomave </w:t>
      </w:r>
      <w:r w:rsidRPr="00F5176E">
        <w:rPr>
          <w:rFonts w:ascii="Garamond" w:eastAsiaTheme="minorHAnsi" w:hAnsi="Garamond"/>
          <w:bCs/>
          <w:color w:val="000000"/>
          <w:lang w:eastAsia="en-US"/>
        </w:rPr>
        <w:t>duhet të ndahen në copa më të vogla dhe të thahen në ajër në temperaturën e dhomës derisa të bëhen të forta. Indi i fortë duhet të bluhet, manualisht ose mekanikisht.</w:t>
      </w:r>
    </w:p>
    <w:p w14:paraId="5BD7E93B" w14:textId="1BE7EA74" w:rsidR="006E7790" w:rsidRPr="00F5176E" w:rsidRDefault="006E7790" w:rsidP="001E45F8">
      <w:pPr>
        <w:pStyle w:val="ListParagraph"/>
        <w:autoSpaceDE w:val="0"/>
        <w:autoSpaceDN w:val="0"/>
        <w:adjustRightInd w:val="0"/>
        <w:ind w:left="0"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Materiali i bluar sit</w:t>
      </w:r>
      <w:r w:rsidR="000F35D7" w:rsidRPr="00F5176E">
        <w:rPr>
          <w:rFonts w:ascii="Garamond" w:eastAsiaTheme="minorHAnsi" w:hAnsi="Garamond"/>
          <w:bCs/>
          <w:color w:val="000000"/>
          <w:lang w:eastAsia="en-US"/>
        </w:rPr>
        <w:t>et</w:t>
      </w:r>
      <w:r w:rsidRPr="00F5176E">
        <w:rPr>
          <w:rFonts w:ascii="Garamond" w:eastAsiaTheme="minorHAnsi" w:hAnsi="Garamond"/>
          <w:bCs/>
          <w:color w:val="000000"/>
          <w:lang w:eastAsia="en-US"/>
        </w:rPr>
        <w:t xml:space="preserve"> në të thatë, duke mbledhur fraksionin nga 25 në 75 μm, dhe më pas nxirret duke përdorur metodën e kloroformit të Pratt (1976)1;</w:t>
      </w:r>
    </w:p>
    <w:p w14:paraId="3F7E0F8E" w14:textId="1667D116"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ii</w:t>
      </w:r>
      <w:r w:rsidR="00914302">
        <w:rPr>
          <w:rFonts w:ascii="Garamond" w:eastAsiaTheme="minorHAnsi" w:hAnsi="Garamond"/>
          <w:bCs/>
          <w:color w:val="000000"/>
          <w:lang w:eastAsia="en-US"/>
        </w:rPr>
        <w:t>.</w:t>
      </w:r>
      <w:r w:rsidRPr="00F5176E">
        <w:rPr>
          <w:rFonts w:ascii="Garamond" w:eastAsiaTheme="minorHAnsi" w:hAnsi="Garamond"/>
          <w:bCs/>
          <w:color w:val="000000"/>
          <w:lang w:eastAsia="en-US"/>
        </w:rPr>
        <w:t xml:space="preserve"> prodhimi i </w:t>
      </w:r>
      <w:r w:rsidR="00900DE2" w:rsidRPr="00F5176E">
        <w:rPr>
          <w:rFonts w:ascii="Garamond" w:eastAsiaTheme="minorHAnsi" w:hAnsi="Garamond"/>
          <w:bCs/>
          <w:color w:val="000000"/>
          <w:lang w:eastAsia="en-US"/>
        </w:rPr>
        <w:t>simptomave (gungave)</w:t>
      </w:r>
      <w:r w:rsidRPr="00F5176E">
        <w:rPr>
          <w:rFonts w:ascii="Garamond" w:eastAsiaTheme="minorHAnsi" w:hAnsi="Garamond"/>
          <w:bCs/>
          <w:color w:val="000000"/>
          <w:lang w:eastAsia="en-US"/>
        </w:rPr>
        <w:t xml:space="preserve"> të freskëta</w:t>
      </w:r>
    </w:p>
    <w:p w14:paraId="59D71341" w14:textId="4EB1FA46"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Përafërsisht 10 mg spore </w:t>
      </w:r>
      <w:r w:rsidR="000F35D7" w:rsidRPr="00F5176E">
        <w:rPr>
          <w:rFonts w:ascii="Garamond" w:eastAsiaTheme="minorHAnsi" w:hAnsi="Garamond"/>
          <w:bCs/>
          <w:color w:val="000000"/>
          <w:lang w:eastAsia="en-US"/>
        </w:rPr>
        <w:t>dimërore</w:t>
      </w:r>
      <w:r w:rsidRPr="00F5176E">
        <w:rPr>
          <w:rFonts w:ascii="Garamond" w:eastAsiaTheme="minorHAnsi" w:hAnsi="Garamond"/>
          <w:bCs/>
          <w:color w:val="000000"/>
          <w:lang w:eastAsia="en-US"/>
        </w:rPr>
        <w:t xml:space="preserve"> të nxjerra spërkaten mbi sipërfaqen e 10 ml ujë të distiluar steril në një enë të vogël plastike Petri dhe inkubohen në errësirë në 20°C deri në mbirje. </w:t>
      </w:r>
    </w:p>
    <w:p w14:paraId="6227A236" w14:textId="70C12E10"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Zhardhokët e patates me filiza të vegjël rreth 1 deri në 2 mm të gjata vendosen në kuti plastike transparente, të veshura me letër të lagur, me filizat e shënuar nga lart. </w:t>
      </w:r>
      <w:r w:rsidR="00235391" w:rsidRPr="00F5176E">
        <w:rPr>
          <w:rFonts w:ascii="Garamond" w:eastAsiaTheme="minorHAnsi" w:hAnsi="Garamond"/>
          <w:bCs/>
          <w:color w:val="000000"/>
          <w:lang w:eastAsia="en-US"/>
        </w:rPr>
        <w:t>Filizi</w:t>
      </w:r>
      <w:r w:rsidRPr="00F5176E">
        <w:rPr>
          <w:rFonts w:ascii="Garamond" w:eastAsiaTheme="minorHAnsi" w:hAnsi="Garamond"/>
          <w:bCs/>
          <w:color w:val="000000"/>
          <w:lang w:eastAsia="en-US"/>
        </w:rPr>
        <w:t xml:space="preserve"> </w:t>
      </w:r>
      <w:r w:rsidR="007B5992" w:rsidRPr="00F5176E">
        <w:rPr>
          <w:rFonts w:ascii="Garamond" w:eastAsiaTheme="minorHAnsi" w:hAnsi="Garamond"/>
          <w:bCs/>
          <w:color w:val="000000"/>
          <w:lang w:eastAsia="en-US"/>
        </w:rPr>
        <w:t>rrethohet</w:t>
      </w:r>
      <w:r w:rsidRPr="00F5176E">
        <w:rPr>
          <w:rFonts w:ascii="Garamond" w:eastAsiaTheme="minorHAnsi" w:hAnsi="Garamond"/>
          <w:bCs/>
          <w:color w:val="000000"/>
          <w:lang w:eastAsia="en-US"/>
        </w:rPr>
        <w:t xml:space="preserve"> me vazelinë të shkrirë duke përdorur një shiringë. Unaza duhet të jetë e pathyer dhe mjaft e lartë për të mbajtur pezullimin e spores pa rrjedhje.</w:t>
      </w:r>
    </w:p>
    <w:p w14:paraId="2586D37A" w14:textId="744DF85D" w:rsidR="006E7790" w:rsidRPr="00F5176E" w:rsidRDefault="00235391"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lastRenderedPageBreak/>
        <w:t xml:space="preserve">10 ml sporet dimëruese të </w:t>
      </w:r>
      <w:r w:rsidR="006E7790" w:rsidRPr="00F5176E">
        <w:rPr>
          <w:rFonts w:ascii="Garamond" w:eastAsiaTheme="minorHAnsi" w:hAnsi="Garamond"/>
          <w:bCs/>
          <w:color w:val="000000"/>
          <w:lang w:eastAsia="en-US"/>
        </w:rPr>
        <w:t xml:space="preserve">mbirjes hollohen më tej në 20 ml me ujë </w:t>
      </w:r>
      <w:r w:rsidR="007B5992" w:rsidRPr="00F5176E">
        <w:rPr>
          <w:rFonts w:ascii="Garamond" w:eastAsiaTheme="minorHAnsi" w:hAnsi="Garamond"/>
          <w:bCs/>
          <w:color w:val="000000"/>
          <w:lang w:eastAsia="en-US"/>
        </w:rPr>
        <w:t xml:space="preserve">të distiluar </w:t>
      </w:r>
      <w:r w:rsidR="006E7790" w:rsidRPr="00F5176E">
        <w:rPr>
          <w:rFonts w:ascii="Garamond" w:eastAsiaTheme="minorHAnsi" w:hAnsi="Garamond"/>
          <w:bCs/>
          <w:color w:val="000000"/>
          <w:lang w:eastAsia="en-US"/>
        </w:rPr>
        <w:t>steril dhe vendosen brenda unazave duke përdorur një pipetë ose një shishe shtrydhëse derisa filizi të zhytet plotësisht në suspensionin e spores. Kutitë plastike mbulohen me kapak dhe inkubohen për 4 ditë në 10</w:t>
      </w:r>
      <w:r w:rsidR="00CC2FF6">
        <w:rPr>
          <w:rFonts w:ascii="Garamond" w:eastAsiaTheme="minorHAnsi" w:hAnsi="Garamond"/>
          <w:bCs/>
          <w:color w:val="000000"/>
          <w:lang w:eastAsia="en-US"/>
        </w:rPr>
        <w:t>°</w:t>
      </w:r>
      <w:r w:rsidR="006E7790" w:rsidRPr="00F5176E">
        <w:rPr>
          <w:rFonts w:ascii="Garamond" w:eastAsiaTheme="minorHAnsi" w:hAnsi="Garamond"/>
          <w:bCs/>
          <w:color w:val="000000"/>
          <w:lang w:eastAsia="en-US"/>
        </w:rPr>
        <w:t xml:space="preserve">C, pas së cilës kutitë do të hapen, </w:t>
      </w:r>
      <w:r w:rsidRPr="00F5176E">
        <w:rPr>
          <w:rFonts w:ascii="Garamond" w:eastAsiaTheme="minorHAnsi" w:hAnsi="Garamond"/>
          <w:bCs/>
          <w:color w:val="000000"/>
          <w:lang w:eastAsia="en-US"/>
        </w:rPr>
        <w:t>hiqet</w:t>
      </w:r>
      <w:r w:rsidR="006E7790" w:rsidRPr="00F5176E">
        <w:rPr>
          <w:rFonts w:ascii="Garamond" w:eastAsiaTheme="minorHAnsi" w:hAnsi="Garamond"/>
          <w:bCs/>
          <w:color w:val="000000"/>
          <w:lang w:eastAsia="en-US"/>
        </w:rPr>
        <w:t xml:space="preserve"> inokulumi dhe unazat e vazelinës dhe kutitë do të zhvendosen në një serë me mjegull në 15 deri në 18</w:t>
      </w:r>
      <w:r w:rsidR="00CC2FF6">
        <w:rPr>
          <w:rFonts w:ascii="Garamond" w:eastAsiaTheme="minorHAnsi" w:hAnsi="Garamond"/>
          <w:bCs/>
          <w:color w:val="000000"/>
          <w:lang w:eastAsia="en-US"/>
        </w:rPr>
        <w:t>°</w:t>
      </w:r>
      <w:r w:rsidR="006E7790" w:rsidRPr="00F5176E">
        <w:rPr>
          <w:rFonts w:ascii="Garamond" w:eastAsiaTheme="minorHAnsi" w:hAnsi="Garamond"/>
          <w:bCs/>
          <w:color w:val="000000"/>
          <w:lang w:eastAsia="en-US"/>
        </w:rPr>
        <w:t>C. (16 orë dritë);</w:t>
      </w:r>
    </w:p>
    <w:p w14:paraId="6DEF24B4" w14:textId="27CD07AB"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b) metoda e Spiekermann &amp; Kothoff (1924) (</w:t>
      </w:r>
      <w:r w:rsidRPr="00F5176E">
        <w:rPr>
          <w:rFonts w:ascii="Garamond" w:eastAsiaTheme="minorHAnsi" w:hAnsi="Garamond"/>
          <w:bCs/>
          <w:color w:val="000000"/>
          <w:vertAlign w:val="superscript"/>
          <w:lang w:eastAsia="en-US"/>
        </w:rPr>
        <w:t>9</w:t>
      </w:r>
      <w:r w:rsidRPr="00F5176E">
        <w:rPr>
          <w:rFonts w:ascii="Garamond" w:eastAsiaTheme="minorHAnsi" w:hAnsi="Garamond"/>
          <w:bCs/>
          <w:color w:val="000000"/>
          <w:lang w:eastAsia="en-US"/>
        </w:rPr>
        <w:t>);</w:t>
      </w:r>
    </w:p>
    <w:p w14:paraId="1EA6580B" w14:textId="7FABFA51"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c) metoda e Potoček </w:t>
      </w:r>
      <w:r w:rsidRPr="00F5176E">
        <w:rPr>
          <w:rFonts w:ascii="Garamond" w:eastAsiaTheme="minorHAnsi" w:hAnsi="Garamond"/>
          <w:bCs/>
          <w:i/>
          <w:color w:val="000000"/>
          <w:lang w:eastAsia="en-US"/>
        </w:rPr>
        <w:t>et al</w:t>
      </w:r>
      <w:r w:rsidRPr="00F5176E">
        <w:rPr>
          <w:rFonts w:ascii="Garamond" w:eastAsiaTheme="minorHAnsi" w:hAnsi="Garamond"/>
          <w:bCs/>
          <w:color w:val="000000"/>
          <w:lang w:eastAsia="en-US"/>
        </w:rPr>
        <w:t xml:space="preserve">. (1991) </w:t>
      </w:r>
      <w:r w:rsidRPr="00F5176E">
        <w:rPr>
          <w:rFonts w:ascii="Garamond" w:eastAsiaTheme="minorHAnsi" w:hAnsi="Garamond"/>
          <w:bCs/>
          <w:color w:val="000000"/>
          <w:vertAlign w:val="superscript"/>
          <w:lang w:eastAsia="en-US"/>
        </w:rPr>
        <w:t>(10)</w:t>
      </w:r>
      <w:r w:rsidRPr="00F5176E">
        <w:rPr>
          <w:rFonts w:ascii="Garamond" w:eastAsiaTheme="minorHAnsi" w:hAnsi="Garamond"/>
          <w:bCs/>
          <w:color w:val="000000"/>
          <w:lang w:eastAsia="en-US"/>
        </w:rPr>
        <w:t>;</w:t>
      </w:r>
    </w:p>
    <w:p w14:paraId="0947FF07" w14:textId="03AEF568" w:rsidR="006E7790" w:rsidRPr="00F5176E" w:rsidRDefault="006F51AB"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ç</w:t>
      </w:r>
      <w:r w:rsidR="006E7790" w:rsidRPr="00F5176E">
        <w:rPr>
          <w:rFonts w:ascii="Garamond" w:eastAsiaTheme="minorHAnsi" w:hAnsi="Garamond"/>
          <w:bCs/>
          <w:color w:val="000000"/>
          <w:lang w:eastAsia="en-US"/>
        </w:rPr>
        <w:t>) metoda e Glynne-Lemmerzahl (Glynne 1925 (</w:t>
      </w:r>
      <w:r w:rsidR="006E7790" w:rsidRPr="00F5176E">
        <w:rPr>
          <w:rFonts w:ascii="Garamond" w:eastAsiaTheme="minorHAnsi" w:hAnsi="Garamond"/>
          <w:bCs/>
          <w:color w:val="000000"/>
          <w:vertAlign w:val="superscript"/>
          <w:lang w:eastAsia="en-US"/>
        </w:rPr>
        <w:t>11</w:t>
      </w:r>
      <w:r w:rsidR="006E7790" w:rsidRPr="00F5176E">
        <w:rPr>
          <w:rFonts w:ascii="Garamond" w:eastAsiaTheme="minorHAnsi" w:hAnsi="Garamond"/>
          <w:bCs/>
          <w:color w:val="000000"/>
          <w:lang w:eastAsia="en-US"/>
        </w:rPr>
        <w:t>); Lemmerzahl 1930 (</w:t>
      </w:r>
      <w:r w:rsidR="006E7790" w:rsidRPr="00F5176E">
        <w:rPr>
          <w:rFonts w:ascii="Garamond" w:eastAsiaTheme="minorHAnsi" w:hAnsi="Garamond"/>
          <w:bCs/>
          <w:color w:val="000000"/>
          <w:vertAlign w:val="superscript"/>
          <w:lang w:eastAsia="en-US"/>
        </w:rPr>
        <w:t>12</w:t>
      </w:r>
      <w:r w:rsidR="006E7790" w:rsidRPr="00F5176E">
        <w:rPr>
          <w:rFonts w:ascii="Garamond" w:eastAsiaTheme="minorHAnsi" w:hAnsi="Garamond"/>
          <w:bCs/>
          <w:color w:val="000000"/>
          <w:lang w:eastAsia="en-US"/>
        </w:rPr>
        <w:t>); Noble dhe Glynne 1970 (</w:t>
      </w:r>
      <w:r w:rsidR="006E7790" w:rsidRPr="00F5176E">
        <w:rPr>
          <w:rFonts w:ascii="Garamond" w:eastAsiaTheme="minorHAnsi" w:hAnsi="Garamond"/>
          <w:bCs/>
          <w:color w:val="000000"/>
          <w:vertAlign w:val="superscript"/>
          <w:lang w:eastAsia="en-US"/>
        </w:rPr>
        <w:t>13</w:t>
      </w:r>
      <w:r w:rsidR="006E7790" w:rsidRPr="00F5176E">
        <w:rPr>
          <w:rFonts w:ascii="Garamond" w:eastAsiaTheme="minorHAnsi" w:hAnsi="Garamond"/>
          <w:bCs/>
          <w:color w:val="000000"/>
          <w:lang w:eastAsia="en-US"/>
        </w:rPr>
        <w:t>)).</w:t>
      </w:r>
    </w:p>
    <w:p w14:paraId="2C229F4F" w14:textId="2EE1E17D"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Për përcaktimin e të gjitha patotipeve të njohura si të rëndësishme për </w:t>
      </w:r>
      <w:r w:rsidR="001D62C0" w:rsidRPr="00F5176E">
        <w:rPr>
          <w:rFonts w:ascii="Garamond" w:eastAsiaTheme="minorHAnsi" w:hAnsi="Garamond"/>
          <w:bCs/>
          <w:color w:val="000000"/>
          <w:lang w:eastAsia="en-US"/>
        </w:rPr>
        <w:t>vendin</w:t>
      </w:r>
      <w:r w:rsidRPr="00F5176E">
        <w:rPr>
          <w:rFonts w:ascii="Garamond" w:eastAsiaTheme="minorHAnsi" w:hAnsi="Garamond"/>
          <w:bCs/>
          <w:color w:val="000000"/>
          <w:lang w:eastAsia="en-US"/>
        </w:rPr>
        <w:t xml:space="preserve"> (1(D1), 2(G1), 6(O1), 18(T1) dhe 38</w:t>
      </w:r>
      <w:r w:rsidR="00187CF0"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(Nevşehir), </w:t>
      </w:r>
      <w:r w:rsidR="007B5992" w:rsidRPr="00F5176E">
        <w:rPr>
          <w:rFonts w:ascii="Garamond" w:eastAsiaTheme="minorHAnsi" w:hAnsi="Garamond"/>
          <w:bCs/>
          <w:color w:val="000000"/>
          <w:lang w:eastAsia="en-US"/>
        </w:rPr>
        <w:t xml:space="preserve">përdoret </w:t>
      </w:r>
      <w:r w:rsidRPr="00F5176E">
        <w:rPr>
          <w:rFonts w:ascii="Garamond" w:eastAsiaTheme="minorHAnsi" w:hAnsi="Garamond"/>
          <w:bCs/>
          <w:color w:val="000000"/>
          <w:lang w:eastAsia="en-US"/>
        </w:rPr>
        <w:t xml:space="preserve">një test diferencial infeksioni me varietete të ndryshme të bimës </w:t>
      </w:r>
      <w:r w:rsidR="001D62C0" w:rsidRPr="00F5176E">
        <w:rPr>
          <w:rFonts w:ascii="Garamond" w:eastAsiaTheme="minorHAnsi" w:hAnsi="Garamond"/>
          <w:bCs/>
          <w:color w:val="000000"/>
          <w:lang w:eastAsia="en-US"/>
        </w:rPr>
        <w:t xml:space="preserve">së specifikuar </w:t>
      </w:r>
      <w:r w:rsidRPr="00F5176E">
        <w:rPr>
          <w:rFonts w:ascii="Garamond" w:eastAsiaTheme="minorHAnsi" w:hAnsi="Garamond"/>
          <w:bCs/>
          <w:color w:val="000000"/>
          <w:lang w:eastAsia="en-US"/>
        </w:rPr>
        <w:t>siç tregohet në tabelë.</w:t>
      </w:r>
      <w:r w:rsidR="001D62C0"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 xml:space="preserve">Testi i infeksionit kryhet sipas protokollit të përmendur në </w:t>
      </w:r>
      <w:r w:rsidR="007B5992" w:rsidRPr="00F5176E">
        <w:rPr>
          <w:rFonts w:ascii="Garamond" w:eastAsiaTheme="minorHAnsi" w:hAnsi="Garamond"/>
          <w:bCs/>
          <w:color w:val="000000"/>
          <w:lang w:eastAsia="en-US"/>
        </w:rPr>
        <w:t>shkronjën</w:t>
      </w:r>
      <w:r w:rsidRPr="00F5176E">
        <w:rPr>
          <w:rFonts w:ascii="Garamond" w:eastAsiaTheme="minorHAnsi" w:hAnsi="Garamond"/>
          <w:bCs/>
          <w:color w:val="000000"/>
          <w:lang w:eastAsia="en-US"/>
        </w:rPr>
        <w:t xml:space="preserve"> </w:t>
      </w:r>
      <w:r w:rsidR="00B968A6" w:rsidRPr="00F5176E">
        <w:rPr>
          <w:rFonts w:ascii="Garamond" w:eastAsiaTheme="minorHAnsi" w:hAnsi="Garamond"/>
          <w:bCs/>
          <w:color w:val="000000"/>
          <w:lang w:eastAsia="en-US"/>
        </w:rPr>
        <w:t>“</w:t>
      </w:r>
      <w:r w:rsidRPr="00F5176E">
        <w:rPr>
          <w:rFonts w:ascii="Garamond" w:eastAsiaTheme="minorHAnsi" w:hAnsi="Garamond"/>
          <w:bCs/>
          <w:color w:val="000000"/>
          <w:lang w:eastAsia="en-US"/>
        </w:rPr>
        <w:t>d</w:t>
      </w:r>
      <w:r w:rsidR="00B968A6" w:rsidRPr="00F5176E">
        <w:rPr>
          <w:rFonts w:ascii="Garamond" w:eastAsiaTheme="minorHAnsi" w:hAnsi="Garamond"/>
          <w:bCs/>
          <w:color w:val="000000"/>
          <w:lang w:eastAsia="en-US"/>
        </w:rPr>
        <w:t>”</w:t>
      </w:r>
      <w:r w:rsidRPr="00F5176E">
        <w:rPr>
          <w:rFonts w:ascii="Garamond" w:eastAsiaTheme="minorHAnsi" w:hAnsi="Garamond"/>
          <w:bCs/>
          <w:color w:val="000000"/>
          <w:lang w:eastAsia="en-US"/>
        </w:rPr>
        <w:t xml:space="preserve"> (metoda Glynne-Lemmerzahl).</w:t>
      </w:r>
    </w:p>
    <w:p w14:paraId="0443D0DA" w14:textId="7130ED15" w:rsidR="006E7790" w:rsidRPr="00F5176E" w:rsidRDefault="006E7790" w:rsidP="001E45F8">
      <w:pPr>
        <w:autoSpaceDE w:val="0"/>
        <w:autoSpaceDN w:val="0"/>
        <w:adjustRightInd w:val="0"/>
        <w:ind w:firstLine="284"/>
        <w:jc w:val="both"/>
        <w:rPr>
          <w:rFonts w:ascii="Garamond" w:eastAsiaTheme="minorHAnsi" w:hAnsi="Garamond"/>
          <w:b/>
          <w:bCs/>
          <w:i/>
          <w:color w:val="000000"/>
          <w:lang w:eastAsia="en-US"/>
        </w:rPr>
      </w:pPr>
      <w:r w:rsidRPr="00F5176E">
        <w:rPr>
          <w:rFonts w:ascii="Garamond" w:eastAsiaTheme="minorHAnsi" w:hAnsi="Garamond"/>
          <w:b/>
          <w:bCs/>
          <w:color w:val="000000"/>
          <w:lang w:eastAsia="en-US"/>
        </w:rPr>
        <w:t xml:space="preserve">Ndjeshmëria selektive e kultivarëve të patates për përcaktimin e patotipeve të </w:t>
      </w:r>
      <w:r w:rsidRPr="00F5176E">
        <w:rPr>
          <w:rFonts w:ascii="Garamond" w:eastAsiaTheme="minorHAnsi" w:hAnsi="Garamond"/>
          <w:b/>
          <w:bCs/>
          <w:i/>
          <w:color w:val="000000"/>
          <w:lang w:eastAsia="en-US"/>
        </w:rPr>
        <w:t xml:space="preserve">S. </w:t>
      </w:r>
      <w:r w:rsidR="001D62C0" w:rsidRPr="00F5176E">
        <w:rPr>
          <w:rFonts w:ascii="Garamond" w:eastAsiaTheme="minorHAnsi" w:hAnsi="Garamond"/>
          <w:b/>
          <w:bCs/>
          <w:i/>
          <w:color w:val="000000"/>
          <w:lang w:eastAsia="en-US"/>
        </w:rPr>
        <w:t>e</w:t>
      </w:r>
      <w:r w:rsidRPr="00F5176E">
        <w:rPr>
          <w:rFonts w:ascii="Garamond" w:eastAsiaTheme="minorHAnsi" w:hAnsi="Garamond"/>
          <w:b/>
          <w:bCs/>
          <w:i/>
          <w:color w:val="000000"/>
          <w:lang w:eastAsia="en-US"/>
        </w:rPr>
        <w:t>ndobioticum</w:t>
      </w:r>
    </w:p>
    <w:p w14:paraId="702C753E" w14:textId="77777777"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629"/>
        <w:gridCol w:w="1269"/>
        <w:gridCol w:w="1379"/>
        <w:gridCol w:w="1269"/>
        <w:gridCol w:w="1269"/>
        <w:gridCol w:w="1555"/>
      </w:tblGrid>
      <w:tr w:rsidR="006E7790" w:rsidRPr="00F5176E" w14:paraId="1ADAE3E2" w14:textId="77777777" w:rsidTr="001E45F8">
        <w:trPr>
          <w:trHeight w:val="20"/>
        </w:trPr>
        <w:tc>
          <w:tcPr>
            <w:tcW w:w="1403" w:type="pct"/>
            <w:vMerge w:val="restart"/>
            <w:tcBorders>
              <w:left w:val="single" w:sz="4" w:space="0" w:color="auto"/>
            </w:tcBorders>
          </w:tcPr>
          <w:p w14:paraId="2C0C0931" w14:textId="77777777" w:rsidR="006E7790" w:rsidRPr="00F5176E" w:rsidRDefault="006E7790" w:rsidP="001E45F8">
            <w:pPr>
              <w:pStyle w:val="TableParagraph"/>
              <w:jc w:val="both"/>
              <w:rPr>
                <w:rFonts w:ascii="Garamond" w:hAnsi="Garamond"/>
                <w:b/>
                <w:sz w:val="24"/>
                <w:szCs w:val="24"/>
              </w:rPr>
            </w:pPr>
          </w:p>
          <w:p w14:paraId="64C97357"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Kultivari</w:t>
            </w:r>
          </w:p>
        </w:tc>
        <w:tc>
          <w:tcPr>
            <w:tcW w:w="2767" w:type="pct"/>
            <w:gridSpan w:val="4"/>
          </w:tcPr>
          <w:p w14:paraId="1F5AC8F1" w14:textId="0A883676" w:rsidR="006E7790" w:rsidRPr="00F5176E" w:rsidRDefault="006E7790" w:rsidP="001E45F8">
            <w:pPr>
              <w:pStyle w:val="TableParagraph"/>
              <w:jc w:val="both"/>
              <w:rPr>
                <w:rFonts w:ascii="Garamond" w:hAnsi="Garamond"/>
                <w:sz w:val="24"/>
                <w:szCs w:val="24"/>
              </w:rPr>
            </w:pPr>
            <w:r w:rsidRPr="00F5176E">
              <w:rPr>
                <w:rFonts w:ascii="Garamond" w:hAnsi="Garamond"/>
                <w:i/>
                <w:w w:val="90"/>
                <w:sz w:val="24"/>
                <w:szCs w:val="24"/>
              </w:rPr>
              <w:t>S. endobioticum</w:t>
            </w:r>
            <w:r w:rsidR="00187CF0" w:rsidRPr="00F5176E">
              <w:rPr>
                <w:rFonts w:ascii="Garamond" w:hAnsi="Garamond"/>
                <w:i/>
                <w:w w:val="90"/>
                <w:sz w:val="24"/>
                <w:szCs w:val="24"/>
              </w:rPr>
              <w:t xml:space="preserve"> </w:t>
            </w:r>
            <w:r w:rsidRPr="00F5176E">
              <w:rPr>
                <w:rFonts w:ascii="Garamond" w:hAnsi="Garamond"/>
                <w:w w:val="90"/>
                <w:sz w:val="24"/>
                <w:szCs w:val="24"/>
              </w:rPr>
              <w:t>patotipet</w:t>
            </w:r>
          </w:p>
        </w:tc>
        <w:tc>
          <w:tcPr>
            <w:tcW w:w="830" w:type="pct"/>
            <w:tcBorders>
              <w:right w:val="single" w:sz="4" w:space="0" w:color="auto"/>
            </w:tcBorders>
          </w:tcPr>
          <w:p w14:paraId="78DB9472" w14:textId="77777777" w:rsidR="006E7790" w:rsidRPr="00F5176E" w:rsidRDefault="006E7790" w:rsidP="001E45F8">
            <w:pPr>
              <w:pStyle w:val="TableParagraph"/>
              <w:jc w:val="both"/>
              <w:rPr>
                <w:rFonts w:ascii="Garamond" w:hAnsi="Garamond"/>
                <w:sz w:val="24"/>
                <w:szCs w:val="24"/>
              </w:rPr>
            </w:pPr>
          </w:p>
        </w:tc>
      </w:tr>
      <w:tr w:rsidR="006E7790" w:rsidRPr="00F5176E" w14:paraId="62BBA408" w14:textId="77777777" w:rsidTr="001E45F8">
        <w:trPr>
          <w:trHeight w:val="20"/>
        </w:trPr>
        <w:tc>
          <w:tcPr>
            <w:tcW w:w="1403" w:type="pct"/>
            <w:vMerge/>
            <w:tcBorders>
              <w:top w:val="nil"/>
              <w:left w:val="single" w:sz="4" w:space="0" w:color="auto"/>
            </w:tcBorders>
          </w:tcPr>
          <w:p w14:paraId="5A65225A" w14:textId="77777777" w:rsidR="006E7790" w:rsidRPr="00F5176E" w:rsidRDefault="006E7790" w:rsidP="001E45F8">
            <w:pPr>
              <w:jc w:val="both"/>
              <w:rPr>
                <w:rFonts w:ascii="Garamond" w:hAnsi="Garamond"/>
              </w:rPr>
            </w:pPr>
          </w:p>
        </w:tc>
        <w:tc>
          <w:tcPr>
            <w:tcW w:w="677" w:type="pct"/>
          </w:tcPr>
          <w:p w14:paraId="74E3BAF2"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1(D1)</w:t>
            </w:r>
          </w:p>
        </w:tc>
        <w:tc>
          <w:tcPr>
            <w:tcW w:w="736" w:type="pct"/>
          </w:tcPr>
          <w:p w14:paraId="5F87D777"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2 (G1)</w:t>
            </w:r>
          </w:p>
        </w:tc>
        <w:tc>
          <w:tcPr>
            <w:tcW w:w="677" w:type="pct"/>
          </w:tcPr>
          <w:p w14:paraId="7961CC50"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6 (O1)</w:t>
            </w:r>
          </w:p>
        </w:tc>
        <w:tc>
          <w:tcPr>
            <w:tcW w:w="677" w:type="pct"/>
          </w:tcPr>
          <w:p w14:paraId="37E82255"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18 (T1)</w:t>
            </w:r>
          </w:p>
        </w:tc>
        <w:tc>
          <w:tcPr>
            <w:tcW w:w="830" w:type="pct"/>
            <w:tcBorders>
              <w:right w:val="single" w:sz="4" w:space="0" w:color="auto"/>
            </w:tcBorders>
          </w:tcPr>
          <w:p w14:paraId="5F79E7BA"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38 (Nevşehir)</w:t>
            </w:r>
          </w:p>
        </w:tc>
      </w:tr>
      <w:tr w:rsidR="006E7790" w:rsidRPr="00F5176E" w14:paraId="6C8F009B" w14:textId="77777777" w:rsidTr="001E45F8">
        <w:trPr>
          <w:trHeight w:val="20"/>
        </w:trPr>
        <w:tc>
          <w:tcPr>
            <w:tcW w:w="1403" w:type="pct"/>
            <w:tcBorders>
              <w:left w:val="single" w:sz="4" w:space="0" w:color="auto"/>
            </w:tcBorders>
          </w:tcPr>
          <w:p w14:paraId="5390C276"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Tomensa/Evora/Deodara</w:t>
            </w:r>
          </w:p>
        </w:tc>
        <w:tc>
          <w:tcPr>
            <w:tcW w:w="677" w:type="pct"/>
            <w:shd w:val="clear" w:color="auto" w:fill="F9BC8C"/>
          </w:tcPr>
          <w:p w14:paraId="738116DC"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736" w:type="pct"/>
            <w:shd w:val="clear" w:color="auto" w:fill="F9BC8C"/>
          </w:tcPr>
          <w:p w14:paraId="3A56E8A3"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332792A7"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1031D78E"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830" w:type="pct"/>
            <w:tcBorders>
              <w:right w:val="single" w:sz="4" w:space="0" w:color="auto"/>
            </w:tcBorders>
            <w:shd w:val="clear" w:color="auto" w:fill="F9BC8C"/>
          </w:tcPr>
          <w:p w14:paraId="63270F9E"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78FE34DA" w14:textId="77777777" w:rsidTr="001E45F8">
        <w:trPr>
          <w:trHeight w:val="20"/>
        </w:trPr>
        <w:tc>
          <w:tcPr>
            <w:tcW w:w="1403" w:type="pct"/>
            <w:tcBorders>
              <w:left w:val="single" w:sz="4" w:space="0" w:color="auto"/>
            </w:tcBorders>
          </w:tcPr>
          <w:p w14:paraId="45171CD7" w14:textId="218E2DED"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Irga/</w:t>
            </w:r>
            <w:r w:rsidR="00CC2FF6">
              <w:rPr>
                <w:rFonts w:ascii="Garamond" w:hAnsi="Garamond"/>
                <w:w w:val="95"/>
                <w:sz w:val="24"/>
                <w:szCs w:val="24"/>
              </w:rPr>
              <w:t>p</w:t>
            </w:r>
            <w:r w:rsidRPr="00F5176E">
              <w:rPr>
                <w:rFonts w:ascii="Garamond" w:hAnsi="Garamond"/>
                <w:w w:val="95"/>
                <w:sz w:val="24"/>
                <w:szCs w:val="24"/>
              </w:rPr>
              <w:t>rodhues</w:t>
            </w:r>
          </w:p>
        </w:tc>
        <w:tc>
          <w:tcPr>
            <w:tcW w:w="677" w:type="pct"/>
            <w:shd w:val="clear" w:color="auto" w:fill="BFD68E"/>
          </w:tcPr>
          <w:p w14:paraId="22BA388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F9BC8C"/>
          </w:tcPr>
          <w:p w14:paraId="5D1847E5"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078B11C2"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F9BC8C"/>
          </w:tcPr>
          <w:p w14:paraId="7D34F2B9"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830" w:type="pct"/>
            <w:tcBorders>
              <w:right w:val="single" w:sz="4" w:space="0" w:color="auto"/>
            </w:tcBorders>
            <w:shd w:val="clear" w:color="auto" w:fill="F9BC8C"/>
          </w:tcPr>
          <w:p w14:paraId="7350ACB3"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5FAD2073" w14:textId="77777777" w:rsidTr="001E45F8">
        <w:trPr>
          <w:trHeight w:val="20"/>
        </w:trPr>
        <w:tc>
          <w:tcPr>
            <w:tcW w:w="1403" w:type="pct"/>
            <w:tcBorders>
              <w:left w:val="single" w:sz="4" w:space="0" w:color="auto"/>
            </w:tcBorders>
          </w:tcPr>
          <w:p w14:paraId="4B3E89B4"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Talent</w:t>
            </w:r>
          </w:p>
        </w:tc>
        <w:tc>
          <w:tcPr>
            <w:tcW w:w="677" w:type="pct"/>
            <w:shd w:val="clear" w:color="auto" w:fill="BFD68E"/>
          </w:tcPr>
          <w:p w14:paraId="393597A2"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EAF2DD"/>
          </w:tcPr>
          <w:p w14:paraId="5806E224"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R</w:t>
            </w:r>
            <w:r w:rsidRPr="00F5176E">
              <w:rPr>
                <w:rFonts w:ascii="Garamond" w:hAnsi="Garamond"/>
                <w:sz w:val="24"/>
                <w:szCs w:val="24"/>
                <w:vertAlign w:val="superscript"/>
              </w:rPr>
              <w:t>*</w:t>
            </w:r>
          </w:p>
        </w:tc>
        <w:tc>
          <w:tcPr>
            <w:tcW w:w="677" w:type="pct"/>
            <w:shd w:val="clear" w:color="auto" w:fill="EAF2DD"/>
          </w:tcPr>
          <w:p w14:paraId="1B1E5313"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R</w:t>
            </w:r>
            <w:r w:rsidRPr="00F5176E">
              <w:rPr>
                <w:rFonts w:ascii="Garamond" w:hAnsi="Garamond"/>
                <w:sz w:val="24"/>
                <w:szCs w:val="24"/>
                <w:vertAlign w:val="superscript"/>
              </w:rPr>
              <w:t>*</w:t>
            </w:r>
          </w:p>
        </w:tc>
        <w:tc>
          <w:tcPr>
            <w:tcW w:w="677" w:type="pct"/>
            <w:shd w:val="clear" w:color="auto" w:fill="F9BC8C"/>
          </w:tcPr>
          <w:p w14:paraId="7565CB21"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830" w:type="pct"/>
            <w:tcBorders>
              <w:right w:val="single" w:sz="4" w:space="0" w:color="auto"/>
            </w:tcBorders>
            <w:shd w:val="clear" w:color="auto" w:fill="F9BC8C"/>
          </w:tcPr>
          <w:p w14:paraId="5D2E98EA"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5AB5CC8F" w14:textId="77777777" w:rsidTr="001E45F8">
        <w:trPr>
          <w:trHeight w:val="20"/>
        </w:trPr>
        <w:tc>
          <w:tcPr>
            <w:tcW w:w="1403" w:type="pct"/>
            <w:tcBorders>
              <w:left w:val="single" w:sz="4" w:space="0" w:color="auto"/>
            </w:tcBorders>
          </w:tcPr>
          <w:p w14:paraId="0FC2B4A5" w14:textId="77777777" w:rsidR="006E7790" w:rsidRPr="00F5176E" w:rsidRDefault="006E7790" w:rsidP="001E45F8">
            <w:pPr>
              <w:pStyle w:val="TableParagraph"/>
              <w:jc w:val="both"/>
              <w:rPr>
                <w:rFonts w:ascii="Garamond" w:hAnsi="Garamond"/>
                <w:sz w:val="24"/>
                <w:szCs w:val="24"/>
              </w:rPr>
            </w:pPr>
            <w:r w:rsidRPr="00F5176E">
              <w:rPr>
                <w:rFonts w:ascii="Garamond" w:hAnsi="Garamond"/>
                <w:sz w:val="24"/>
                <w:szCs w:val="24"/>
              </w:rPr>
              <w:t>Safiri</w:t>
            </w:r>
          </w:p>
        </w:tc>
        <w:tc>
          <w:tcPr>
            <w:tcW w:w="677" w:type="pct"/>
            <w:shd w:val="clear" w:color="auto" w:fill="BFD68E"/>
          </w:tcPr>
          <w:p w14:paraId="3B98E1C1"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F9BC8C"/>
          </w:tcPr>
          <w:p w14:paraId="73196B59"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c>
          <w:tcPr>
            <w:tcW w:w="677" w:type="pct"/>
            <w:shd w:val="clear" w:color="auto" w:fill="BFD68E"/>
          </w:tcPr>
          <w:p w14:paraId="3138250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677" w:type="pct"/>
            <w:shd w:val="clear" w:color="auto" w:fill="BFD68E"/>
          </w:tcPr>
          <w:p w14:paraId="51F236F8"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830" w:type="pct"/>
            <w:tcBorders>
              <w:right w:val="single" w:sz="4" w:space="0" w:color="auto"/>
            </w:tcBorders>
            <w:shd w:val="clear" w:color="auto" w:fill="F9BC8C"/>
          </w:tcPr>
          <w:p w14:paraId="54339A5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S</w:t>
            </w:r>
          </w:p>
        </w:tc>
      </w:tr>
      <w:tr w:rsidR="006E7790" w:rsidRPr="00F5176E" w14:paraId="13959A28" w14:textId="77777777" w:rsidTr="001E45F8">
        <w:trPr>
          <w:trHeight w:val="20"/>
        </w:trPr>
        <w:tc>
          <w:tcPr>
            <w:tcW w:w="1403" w:type="pct"/>
            <w:tcBorders>
              <w:left w:val="single" w:sz="4" w:space="0" w:color="auto"/>
            </w:tcBorders>
          </w:tcPr>
          <w:p w14:paraId="0B755D93"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5"/>
                <w:sz w:val="24"/>
                <w:szCs w:val="24"/>
              </w:rPr>
              <w:t>Ikar/Gawin/Karolin/Belita</w:t>
            </w:r>
          </w:p>
        </w:tc>
        <w:tc>
          <w:tcPr>
            <w:tcW w:w="677" w:type="pct"/>
            <w:shd w:val="clear" w:color="auto" w:fill="BFD68E"/>
          </w:tcPr>
          <w:p w14:paraId="309378CA"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736" w:type="pct"/>
            <w:shd w:val="clear" w:color="auto" w:fill="BFD68E"/>
          </w:tcPr>
          <w:p w14:paraId="248DB38D"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677" w:type="pct"/>
            <w:shd w:val="clear" w:color="auto" w:fill="BFD68E"/>
          </w:tcPr>
          <w:p w14:paraId="6B2DFDB7"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677" w:type="pct"/>
            <w:shd w:val="clear" w:color="auto" w:fill="BFD68E"/>
          </w:tcPr>
          <w:p w14:paraId="5E6B38FC"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c>
          <w:tcPr>
            <w:tcW w:w="830" w:type="pct"/>
            <w:tcBorders>
              <w:right w:val="single" w:sz="4" w:space="0" w:color="auto"/>
            </w:tcBorders>
            <w:shd w:val="clear" w:color="auto" w:fill="BFD68E"/>
          </w:tcPr>
          <w:p w14:paraId="5275FDC7" w14:textId="77777777" w:rsidR="006E7790" w:rsidRPr="00F5176E" w:rsidRDefault="006E7790" w:rsidP="001E45F8">
            <w:pPr>
              <w:pStyle w:val="TableParagraph"/>
              <w:jc w:val="both"/>
              <w:rPr>
                <w:rFonts w:ascii="Garamond" w:hAnsi="Garamond"/>
                <w:sz w:val="24"/>
                <w:szCs w:val="24"/>
              </w:rPr>
            </w:pPr>
            <w:r w:rsidRPr="00F5176E">
              <w:rPr>
                <w:rFonts w:ascii="Garamond" w:hAnsi="Garamond"/>
                <w:w w:val="96"/>
                <w:sz w:val="24"/>
                <w:szCs w:val="24"/>
              </w:rPr>
              <w:t>R</w:t>
            </w:r>
          </w:p>
        </w:tc>
      </w:tr>
    </w:tbl>
    <w:p w14:paraId="5747E795" w14:textId="7C8C30DE"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p>
    <w:p w14:paraId="52117F20" w14:textId="1CBDFE27" w:rsidR="006E7790" w:rsidRPr="00F5176E" w:rsidRDefault="00EC3328"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S</w:t>
      </w: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 E ndjeshme</w:t>
      </w:r>
    </w:p>
    <w:p w14:paraId="0446D20F" w14:textId="0EA557F9" w:rsidR="006E7790" w:rsidRPr="00F5176E" w:rsidRDefault="00190B21"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R</w:t>
      </w:r>
      <w:r w:rsidRPr="00F5176E">
        <w:rPr>
          <w:rFonts w:ascii="Garamond" w:eastAsiaTheme="minorHAnsi" w:hAnsi="Garamond"/>
          <w:bCs/>
          <w:color w:val="000000"/>
          <w:lang w:eastAsia="en-US"/>
        </w:rPr>
        <w:t>’</w:t>
      </w:r>
      <w:r w:rsidR="006E7790" w:rsidRPr="00F5176E">
        <w:rPr>
          <w:rFonts w:ascii="Garamond" w:eastAsiaTheme="minorHAnsi" w:hAnsi="Garamond"/>
          <w:bCs/>
          <w:color w:val="000000"/>
          <w:lang w:eastAsia="en-US"/>
        </w:rPr>
        <w:t>: Rezistente</w:t>
      </w:r>
    </w:p>
    <w:p w14:paraId="7A65BF4F" w14:textId="109DD95A"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 xml:space="preserve">*: tregon një ndjeshmëri të dobët të varietetit ndaj </w:t>
      </w:r>
      <w:r w:rsidRPr="00F5176E">
        <w:rPr>
          <w:rFonts w:ascii="Garamond" w:eastAsiaTheme="minorHAnsi" w:hAnsi="Garamond"/>
          <w:bCs/>
          <w:i/>
          <w:color w:val="000000"/>
          <w:lang w:eastAsia="en-US"/>
        </w:rPr>
        <w:t>S. endobioticum</w:t>
      </w:r>
      <w:r w:rsidRPr="00F5176E">
        <w:rPr>
          <w:rFonts w:ascii="Garamond" w:eastAsiaTheme="minorHAnsi" w:hAnsi="Garamond"/>
          <w:bCs/>
          <w:color w:val="000000"/>
          <w:lang w:eastAsia="en-US"/>
        </w:rPr>
        <w:t xml:space="preserve"> (</w:t>
      </w:r>
      <w:r w:rsidR="001D62C0" w:rsidRPr="00F5176E">
        <w:rPr>
          <w:rFonts w:ascii="Garamond" w:eastAsiaTheme="minorHAnsi" w:hAnsi="Garamond"/>
          <w:bCs/>
          <w:color w:val="000000"/>
          <w:lang w:eastAsia="en-US"/>
        </w:rPr>
        <w:t xml:space="preserve">prania e fushave sori jo-nekrotike pa formim </w:t>
      </w:r>
      <w:r w:rsidR="00504E7F" w:rsidRPr="00F5176E">
        <w:rPr>
          <w:rFonts w:ascii="Garamond" w:eastAsiaTheme="minorHAnsi" w:hAnsi="Garamond"/>
          <w:bCs/>
          <w:color w:val="000000"/>
          <w:lang w:eastAsia="en-US"/>
        </w:rPr>
        <w:t>gungave’</w:t>
      </w:r>
      <w:r w:rsidRPr="00F5176E">
        <w:rPr>
          <w:rFonts w:ascii="Garamond" w:eastAsiaTheme="minorHAnsi" w:hAnsi="Garamond"/>
          <w:bCs/>
          <w:color w:val="000000"/>
          <w:lang w:eastAsia="en-US"/>
        </w:rPr>
        <w:t>).</w:t>
      </w:r>
    </w:p>
    <w:p w14:paraId="484E552A" w14:textId="2E6D9C6B"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w:t>
      </w:r>
      <w:r w:rsidRPr="00F5176E">
        <w:rPr>
          <w:rFonts w:ascii="Garamond" w:eastAsiaTheme="minorHAnsi" w:hAnsi="Garamond"/>
          <w:bCs/>
          <w:color w:val="000000"/>
          <w:lang w:eastAsia="en-US"/>
        </w:rPr>
        <w:t xml:space="preserve">) Pratt MA. 1976. Një teknikë e </w:t>
      </w:r>
      <w:r w:rsidR="001D62C0" w:rsidRPr="00F5176E">
        <w:rPr>
          <w:rFonts w:ascii="Garamond" w:eastAsiaTheme="minorHAnsi" w:hAnsi="Garamond"/>
          <w:bCs/>
          <w:color w:val="000000"/>
          <w:lang w:eastAsia="en-US"/>
        </w:rPr>
        <w:t xml:space="preserve">sitës të </w:t>
      </w:r>
      <w:r w:rsidRPr="00F5176E">
        <w:rPr>
          <w:rFonts w:ascii="Garamond" w:eastAsiaTheme="minorHAnsi" w:hAnsi="Garamond"/>
          <w:bCs/>
          <w:color w:val="000000"/>
          <w:lang w:eastAsia="en-US"/>
        </w:rPr>
        <w:t xml:space="preserve">lagësht dhe </w:t>
      </w:r>
      <w:r w:rsidR="001D62C0" w:rsidRPr="00F5176E">
        <w:rPr>
          <w:rFonts w:ascii="Garamond" w:eastAsiaTheme="minorHAnsi" w:hAnsi="Garamond"/>
          <w:bCs/>
          <w:color w:val="000000"/>
          <w:lang w:eastAsia="en-US"/>
        </w:rPr>
        <w:t>teknikën e flotacionit për zbulimin e sporangje</w:t>
      </w:r>
      <w:r w:rsidRPr="00F5176E">
        <w:rPr>
          <w:rFonts w:ascii="Garamond" w:eastAsiaTheme="minorHAnsi" w:hAnsi="Garamond"/>
          <w:bCs/>
          <w:color w:val="000000"/>
          <w:lang w:eastAsia="en-US"/>
        </w:rPr>
        <w:t xml:space="preserve">ve në </w:t>
      </w:r>
      <w:r w:rsidR="001D62C0" w:rsidRPr="00F5176E">
        <w:rPr>
          <w:rFonts w:ascii="Garamond" w:eastAsiaTheme="minorHAnsi" w:hAnsi="Garamond"/>
          <w:bCs/>
          <w:color w:val="000000"/>
          <w:lang w:eastAsia="en-US"/>
        </w:rPr>
        <w:t>fazën e dimërimit</w:t>
      </w:r>
      <w:r w:rsidRPr="00F5176E">
        <w:rPr>
          <w:rFonts w:ascii="Garamond" w:eastAsiaTheme="minorHAnsi" w:hAnsi="Garamond"/>
          <w:bCs/>
          <w:color w:val="000000"/>
          <w:lang w:eastAsia="en-US"/>
        </w:rPr>
        <w:t xml:space="preserve"> </w:t>
      </w:r>
      <w:r w:rsidRPr="00F5176E">
        <w:rPr>
          <w:rFonts w:ascii="Garamond" w:eastAsiaTheme="minorHAnsi" w:hAnsi="Garamond"/>
          <w:bCs/>
          <w:i/>
          <w:color w:val="000000"/>
          <w:lang w:eastAsia="en-US"/>
        </w:rPr>
        <w:t xml:space="preserve">Synchytrium endobioticum </w:t>
      </w:r>
      <w:r w:rsidRPr="00F5176E">
        <w:rPr>
          <w:rFonts w:ascii="Garamond" w:eastAsiaTheme="minorHAnsi" w:hAnsi="Garamond"/>
          <w:bCs/>
          <w:color w:val="000000"/>
          <w:lang w:eastAsia="en-US"/>
        </w:rPr>
        <w:t>në tokë. Ann</w:t>
      </w:r>
      <w:r w:rsidR="001D62C0" w:rsidRPr="00F5176E">
        <w:rPr>
          <w:rFonts w:ascii="Garamond" w:eastAsiaTheme="minorHAnsi" w:hAnsi="Garamond"/>
          <w:bCs/>
          <w:color w:val="000000"/>
          <w:lang w:eastAsia="en-US"/>
        </w:rPr>
        <w:t>als of Applied Biology 82: 21-</w:t>
      </w:r>
      <w:r w:rsidRPr="00F5176E">
        <w:rPr>
          <w:rFonts w:ascii="Garamond" w:eastAsiaTheme="minorHAnsi" w:hAnsi="Garamond"/>
          <w:bCs/>
          <w:color w:val="000000"/>
          <w:lang w:eastAsia="en-US"/>
        </w:rPr>
        <w:t>29.</w:t>
      </w:r>
    </w:p>
    <w:p w14:paraId="4C8B6CDA" w14:textId="7A72E1BA"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2</w:t>
      </w:r>
      <w:r w:rsidRPr="00F5176E">
        <w:rPr>
          <w:rFonts w:ascii="Garamond" w:eastAsiaTheme="minorHAnsi" w:hAnsi="Garamond"/>
          <w:bCs/>
          <w:color w:val="000000"/>
          <w:lang w:eastAsia="en-US"/>
        </w:rPr>
        <w:t>) van Leeuwen GCM, Wander JGN, Lamers J, Meffert JP, van den Boogert PHJF, Baayen RP. 2005. Ekzaminimi i drej</w:t>
      </w:r>
      <w:r w:rsidR="001D62C0" w:rsidRPr="00F5176E">
        <w:rPr>
          <w:rFonts w:ascii="Garamond" w:eastAsiaTheme="minorHAnsi" w:hAnsi="Garamond"/>
          <w:bCs/>
          <w:color w:val="000000"/>
          <w:lang w:eastAsia="en-US"/>
        </w:rPr>
        <w:t xml:space="preserve">tpërdrejtë i tokës për sporangjet </w:t>
      </w:r>
      <w:r w:rsidRPr="00F5176E">
        <w:rPr>
          <w:rFonts w:ascii="Garamond" w:eastAsiaTheme="minorHAnsi" w:hAnsi="Garamond"/>
          <w:bCs/>
          <w:color w:val="000000"/>
          <w:lang w:eastAsia="en-US"/>
        </w:rPr>
        <w:t xml:space="preserve">e </w:t>
      </w:r>
      <w:r w:rsidRPr="00F5176E">
        <w:rPr>
          <w:rFonts w:ascii="Garamond" w:eastAsiaTheme="minorHAnsi" w:hAnsi="Garamond"/>
          <w:bCs/>
          <w:i/>
          <w:color w:val="000000"/>
          <w:lang w:eastAsia="en-US"/>
        </w:rPr>
        <w:t>Synchytrium endobioticum</w:t>
      </w:r>
      <w:r w:rsidRPr="00F5176E">
        <w:rPr>
          <w:rFonts w:ascii="Garamond" w:eastAsiaTheme="minorHAnsi" w:hAnsi="Garamond"/>
          <w:bCs/>
          <w:color w:val="000000"/>
          <w:lang w:eastAsia="en-US"/>
        </w:rPr>
        <w:t xml:space="preserve"> duke përdorur kloroform, klorur kalciumi dhe sulfat zinku si reagentë ekst</w:t>
      </w:r>
      <w:r w:rsidR="001D62C0" w:rsidRPr="00F5176E">
        <w:rPr>
          <w:rFonts w:ascii="Garamond" w:eastAsiaTheme="minorHAnsi" w:hAnsi="Garamond"/>
          <w:bCs/>
          <w:color w:val="000000"/>
          <w:lang w:eastAsia="en-US"/>
        </w:rPr>
        <w:t>raktues. Buletini EPPO 35: 25-</w:t>
      </w:r>
      <w:r w:rsidRPr="00F5176E">
        <w:rPr>
          <w:rFonts w:ascii="Garamond" w:eastAsiaTheme="minorHAnsi" w:hAnsi="Garamond"/>
          <w:bCs/>
          <w:color w:val="000000"/>
          <w:lang w:eastAsia="en-US"/>
        </w:rPr>
        <w:t>31.</w:t>
      </w:r>
    </w:p>
    <w:p w14:paraId="631F8C0E" w14:textId="6E23390E"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3</w:t>
      </w:r>
      <w:r w:rsidRPr="00F5176E">
        <w:rPr>
          <w:rFonts w:ascii="Garamond" w:eastAsiaTheme="minorHAnsi" w:hAnsi="Garamond"/>
          <w:bCs/>
          <w:color w:val="000000"/>
          <w:lang w:eastAsia="en-US"/>
        </w:rPr>
        <w:t xml:space="preserve">) </w:t>
      </w:r>
      <w:r w:rsidR="00C31E1B" w:rsidRPr="00F5176E">
        <w:rPr>
          <w:rFonts w:ascii="Garamond" w:eastAsiaTheme="minorHAnsi" w:hAnsi="Garamond"/>
          <w:bCs/>
          <w:color w:val="000000"/>
          <w:lang w:eastAsia="en-US"/>
        </w:rPr>
        <w:t xml:space="preserve">Wander JGN, van den Berg W, van den Boogert PHJF, Lamers JG, van Leeuwen GCM, Hendrickx G, Bonants P. 2007. Një teknikë e re duke përdorur centrifugën Hendrickx për nxjerrjen e sporangjeve dimërore të </w:t>
      </w:r>
      <w:r w:rsidR="00C31E1B" w:rsidRPr="00F5176E">
        <w:rPr>
          <w:rFonts w:ascii="Garamond" w:eastAsiaTheme="minorHAnsi" w:hAnsi="Garamond"/>
          <w:bCs/>
          <w:i/>
          <w:color w:val="000000"/>
          <w:lang w:eastAsia="en-US"/>
        </w:rPr>
        <w:t>Synchytrium endobioticum</w:t>
      </w:r>
      <w:r w:rsidR="00C31E1B" w:rsidRPr="00F5176E">
        <w:rPr>
          <w:rFonts w:ascii="Garamond" w:eastAsiaTheme="minorHAnsi" w:hAnsi="Garamond"/>
          <w:bCs/>
          <w:color w:val="000000"/>
          <w:lang w:eastAsia="en-US"/>
        </w:rPr>
        <w:t xml:space="preserve"> nga toka. </w:t>
      </w:r>
      <w:r w:rsidR="00C31E1B" w:rsidRPr="00F5176E">
        <w:rPr>
          <w:rFonts w:ascii="Garamond" w:eastAsiaTheme="minorHAnsi" w:hAnsi="Garamond"/>
          <w:bCs/>
          <w:i/>
          <w:color w:val="000000"/>
          <w:lang w:eastAsia="en-US"/>
        </w:rPr>
        <w:t>European Journal of Plant Patology</w:t>
      </w:r>
      <w:r w:rsidR="00C31E1B" w:rsidRPr="00F5176E">
        <w:rPr>
          <w:rFonts w:ascii="Garamond" w:eastAsiaTheme="minorHAnsi" w:hAnsi="Garamond"/>
          <w:bCs/>
          <w:color w:val="000000"/>
          <w:lang w:eastAsia="en-US"/>
        </w:rPr>
        <w:t xml:space="preserve"> 119:165-174.</w:t>
      </w:r>
    </w:p>
    <w:p w14:paraId="4756425B" w14:textId="4C76B304" w:rsidR="00C31E1B"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4</w:t>
      </w:r>
      <w:r w:rsidRPr="00F5176E">
        <w:rPr>
          <w:rFonts w:ascii="Garamond" w:eastAsiaTheme="minorHAnsi" w:hAnsi="Garamond"/>
          <w:bCs/>
          <w:color w:val="000000"/>
          <w:lang w:eastAsia="en-US"/>
        </w:rPr>
        <w:t xml:space="preserve">) </w:t>
      </w:r>
      <w:r w:rsidR="00C31E1B" w:rsidRPr="00F5176E">
        <w:rPr>
          <w:rFonts w:ascii="Garamond" w:eastAsiaTheme="minorHAnsi" w:hAnsi="Garamond"/>
          <w:bCs/>
          <w:color w:val="000000"/>
          <w:lang w:eastAsia="en-US"/>
        </w:rPr>
        <w:t xml:space="preserve">Lévesque CA, de Jong SN, Ward LJ &amp; de Boer SH (2001) Filogjenia molekulare dhe zbulimi i </w:t>
      </w:r>
      <w:r w:rsidR="00C31E1B" w:rsidRPr="00F5176E">
        <w:rPr>
          <w:rFonts w:ascii="Garamond" w:eastAsiaTheme="minorHAnsi" w:hAnsi="Garamond"/>
          <w:bCs/>
          <w:i/>
          <w:color w:val="000000"/>
          <w:lang w:eastAsia="en-US"/>
        </w:rPr>
        <w:t>Synchytrium endobioticum</w:t>
      </w:r>
      <w:r w:rsidR="00C31E1B" w:rsidRPr="00F5176E">
        <w:rPr>
          <w:rFonts w:ascii="Garamond" w:eastAsiaTheme="minorHAnsi" w:hAnsi="Garamond"/>
          <w:bCs/>
          <w:color w:val="000000"/>
          <w:lang w:eastAsia="en-US"/>
        </w:rPr>
        <w:t xml:space="preserve">, agjenti shkaktar i </w:t>
      </w:r>
      <w:r w:rsidR="00900DE2" w:rsidRPr="00F5176E">
        <w:rPr>
          <w:rFonts w:ascii="Garamond" w:eastAsiaTheme="minorHAnsi" w:hAnsi="Garamond"/>
          <w:bCs/>
          <w:color w:val="000000"/>
          <w:lang w:eastAsia="en-US"/>
        </w:rPr>
        <w:t>kancerit</w:t>
      </w:r>
      <w:r w:rsidR="00C31E1B" w:rsidRPr="00F5176E">
        <w:rPr>
          <w:rFonts w:ascii="Garamond" w:eastAsiaTheme="minorHAnsi" w:hAnsi="Garamond"/>
          <w:bCs/>
          <w:color w:val="000000"/>
          <w:lang w:eastAsia="en-US"/>
        </w:rPr>
        <w:t xml:space="preserve"> të patates. </w:t>
      </w:r>
      <w:r w:rsidR="00C31E1B" w:rsidRPr="00F5176E">
        <w:rPr>
          <w:rFonts w:ascii="Garamond" w:eastAsiaTheme="minorHAnsi" w:hAnsi="Garamond"/>
          <w:bCs/>
          <w:i/>
          <w:color w:val="000000"/>
          <w:lang w:eastAsia="en-US"/>
        </w:rPr>
        <w:t>Gazeta Kanadeze e Patologjisë së Bimëve</w:t>
      </w:r>
      <w:r w:rsidR="00C31E1B" w:rsidRPr="00F5176E">
        <w:rPr>
          <w:rFonts w:ascii="Garamond" w:eastAsiaTheme="minorHAnsi" w:hAnsi="Garamond"/>
          <w:bCs/>
          <w:color w:val="000000"/>
          <w:lang w:eastAsia="en-US"/>
        </w:rPr>
        <w:t xml:space="preserve"> 23:200-201. </w:t>
      </w:r>
    </w:p>
    <w:p w14:paraId="461B34B8" w14:textId="18BE7DF4"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5</w:t>
      </w:r>
      <w:r w:rsidRPr="00F5176E">
        <w:rPr>
          <w:rFonts w:ascii="Garamond" w:eastAsiaTheme="minorHAnsi" w:hAnsi="Garamond"/>
          <w:bCs/>
          <w:color w:val="000000"/>
          <w:lang w:eastAsia="en-US"/>
        </w:rPr>
        <w:t>) van den Boogert PHJF, van Gent-Pelzer MPE, Bonants PJM, de Boer SH, Wander JGN, Lévesque CA, van Leeuwen GCM, Baayen RP.</w:t>
      </w:r>
      <w:r w:rsidR="00C82E44" w:rsidRPr="00F5176E">
        <w:rPr>
          <w:rFonts w:ascii="Garamond" w:eastAsiaTheme="minorHAnsi" w:hAnsi="Garamond"/>
          <w:bCs/>
          <w:color w:val="000000"/>
          <w:lang w:eastAsia="en-US"/>
        </w:rPr>
        <w:t xml:space="preserve"> </w:t>
      </w:r>
      <w:r w:rsidRPr="00F5176E">
        <w:rPr>
          <w:rFonts w:ascii="Garamond" w:eastAsiaTheme="minorHAnsi" w:hAnsi="Garamond"/>
          <w:bCs/>
          <w:color w:val="000000"/>
          <w:lang w:eastAsia="en-US"/>
        </w:rPr>
        <w:t>2005. Zhvillimi i metodave të zbulimit të bazuara në PCR për f</w:t>
      </w:r>
      <w:r w:rsidR="00C82E44" w:rsidRPr="00F5176E">
        <w:rPr>
          <w:rFonts w:ascii="Garamond" w:eastAsiaTheme="minorHAnsi" w:hAnsi="Garamond"/>
          <w:bCs/>
          <w:color w:val="000000"/>
          <w:lang w:eastAsia="en-US"/>
        </w:rPr>
        <w:t>itopatogjenin karantinor</w:t>
      </w:r>
      <w:r w:rsidRPr="00F5176E">
        <w:rPr>
          <w:rFonts w:ascii="Garamond" w:eastAsiaTheme="minorHAnsi" w:hAnsi="Garamond"/>
          <w:bCs/>
          <w:color w:val="000000"/>
          <w:lang w:eastAsia="en-US"/>
        </w:rPr>
        <w:t xml:space="preserve"> </w:t>
      </w:r>
      <w:r w:rsidRPr="00F5176E">
        <w:rPr>
          <w:rFonts w:ascii="Garamond" w:eastAsiaTheme="minorHAnsi" w:hAnsi="Garamond"/>
          <w:bCs/>
          <w:i/>
          <w:color w:val="000000"/>
          <w:lang w:eastAsia="en-US"/>
        </w:rPr>
        <w:t>Synchytrium endobioticum</w:t>
      </w:r>
      <w:r w:rsidRPr="00F5176E">
        <w:rPr>
          <w:rFonts w:ascii="Garamond" w:eastAsiaTheme="minorHAnsi" w:hAnsi="Garamond"/>
          <w:bCs/>
          <w:color w:val="000000"/>
          <w:lang w:eastAsia="en-US"/>
        </w:rPr>
        <w:t>, agjent shkaktar i</w:t>
      </w:r>
      <w:r w:rsidR="003F5BE0" w:rsidRPr="00F5176E">
        <w:rPr>
          <w:rFonts w:ascii="Garamond" w:eastAsiaTheme="minorHAnsi" w:hAnsi="Garamond"/>
          <w:bCs/>
          <w:color w:val="000000"/>
          <w:lang w:eastAsia="en-US"/>
        </w:rPr>
        <w:t xml:space="preserve"> sëmundjes</w:t>
      </w:r>
      <w:r w:rsidRPr="00F5176E">
        <w:rPr>
          <w:rFonts w:ascii="Garamond" w:eastAsiaTheme="minorHAnsi" w:hAnsi="Garamond"/>
          <w:bCs/>
          <w:color w:val="000000"/>
          <w:lang w:eastAsia="en-US"/>
        </w:rPr>
        <w:t xml:space="preserve"> </w:t>
      </w:r>
      <w:r w:rsidR="003F5BE0" w:rsidRPr="00F5176E">
        <w:rPr>
          <w:rFonts w:ascii="Garamond" w:eastAsiaTheme="minorHAnsi" w:hAnsi="Garamond"/>
          <w:bCs/>
          <w:color w:val="000000"/>
          <w:lang w:eastAsia="en-US"/>
        </w:rPr>
        <w:t>së</w:t>
      </w:r>
      <w:r w:rsidRPr="00F5176E">
        <w:rPr>
          <w:rFonts w:ascii="Garamond" w:eastAsiaTheme="minorHAnsi" w:hAnsi="Garamond"/>
          <w:bCs/>
          <w:color w:val="000000"/>
          <w:lang w:eastAsia="en-US"/>
        </w:rPr>
        <w:t xml:space="preserve">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të patates. </w:t>
      </w:r>
      <w:r w:rsidRPr="00F5176E">
        <w:rPr>
          <w:rFonts w:ascii="Garamond" w:eastAsiaTheme="minorHAnsi" w:hAnsi="Garamond"/>
          <w:bCs/>
          <w:i/>
          <w:color w:val="000000"/>
          <w:lang w:eastAsia="en-US"/>
        </w:rPr>
        <w:t>European Jo</w:t>
      </w:r>
      <w:r w:rsidR="003F5BE0" w:rsidRPr="00F5176E">
        <w:rPr>
          <w:rFonts w:ascii="Garamond" w:eastAsiaTheme="minorHAnsi" w:hAnsi="Garamond"/>
          <w:bCs/>
          <w:i/>
          <w:color w:val="000000"/>
          <w:lang w:eastAsia="en-US"/>
        </w:rPr>
        <w:t>urnal of Plant Patology</w:t>
      </w:r>
      <w:r w:rsidR="003F5BE0" w:rsidRPr="00F5176E">
        <w:rPr>
          <w:rFonts w:ascii="Garamond" w:eastAsiaTheme="minorHAnsi" w:hAnsi="Garamond"/>
          <w:bCs/>
          <w:color w:val="000000"/>
          <w:lang w:eastAsia="en-US"/>
        </w:rPr>
        <w:t xml:space="preserve"> 113:47-</w:t>
      </w:r>
      <w:r w:rsidRPr="00F5176E">
        <w:rPr>
          <w:rFonts w:ascii="Garamond" w:eastAsiaTheme="minorHAnsi" w:hAnsi="Garamond"/>
          <w:bCs/>
          <w:color w:val="000000"/>
          <w:lang w:eastAsia="en-US"/>
        </w:rPr>
        <w:t>57.</w:t>
      </w:r>
    </w:p>
    <w:p w14:paraId="171B79DC" w14:textId="247F01D9"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6</w:t>
      </w:r>
      <w:r w:rsidR="00672C24" w:rsidRPr="00F5176E">
        <w:rPr>
          <w:rFonts w:ascii="Garamond" w:eastAsiaTheme="minorHAnsi" w:hAnsi="Garamond"/>
          <w:bCs/>
          <w:color w:val="000000"/>
          <w:lang w:eastAsia="en-US"/>
        </w:rPr>
        <w:t xml:space="preserve">) van Gent-Pelzer MPE, Krijger M, Bonants PJM. 2010. Përmirësimi i analizës real-time PCR për zbulimin e patogjenit karantinor të patates, </w:t>
      </w:r>
      <w:r w:rsidR="00672C24" w:rsidRPr="00F5176E">
        <w:rPr>
          <w:rFonts w:ascii="Garamond" w:eastAsiaTheme="minorHAnsi" w:hAnsi="Garamond"/>
          <w:bCs/>
          <w:i/>
          <w:color w:val="000000"/>
          <w:lang w:eastAsia="en-US"/>
        </w:rPr>
        <w:t>Synchytrium endobioticum</w:t>
      </w:r>
      <w:r w:rsidR="00672C24" w:rsidRPr="00F5176E">
        <w:rPr>
          <w:rFonts w:ascii="Garamond" w:eastAsiaTheme="minorHAnsi" w:hAnsi="Garamond"/>
          <w:bCs/>
          <w:color w:val="000000"/>
          <w:lang w:eastAsia="en-US"/>
        </w:rPr>
        <w:t xml:space="preserve">, në ekstraktet zonale të centrifugës nga toka dhe në bimë. </w:t>
      </w:r>
      <w:r w:rsidR="00672C24" w:rsidRPr="00F5176E">
        <w:rPr>
          <w:rFonts w:ascii="Garamond" w:eastAsiaTheme="minorHAnsi" w:hAnsi="Garamond"/>
          <w:bCs/>
          <w:i/>
          <w:color w:val="000000"/>
          <w:lang w:eastAsia="en-US"/>
        </w:rPr>
        <w:t>European Journal of Plant Patology</w:t>
      </w:r>
      <w:r w:rsidR="00672C24" w:rsidRPr="00F5176E">
        <w:rPr>
          <w:rFonts w:ascii="Garamond" w:eastAsiaTheme="minorHAnsi" w:hAnsi="Garamond"/>
          <w:bCs/>
          <w:color w:val="000000"/>
          <w:lang w:eastAsia="en-US"/>
        </w:rPr>
        <w:t xml:space="preserve"> 126:129-133.</w:t>
      </w:r>
    </w:p>
    <w:p w14:paraId="23A490CD" w14:textId="44D85D71"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lastRenderedPageBreak/>
        <w:t>(</w:t>
      </w:r>
      <w:r w:rsidRPr="00F5176E">
        <w:rPr>
          <w:rFonts w:ascii="Garamond" w:eastAsiaTheme="minorHAnsi" w:hAnsi="Garamond"/>
          <w:bCs/>
          <w:color w:val="000000"/>
          <w:vertAlign w:val="superscript"/>
          <w:lang w:eastAsia="en-US"/>
        </w:rPr>
        <w:t>7</w:t>
      </w:r>
      <w:r w:rsidR="00672C24" w:rsidRPr="00F5176E">
        <w:rPr>
          <w:rFonts w:ascii="Garamond" w:eastAsiaTheme="minorHAnsi" w:hAnsi="Garamond"/>
          <w:bCs/>
          <w:color w:val="000000"/>
          <w:lang w:eastAsia="en-US"/>
        </w:rPr>
        <w:t xml:space="preserve">) Smith DS, Rocheleau H, Chapados JT, Abbott C, Ribero S, Redhead SA, Lévesque CA, De Boer SH. 2014. Filogjenia e gjinisë </w:t>
      </w:r>
      <w:r w:rsidR="00672C24" w:rsidRPr="00F5176E">
        <w:rPr>
          <w:rFonts w:ascii="Garamond" w:eastAsiaTheme="minorHAnsi" w:hAnsi="Garamond"/>
          <w:bCs/>
          <w:i/>
          <w:color w:val="000000"/>
          <w:lang w:eastAsia="en-US"/>
        </w:rPr>
        <w:t>Synchytrium</w:t>
      </w:r>
      <w:r w:rsidR="00672C24" w:rsidRPr="00F5176E">
        <w:rPr>
          <w:rFonts w:ascii="Garamond" w:eastAsiaTheme="minorHAnsi" w:hAnsi="Garamond"/>
          <w:bCs/>
          <w:color w:val="000000"/>
          <w:lang w:eastAsia="en-US"/>
        </w:rPr>
        <w:t xml:space="preserve"> dhe zhvillimi i analizës TaqMan PCR për zbulimin e ndjeshëm të </w:t>
      </w:r>
      <w:r w:rsidR="00672C24" w:rsidRPr="00F5176E">
        <w:rPr>
          <w:rFonts w:ascii="Garamond" w:eastAsiaTheme="minorHAnsi" w:hAnsi="Garamond"/>
          <w:bCs/>
          <w:i/>
          <w:color w:val="000000"/>
          <w:lang w:eastAsia="en-US"/>
        </w:rPr>
        <w:t>Synchytrium endobioticum</w:t>
      </w:r>
      <w:r w:rsidR="00672C24" w:rsidRPr="00F5176E">
        <w:rPr>
          <w:rFonts w:ascii="Garamond" w:eastAsiaTheme="minorHAnsi" w:hAnsi="Garamond"/>
          <w:bCs/>
          <w:color w:val="000000"/>
          <w:lang w:eastAsia="en-US"/>
        </w:rPr>
        <w:t xml:space="preserve"> në tokë. Phytopathology 104:422-432.</w:t>
      </w:r>
    </w:p>
    <w:p w14:paraId="7B53DB6A" w14:textId="04ACE446"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8</w:t>
      </w:r>
      <w:r w:rsidRPr="00F5176E">
        <w:rPr>
          <w:rFonts w:ascii="Garamond" w:eastAsiaTheme="minorHAnsi" w:hAnsi="Garamond"/>
          <w:bCs/>
          <w:color w:val="000000"/>
          <w:lang w:eastAsia="en-US"/>
        </w:rPr>
        <w:t xml:space="preserve">) Przetakiewicz, J. </w:t>
      </w:r>
      <w:r w:rsidR="00C31E1B" w:rsidRPr="00F5176E">
        <w:rPr>
          <w:rFonts w:ascii="Garamond" w:eastAsiaTheme="minorHAnsi" w:hAnsi="Garamond"/>
          <w:bCs/>
          <w:color w:val="000000"/>
          <w:lang w:eastAsia="en-US"/>
        </w:rPr>
        <w:t>2015. Qëndrueshmëria e Sporangje</w:t>
      </w:r>
      <w:r w:rsidRPr="00F5176E">
        <w:rPr>
          <w:rFonts w:ascii="Garamond" w:eastAsiaTheme="minorHAnsi" w:hAnsi="Garamond"/>
          <w:bCs/>
          <w:color w:val="000000"/>
          <w:lang w:eastAsia="en-US"/>
        </w:rPr>
        <w:t xml:space="preserve">ve dimërore të </w:t>
      </w:r>
      <w:r w:rsidRPr="00F5176E">
        <w:rPr>
          <w:rFonts w:ascii="Garamond" w:eastAsiaTheme="minorHAnsi" w:hAnsi="Garamond"/>
          <w:bCs/>
          <w:i/>
          <w:color w:val="000000"/>
          <w:lang w:eastAsia="en-US"/>
        </w:rPr>
        <w:t>Synchytrium endobioticum</w:t>
      </w:r>
      <w:r w:rsidRPr="00F5176E">
        <w:rPr>
          <w:rFonts w:ascii="Garamond" w:eastAsiaTheme="minorHAnsi" w:hAnsi="Garamond"/>
          <w:bCs/>
          <w:color w:val="000000"/>
          <w:lang w:eastAsia="en-US"/>
        </w:rPr>
        <w:t xml:space="preserve"> (Schilb.) Perc. Nga Polonia. Gazeta Amerikane e Kërkimit të Patates 92:704-708.</w:t>
      </w:r>
    </w:p>
    <w:p w14:paraId="366EE538" w14:textId="08F6A18D"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9</w:t>
      </w:r>
      <w:r w:rsidRPr="00F5176E">
        <w:rPr>
          <w:rFonts w:ascii="Garamond" w:eastAsiaTheme="minorHAnsi" w:hAnsi="Garamond"/>
          <w:bCs/>
          <w:color w:val="000000"/>
          <w:lang w:eastAsia="en-US"/>
        </w:rPr>
        <w:t xml:space="preserve">) Spieckermann A, Kothoff P. 1924. Testimi i patateve për rezistencën ndaj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Deutsche Landw</w:t>
      </w:r>
      <w:r w:rsidR="00C31E1B" w:rsidRPr="00F5176E">
        <w:rPr>
          <w:rFonts w:ascii="Garamond" w:eastAsiaTheme="minorHAnsi" w:hAnsi="Garamond"/>
          <w:bCs/>
          <w:color w:val="000000"/>
          <w:lang w:eastAsia="en-US"/>
        </w:rPr>
        <w:t>irtschaftliche Presse 51:114-</w:t>
      </w:r>
      <w:r w:rsidRPr="00F5176E">
        <w:rPr>
          <w:rFonts w:ascii="Garamond" w:eastAsiaTheme="minorHAnsi" w:hAnsi="Garamond"/>
          <w:bCs/>
          <w:color w:val="000000"/>
          <w:lang w:eastAsia="en-US"/>
        </w:rPr>
        <w:t>115.</w:t>
      </w:r>
    </w:p>
    <w:p w14:paraId="0CF79438" w14:textId="2583FBB6" w:rsidR="006E7790" w:rsidRPr="00F5176E" w:rsidRDefault="00C31E1B"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10</w:t>
      </w:r>
      <w:r w:rsidRPr="00F5176E">
        <w:rPr>
          <w:rFonts w:ascii="Garamond" w:eastAsiaTheme="minorHAnsi" w:hAnsi="Garamond"/>
          <w:bCs/>
          <w:color w:val="000000"/>
          <w:lang w:eastAsia="en-US"/>
        </w:rPr>
        <w:t xml:space="preserve">) Potoček J, Krajíčková K, Klabzubová S, Krejcar Z, Hnízdil M, Novák F, Perlová V. 1991. Identifikimi i ri </w:t>
      </w:r>
      <w:r w:rsidRPr="00F5176E">
        <w:rPr>
          <w:rFonts w:ascii="Garamond" w:eastAsiaTheme="minorHAnsi" w:hAnsi="Garamond"/>
          <w:bCs/>
          <w:i/>
          <w:color w:val="000000"/>
          <w:lang w:eastAsia="en-US"/>
        </w:rPr>
        <w:t>Synchytrium endobioticum</w:t>
      </w:r>
      <w:r w:rsidRPr="00F5176E">
        <w:rPr>
          <w:rFonts w:ascii="Garamond" w:eastAsiaTheme="minorHAnsi" w:hAnsi="Garamond"/>
          <w:bCs/>
          <w:color w:val="000000"/>
          <w:lang w:eastAsia="en-US"/>
        </w:rPr>
        <w:t xml:space="preserve"> (Schilb.) Perc. Patotipet në Republikën Çeke. Ochrana Rostlin 27:191-205.</w:t>
      </w:r>
    </w:p>
    <w:p w14:paraId="10FDE69D" w14:textId="131B5D08"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11</w:t>
      </w:r>
      <w:r w:rsidRPr="00F5176E">
        <w:rPr>
          <w:rFonts w:ascii="Garamond" w:eastAsiaTheme="minorHAnsi" w:hAnsi="Garamond"/>
          <w:bCs/>
          <w:color w:val="000000"/>
          <w:lang w:eastAsia="en-US"/>
        </w:rPr>
        <w:t xml:space="preserve">) Glynne MD. 1925. Eksperimentet e infeksionit me sëmundjen e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të patateve. </w:t>
      </w:r>
      <w:r w:rsidRPr="00F5176E">
        <w:rPr>
          <w:rFonts w:ascii="Garamond" w:eastAsiaTheme="minorHAnsi" w:hAnsi="Garamond"/>
          <w:bCs/>
          <w:i/>
          <w:color w:val="000000"/>
          <w:lang w:eastAsia="en-US"/>
        </w:rPr>
        <w:t>Synchytrium endobioticum</w:t>
      </w:r>
      <w:r w:rsidRPr="00F5176E">
        <w:rPr>
          <w:rFonts w:ascii="Garamond" w:eastAsiaTheme="minorHAnsi" w:hAnsi="Garamond"/>
          <w:bCs/>
          <w:color w:val="000000"/>
          <w:lang w:eastAsia="en-US"/>
        </w:rPr>
        <w:t xml:space="preserve">. Analet e </w:t>
      </w:r>
      <w:r w:rsidR="00C31E1B" w:rsidRPr="00F5176E">
        <w:rPr>
          <w:rFonts w:ascii="Garamond" w:eastAsiaTheme="minorHAnsi" w:hAnsi="Garamond"/>
          <w:bCs/>
          <w:color w:val="000000"/>
          <w:lang w:eastAsia="en-US"/>
        </w:rPr>
        <w:t>Biologjisë së Aplikuar 12:34-</w:t>
      </w:r>
      <w:r w:rsidRPr="00F5176E">
        <w:rPr>
          <w:rFonts w:ascii="Garamond" w:eastAsiaTheme="minorHAnsi" w:hAnsi="Garamond"/>
          <w:bCs/>
          <w:color w:val="000000"/>
          <w:lang w:eastAsia="en-US"/>
        </w:rPr>
        <w:t>60.</w:t>
      </w:r>
    </w:p>
    <w:p w14:paraId="7784C656" w14:textId="3F3C1241"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12</w:t>
      </w:r>
      <w:r w:rsidRPr="00F5176E">
        <w:rPr>
          <w:rFonts w:ascii="Garamond" w:eastAsiaTheme="minorHAnsi" w:hAnsi="Garamond"/>
          <w:bCs/>
          <w:color w:val="000000"/>
          <w:lang w:eastAsia="en-US"/>
        </w:rPr>
        <w:t>) Lemmerzahl J. 1930. Një metodë e re e thjeshtuar për inokulimin e kultivarëve të patates për të testuar rezistencën</w:t>
      </w:r>
      <w:r w:rsidR="00C31E1B" w:rsidRPr="00F5176E">
        <w:rPr>
          <w:rFonts w:ascii="Garamond" w:eastAsiaTheme="minorHAnsi" w:hAnsi="Garamond"/>
          <w:bCs/>
          <w:color w:val="000000"/>
          <w:lang w:eastAsia="en-US"/>
        </w:rPr>
        <w:t xml:space="preserve"> ndaj </w:t>
      </w:r>
      <w:r w:rsidR="00900DE2" w:rsidRPr="00F5176E">
        <w:rPr>
          <w:rFonts w:ascii="Garamond" w:eastAsiaTheme="minorHAnsi" w:hAnsi="Garamond"/>
          <w:bCs/>
          <w:color w:val="000000"/>
          <w:lang w:eastAsia="en-US"/>
        </w:rPr>
        <w:t>kancerit</w:t>
      </w:r>
      <w:r w:rsidR="00C31E1B" w:rsidRPr="00F5176E">
        <w:rPr>
          <w:rFonts w:ascii="Garamond" w:eastAsiaTheme="minorHAnsi" w:hAnsi="Garamond"/>
          <w:bCs/>
          <w:color w:val="000000"/>
          <w:lang w:eastAsia="en-US"/>
        </w:rPr>
        <w:t>. Züchter 2:288-</w:t>
      </w:r>
      <w:r w:rsidRPr="00F5176E">
        <w:rPr>
          <w:rFonts w:ascii="Garamond" w:eastAsiaTheme="minorHAnsi" w:hAnsi="Garamond"/>
          <w:bCs/>
          <w:color w:val="000000"/>
          <w:lang w:eastAsia="en-US"/>
        </w:rPr>
        <w:t>297.</w:t>
      </w:r>
    </w:p>
    <w:p w14:paraId="1D3E8587" w14:textId="73B21D05" w:rsidR="006E7790" w:rsidRPr="00F5176E" w:rsidRDefault="006E7790" w:rsidP="001E45F8">
      <w:pPr>
        <w:autoSpaceDE w:val="0"/>
        <w:autoSpaceDN w:val="0"/>
        <w:adjustRightInd w:val="0"/>
        <w:ind w:firstLine="284"/>
        <w:jc w:val="both"/>
        <w:rPr>
          <w:rFonts w:ascii="Garamond" w:eastAsiaTheme="minorHAnsi" w:hAnsi="Garamond"/>
          <w:bCs/>
          <w:color w:val="000000"/>
          <w:lang w:eastAsia="en-US"/>
        </w:rPr>
      </w:pPr>
      <w:r w:rsidRPr="00F5176E">
        <w:rPr>
          <w:rFonts w:ascii="Garamond" w:eastAsiaTheme="minorHAnsi" w:hAnsi="Garamond"/>
          <w:bCs/>
          <w:color w:val="000000"/>
          <w:lang w:eastAsia="en-US"/>
        </w:rPr>
        <w:t>(</w:t>
      </w:r>
      <w:r w:rsidRPr="00F5176E">
        <w:rPr>
          <w:rFonts w:ascii="Garamond" w:eastAsiaTheme="minorHAnsi" w:hAnsi="Garamond"/>
          <w:bCs/>
          <w:color w:val="000000"/>
          <w:vertAlign w:val="superscript"/>
          <w:lang w:eastAsia="en-US"/>
        </w:rPr>
        <w:t>13</w:t>
      </w:r>
      <w:r w:rsidRPr="00F5176E">
        <w:rPr>
          <w:rFonts w:ascii="Garamond" w:eastAsiaTheme="minorHAnsi" w:hAnsi="Garamond"/>
          <w:bCs/>
          <w:color w:val="000000"/>
          <w:lang w:eastAsia="en-US"/>
        </w:rPr>
        <w:t xml:space="preserve">) Noble M, Glynne MD. 1970. Sëmundja e </w:t>
      </w:r>
      <w:r w:rsidR="00900DE2" w:rsidRPr="00F5176E">
        <w:rPr>
          <w:rFonts w:ascii="Garamond" w:eastAsiaTheme="minorHAnsi" w:hAnsi="Garamond"/>
          <w:bCs/>
          <w:color w:val="000000"/>
          <w:lang w:eastAsia="en-US"/>
        </w:rPr>
        <w:t>kancerit</w:t>
      </w:r>
      <w:r w:rsidRPr="00F5176E">
        <w:rPr>
          <w:rFonts w:ascii="Garamond" w:eastAsiaTheme="minorHAnsi" w:hAnsi="Garamond"/>
          <w:bCs/>
          <w:color w:val="000000"/>
          <w:lang w:eastAsia="en-US"/>
        </w:rPr>
        <w:t xml:space="preserve"> të patateve. Buletini i</w:t>
      </w:r>
      <w:r w:rsidR="002103D3" w:rsidRPr="00F5176E">
        <w:rPr>
          <w:rFonts w:ascii="Garamond" w:eastAsiaTheme="minorHAnsi" w:hAnsi="Garamond"/>
          <w:bCs/>
          <w:color w:val="000000"/>
          <w:lang w:eastAsia="en-US"/>
        </w:rPr>
        <w:t xml:space="preserve"> FAO</w:t>
      </w:r>
      <w:r w:rsidR="00CC2FF6">
        <w:rPr>
          <w:rFonts w:ascii="Garamond" w:eastAsiaTheme="minorHAnsi" w:hAnsi="Garamond"/>
          <w:bCs/>
          <w:color w:val="000000"/>
          <w:lang w:eastAsia="en-US"/>
        </w:rPr>
        <w:t>-s</w:t>
      </w:r>
      <w:r w:rsidR="002103D3" w:rsidRPr="00F5176E">
        <w:rPr>
          <w:rFonts w:ascii="Garamond" w:eastAsiaTheme="minorHAnsi" w:hAnsi="Garamond"/>
          <w:bCs/>
          <w:color w:val="000000"/>
          <w:lang w:eastAsia="en-US"/>
        </w:rPr>
        <w:t xml:space="preserve"> për Mbrojtjen e Bimëve 18:125-</w:t>
      </w:r>
      <w:r w:rsidRPr="00F5176E">
        <w:rPr>
          <w:rFonts w:ascii="Garamond" w:eastAsiaTheme="minorHAnsi" w:hAnsi="Garamond"/>
          <w:bCs/>
          <w:color w:val="000000"/>
          <w:lang w:eastAsia="en-US"/>
        </w:rPr>
        <w:t>135.</w:t>
      </w:r>
    </w:p>
    <w:p w14:paraId="68549AC3" w14:textId="10C21E3C"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020E8CC9" w14:textId="033BBC36"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25B01825" w14:textId="6F9B1A93"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2C577B7B" w14:textId="3328DDC0"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41CFCDD7" w14:textId="5C1888B2"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49B99C3E" w14:textId="70ABDF32" w:rsidR="008F5326" w:rsidRPr="00F5176E" w:rsidRDefault="008F5326" w:rsidP="00F5176E">
      <w:pPr>
        <w:autoSpaceDE w:val="0"/>
        <w:autoSpaceDN w:val="0"/>
        <w:adjustRightInd w:val="0"/>
        <w:ind w:firstLine="284"/>
        <w:rPr>
          <w:rFonts w:ascii="Garamond" w:eastAsiaTheme="minorHAnsi" w:hAnsi="Garamond"/>
          <w:bCs/>
          <w:color w:val="000000"/>
          <w:lang w:eastAsia="en-US"/>
        </w:rPr>
      </w:pPr>
    </w:p>
    <w:p w14:paraId="060B3CEB" w14:textId="77777777" w:rsidR="008F5326" w:rsidRPr="00F5176E" w:rsidRDefault="008F5326" w:rsidP="00F5176E">
      <w:pPr>
        <w:autoSpaceDE w:val="0"/>
        <w:autoSpaceDN w:val="0"/>
        <w:adjustRightInd w:val="0"/>
        <w:ind w:firstLine="284"/>
        <w:jc w:val="center"/>
        <w:rPr>
          <w:rFonts w:ascii="Garamond" w:eastAsiaTheme="minorHAnsi" w:hAnsi="Garamond"/>
          <w:b/>
          <w:bCs/>
          <w:color w:val="000000"/>
          <w:lang w:eastAsia="en-US"/>
        </w:rPr>
        <w:sectPr w:rsidR="008F5326" w:rsidRPr="00F5176E" w:rsidSect="005310B7">
          <w:pgSz w:w="12240" w:h="15840"/>
          <w:pgMar w:top="900" w:right="1440" w:bottom="1080" w:left="1440" w:header="720" w:footer="720" w:gutter="0"/>
          <w:cols w:space="720"/>
          <w:noEndnote/>
        </w:sectPr>
      </w:pPr>
    </w:p>
    <w:p w14:paraId="6C914621" w14:textId="77777777" w:rsidR="00172774" w:rsidRPr="00F5176E" w:rsidRDefault="00172774" w:rsidP="00F5176E">
      <w:pPr>
        <w:ind w:firstLine="284"/>
        <w:rPr>
          <w:rFonts w:ascii="Garamond" w:eastAsiaTheme="minorHAnsi" w:hAnsi="Garamond"/>
          <w:lang w:eastAsia="en-US"/>
        </w:rPr>
      </w:pPr>
    </w:p>
    <w:p w14:paraId="52F84CE9" w14:textId="77777777" w:rsidR="00172774" w:rsidRPr="00F5176E" w:rsidRDefault="00172774" w:rsidP="00F5176E">
      <w:pPr>
        <w:ind w:firstLine="284"/>
        <w:rPr>
          <w:rFonts w:ascii="Garamond" w:eastAsiaTheme="minorHAnsi" w:hAnsi="Garamond"/>
          <w:lang w:eastAsia="en-US"/>
        </w:rPr>
      </w:pPr>
    </w:p>
    <w:p w14:paraId="3B6AA92D" w14:textId="77777777" w:rsidR="00172774" w:rsidRPr="007C0914" w:rsidRDefault="00172774" w:rsidP="00F5176E">
      <w:pPr>
        <w:ind w:firstLine="284"/>
        <w:rPr>
          <w:rFonts w:ascii="Garamond" w:eastAsiaTheme="minorHAnsi" w:hAnsi="Garamond"/>
          <w:lang w:eastAsia="en-US"/>
        </w:rPr>
      </w:pPr>
    </w:p>
    <w:p w14:paraId="43F7C7C5" w14:textId="77777777" w:rsidR="007C0914" w:rsidRPr="007C0914" w:rsidRDefault="007C0914" w:rsidP="007C0914">
      <w:pPr>
        <w:jc w:val="center"/>
        <w:rPr>
          <w:rFonts w:ascii="Garamond" w:hAnsi="Garamond"/>
          <w:bCs/>
        </w:rPr>
      </w:pPr>
      <w:r w:rsidRPr="007C0914">
        <w:rPr>
          <w:rFonts w:ascii="Garamond" w:hAnsi="Garamond"/>
          <w:bCs/>
        </w:rPr>
        <w:t>ANEKS II</w:t>
      </w:r>
    </w:p>
    <w:p w14:paraId="13B7BC17" w14:textId="77777777" w:rsidR="007C0914" w:rsidRPr="007C0914" w:rsidRDefault="007C0914" w:rsidP="007C0914">
      <w:pPr>
        <w:jc w:val="center"/>
        <w:rPr>
          <w:rFonts w:ascii="Garamond" w:hAnsi="Garamond"/>
          <w:bCs/>
        </w:rPr>
      </w:pPr>
    </w:p>
    <w:p w14:paraId="0AB78AF0" w14:textId="50F6F703" w:rsidR="007C0914" w:rsidRPr="007C0914" w:rsidRDefault="007C0914" w:rsidP="007C0914">
      <w:pPr>
        <w:jc w:val="center"/>
        <w:rPr>
          <w:rFonts w:ascii="Garamond" w:hAnsi="Garamond"/>
          <w:bCs/>
          <w:i/>
        </w:rPr>
      </w:pPr>
      <w:r w:rsidRPr="007C0914">
        <w:rPr>
          <w:rFonts w:ascii="Garamond" w:hAnsi="Garamond"/>
          <w:bCs/>
        </w:rPr>
        <w:t>FORMATI I VROJTIMIT SIÇ PËRMENDET NË NENIN 3</w:t>
      </w:r>
      <w:r w:rsidRPr="007C0914">
        <w:rPr>
          <w:rFonts w:ascii="Garamond" w:hAnsi="Garamond"/>
          <w:bCs/>
        </w:rPr>
        <w:cr/>
      </w:r>
      <w:r w:rsidRPr="007C0914">
        <w:rPr>
          <w:rFonts w:ascii="Garamond" w:hAnsi="Garamond"/>
          <w:bCs/>
          <w:i/>
        </w:rPr>
        <w:t>(Ndryshuar me udhëzimin nr. 13, datë 17.3.2025)</w:t>
      </w:r>
    </w:p>
    <w:p w14:paraId="2D6F04EF" w14:textId="77777777" w:rsidR="007C0914" w:rsidRPr="007C0914" w:rsidRDefault="007C0914" w:rsidP="007C0914">
      <w:pPr>
        <w:jc w:val="center"/>
        <w:rPr>
          <w:rFonts w:ascii="Garamond" w:hAnsi="Garamond"/>
          <w:bCs/>
        </w:rPr>
      </w:pPr>
    </w:p>
    <w:p w14:paraId="3E59BEBA" w14:textId="77777777" w:rsidR="007C0914" w:rsidRPr="007C0914" w:rsidRDefault="007C0914" w:rsidP="007C0914">
      <w:pPr>
        <w:spacing w:line="276" w:lineRule="auto"/>
        <w:jc w:val="both"/>
        <w:rPr>
          <w:rFonts w:ascii="Garamond" w:hAnsi="Garamond"/>
        </w:rPr>
      </w:pPr>
      <w:r w:rsidRPr="007C0914">
        <w:rPr>
          <w:rFonts w:ascii="Garamond" w:hAnsi="Garamond"/>
        </w:rPr>
        <w:t xml:space="preserve">Formati për paraqitjen e rezultateve të vrojtimit të dëmtuesit </w:t>
      </w:r>
      <w:r w:rsidRPr="007C0914">
        <w:rPr>
          <w:rFonts w:ascii="Garamond" w:eastAsiaTheme="minorHAnsi" w:hAnsi="Garamond"/>
          <w:bCs/>
          <w:color w:val="000000"/>
          <w:lang w:eastAsia="en-US"/>
        </w:rPr>
        <w:t xml:space="preserve">të kancerit të patates, </w:t>
      </w:r>
      <w:r w:rsidRPr="007C0914">
        <w:rPr>
          <w:rFonts w:ascii="Garamond" w:hAnsi="Garamond"/>
        </w:rPr>
        <w:t>të kryera gjatë vitit kalendarik që i paraprin vitit të raportimit.</w:t>
      </w:r>
    </w:p>
    <w:p w14:paraId="13F6BF7D" w14:textId="77777777" w:rsidR="007C0914" w:rsidRPr="007C0914" w:rsidRDefault="007C0914" w:rsidP="007C0914">
      <w:pPr>
        <w:spacing w:line="276" w:lineRule="auto"/>
        <w:jc w:val="both"/>
        <w:rPr>
          <w:rFonts w:ascii="Garamond" w:hAnsi="Garamond"/>
          <w:color w:val="000000"/>
          <w:u w:val="single"/>
        </w:rPr>
      </w:pPr>
      <w:r w:rsidRPr="007C0914">
        <w:rPr>
          <w:rFonts w:ascii="Garamond" w:hAnsi="Garamond"/>
          <w:u w:val="single"/>
        </w:rPr>
        <w:t xml:space="preserve">Kjo tabelë përdoret vetëm për rezultatet e vrojtimit për patatet e vjelura </w:t>
      </w:r>
    </w:p>
    <w:p w14:paraId="7C1CD0AF" w14:textId="77777777" w:rsidR="007C0914" w:rsidRPr="007C0914" w:rsidRDefault="007C0914" w:rsidP="007C0914">
      <w:pPr>
        <w:autoSpaceDE w:val="0"/>
        <w:autoSpaceDN w:val="0"/>
        <w:adjustRightInd w:val="0"/>
        <w:rPr>
          <w:rFonts w:ascii="Garamond" w:eastAsiaTheme="minorHAnsi" w:hAnsi="Garamond"/>
          <w:bCs/>
          <w:color w:val="000000"/>
          <w:u w:val="single"/>
          <w:lang w:eastAsia="en-US"/>
        </w:rPr>
      </w:pPr>
    </w:p>
    <w:p w14:paraId="787EC534" w14:textId="77777777" w:rsidR="007C0914" w:rsidRPr="007C0914" w:rsidRDefault="007C0914" w:rsidP="007C0914">
      <w:pPr>
        <w:autoSpaceDE w:val="0"/>
        <w:autoSpaceDN w:val="0"/>
        <w:adjustRightInd w:val="0"/>
        <w:rPr>
          <w:rFonts w:ascii="Garamond" w:eastAsiaTheme="minorHAnsi" w:hAnsi="Garamond"/>
          <w:bCs/>
          <w:color w:val="000000"/>
          <w:u w:val="single"/>
          <w:lang w:eastAsia="en-US"/>
        </w:rPr>
      </w:pPr>
    </w:p>
    <w:p w14:paraId="32605101" w14:textId="77777777" w:rsidR="007C0914" w:rsidRPr="007C0914" w:rsidRDefault="007C0914" w:rsidP="007C0914">
      <w:pPr>
        <w:autoSpaceDE w:val="0"/>
        <w:autoSpaceDN w:val="0"/>
        <w:adjustRightInd w:val="0"/>
        <w:rPr>
          <w:rFonts w:ascii="Garamond" w:eastAsiaTheme="minorHAnsi" w:hAnsi="Garamond"/>
          <w:bCs/>
          <w:color w:val="000000"/>
          <w:u w:val="single"/>
          <w:lang w:eastAsia="en-US"/>
        </w:rPr>
      </w:pPr>
    </w:p>
    <w:tbl>
      <w:tblPr>
        <w:tblStyle w:val="TableGrid"/>
        <w:tblW w:w="14035" w:type="dxa"/>
        <w:tblLayout w:type="fixed"/>
        <w:tblLook w:val="01E0" w:firstRow="1" w:lastRow="1" w:firstColumn="1" w:lastColumn="1" w:noHBand="0" w:noVBand="0"/>
      </w:tblPr>
      <w:tblGrid>
        <w:gridCol w:w="844"/>
        <w:gridCol w:w="2211"/>
        <w:gridCol w:w="900"/>
        <w:gridCol w:w="1080"/>
        <w:gridCol w:w="900"/>
        <w:gridCol w:w="900"/>
        <w:gridCol w:w="1260"/>
        <w:gridCol w:w="1350"/>
        <w:gridCol w:w="1350"/>
        <w:gridCol w:w="2340"/>
        <w:gridCol w:w="900"/>
      </w:tblGrid>
      <w:tr w:rsidR="007C0914" w:rsidRPr="007C0914" w14:paraId="4D03F8B4" w14:textId="77777777" w:rsidTr="00923AD4">
        <w:trPr>
          <w:trHeight w:val="327"/>
        </w:trPr>
        <w:tc>
          <w:tcPr>
            <w:tcW w:w="844" w:type="dxa"/>
            <w:vMerge w:val="restart"/>
            <w:vAlign w:val="center"/>
          </w:tcPr>
          <w:p w14:paraId="3410699B" w14:textId="77777777" w:rsidR="007C0914" w:rsidRPr="007C0914" w:rsidRDefault="007C0914" w:rsidP="00923AD4">
            <w:pPr>
              <w:pStyle w:val="TableParagraph"/>
              <w:spacing w:before="8"/>
              <w:jc w:val="center"/>
              <w:rPr>
                <w:rFonts w:ascii="Garamond" w:hAnsi="Garamond"/>
                <w:b/>
                <w:bCs/>
                <w:sz w:val="20"/>
                <w:szCs w:val="20"/>
              </w:rPr>
            </w:pPr>
          </w:p>
          <w:p w14:paraId="74B03BC4" w14:textId="77777777" w:rsidR="007C0914" w:rsidRPr="007C0914" w:rsidRDefault="007C0914" w:rsidP="00923AD4">
            <w:pPr>
              <w:pStyle w:val="TableParagraph"/>
              <w:spacing w:line="230" w:lineRule="auto"/>
              <w:ind w:left="-30" w:right="15"/>
              <w:jc w:val="center"/>
              <w:rPr>
                <w:rFonts w:ascii="Garamond" w:hAnsi="Garamond"/>
                <w:b/>
                <w:bCs/>
                <w:sz w:val="20"/>
                <w:szCs w:val="20"/>
              </w:rPr>
            </w:pPr>
          </w:p>
          <w:p w14:paraId="27F1D3F4" w14:textId="77777777" w:rsidR="007C0914" w:rsidRPr="007C0914" w:rsidRDefault="007C0914" w:rsidP="00923AD4">
            <w:pPr>
              <w:pStyle w:val="TableParagraph"/>
              <w:spacing w:line="230" w:lineRule="auto"/>
              <w:ind w:left="-30" w:right="15"/>
              <w:jc w:val="center"/>
              <w:rPr>
                <w:rFonts w:ascii="Garamond" w:hAnsi="Garamond"/>
                <w:b/>
                <w:bCs/>
                <w:sz w:val="20"/>
                <w:szCs w:val="20"/>
              </w:rPr>
            </w:pPr>
            <w:r w:rsidRPr="007C0914">
              <w:rPr>
                <w:rFonts w:ascii="Garamond" w:hAnsi="Garamond"/>
                <w:b/>
                <w:bCs/>
                <w:sz w:val="20"/>
                <w:szCs w:val="20"/>
              </w:rPr>
              <w:t>Rajoni ose zona</w:t>
            </w:r>
          </w:p>
        </w:tc>
        <w:tc>
          <w:tcPr>
            <w:tcW w:w="2211" w:type="dxa"/>
            <w:vMerge w:val="restart"/>
            <w:vAlign w:val="center"/>
          </w:tcPr>
          <w:p w14:paraId="035CF3F6" w14:textId="77777777" w:rsidR="007C0914" w:rsidRPr="007C0914" w:rsidRDefault="007C0914" w:rsidP="00923AD4">
            <w:pPr>
              <w:pStyle w:val="TableParagraph"/>
              <w:jc w:val="center"/>
              <w:rPr>
                <w:rFonts w:ascii="Garamond" w:hAnsi="Garamond"/>
                <w:b/>
                <w:bCs/>
                <w:sz w:val="20"/>
                <w:szCs w:val="20"/>
              </w:rPr>
            </w:pPr>
          </w:p>
          <w:p w14:paraId="2007E050" w14:textId="77777777" w:rsidR="007C0914" w:rsidRPr="007C0914" w:rsidRDefault="007C0914" w:rsidP="00923AD4">
            <w:pPr>
              <w:pStyle w:val="TableParagraph"/>
              <w:spacing w:before="9"/>
              <w:jc w:val="center"/>
              <w:rPr>
                <w:rFonts w:ascii="Garamond" w:hAnsi="Garamond"/>
                <w:b/>
                <w:bCs/>
                <w:sz w:val="20"/>
                <w:szCs w:val="20"/>
              </w:rPr>
            </w:pPr>
          </w:p>
          <w:p w14:paraId="69351C86" w14:textId="77777777" w:rsidR="007C0914" w:rsidRPr="007C0914" w:rsidRDefault="007C0914" w:rsidP="00923AD4">
            <w:pPr>
              <w:pStyle w:val="TableParagraph"/>
              <w:spacing w:before="1"/>
              <w:jc w:val="center"/>
              <w:rPr>
                <w:rFonts w:ascii="Garamond" w:hAnsi="Garamond"/>
                <w:b/>
                <w:bCs/>
                <w:sz w:val="20"/>
                <w:szCs w:val="20"/>
              </w:rPr>
            </w:pPr>
            <w:r w:rsidRPr="007C0914">
              <w:rPr>
                <w:rFonts w:ascii="Garamond" w:hAnsi="Garamond"/>
                <w:b/>
                <w:bCs/>
                <w:sz w:val="20"/>
                <w:szCs w:val="20"/>
              </w:rPr>
              <w:t>Kategoria</w:t>
            </w:r>
          </w:p>
        </w:tc>
        <w:tc>
          <w:tcPr>
            <w:tcW w:w="900" w:type="dxa"/>
            <w:vMerge w:val="restart"/>
            <w:vAlign w:val="center"/>
          </w:tcPr>
          <w:p w14:paraId="35943B1D" w14:textId="77777777" w:rsidR="007C0914" w:rsidRPr="007C0914" w:rsidRDefault="007C0914" w:rsidP="00923AD4">
            <w:pPr>
              <w:pStyle w:val="TableParagraph"/>
              <w:jc w:val="center"/>
              <w:rPr>
                <w:rFonts w:ascii="Garamond" w:hAnsi="Garamond"/>
                <w:b/>
                <w:bCs/>
                <w:sz w:val="20"/>
                <w:szCs w:val="20"/>
              </w:rPr>
            </w:pPr>
          </w:p>
          <w:p w14:paraId="12AC99BC" w14:textId="77777777" w:rsidR="007C0914" w:rsidRPr="007C0914" w:rsidRDefault="007C0914" w:rsidP="00923AD4">
            <w:pPr>
              <w:pStyle w:val="TableParagraph"/>
              <w:spacing w:line="230" w:lineRule="auto"/>
              <w:ind w:left="-39"/>
              <w:jc w:val="center"/>
              <w:rPr>
                <w:rFonts w:ascii="Garamond" w:hAnsi="Garamond"/>
                <w:b/>
                <w:bCs/>
                <w:sz w:val="20"/>
                <w:szCs w:val="20"/>
              </w:rPr>
            </w:pPr>
            <w:r w:rsidRPr="007C0914">
              <w:rPr>
                <w:rFonts w:ascii="Garamond" w:hAnsi="Garamond"/>
                <w:b/>
                <w:bCs/>
                <w:sz w:val="20"/>
                <w:szCs w:val="20"/>
              </w:rPr>
              <w:t>Zona e mbjelljes (ha)</w:t>
            </w:r>
          </w:p>
        </w:tc>
        <w:tc>
          <w:tcPr>
            <w:tcW w:w="1980" w:type="dxa"/>
            <w:gridSpan w:val="2"/>
            <w:vAlign w:val="center"/>
          </w:tcPr>
          <w:p w14:paraId="02927EBE" w14:textId="77777777" w:rsidR="007C0914" w:rsidRPr="007C0914" w:rsidRDefault="007C0914" w:rsidP="00923AD4">
            <w:pPr>
              <w:pStyle w:val="TableParagraph"/>
              <w:spacing w:before="66"/>
              <w:ind w:left="1121" w:hanging="1121"/>
              <w:jc w:val="center"/>
              <w:rPr>
                <w:rFonts w:ascii="Garamond" w:hAnsi="Garamond"/>
                <w:b/>
                <w:bCs/>
                <w:sz w:val="20"/>
                <w:szCs w:val="20"/>
              </w:rPr>
            </w:pPr>
            <w:r w:rsidRPr="007C0914">
              <w:rPr>
                <w:rFonts w:ascii="Garamond" w:hAnsi="Garamond"/>
                <w:b/>
                <w:bCs/>
                <w:sz w:val="20"/>
                <w:szCs w:val="20"/>
              </w:rPr>
              <w:t>Inspektimi vizual i zhardhokëve</w:t>
            </w:r>
          </w:p>
        </w:tc>
        <w:tc>
          <w:tcPr>
            <w:tcW w:w="2160" w:type="dxa"/>
            <w:gridSpan w:val="2"/>
            <w:vAlign w:val="center"/>
          </w:tcPr>
          <w:p w14:paraId="4914F067" w14:textId="77777777" w:rsidR="007C0914" w:rsidRPr="007C0914" w:rsidRDefault="007C0914" w:rsidP="00923AD4">
            <w:pPr>
              <w:pStyle w:val="TableParagraph"/>
              <w:spacing w:before="66"/>
              <w:ind w:left="1160" w:hanging="720"/>
              <w:jc w:val="center"/>
              <w:rPr>
                <w:rFonts w:ascii="Garamond" w:hAnsi="Garamond"/>
                <w:b/>
                <w:bCs/>
                <w:sz w:val="20"/>
                <w:szCs w:val="20"/>
              </w:rPr>
            </w:pPr>
            <w:r w:rsidRPr="007C0914">
              <w:rPr>
                <w:rFonts w:ascii="Garamond" w:hAnsi="Garamond"/>
                <w:b/>
                <w:bCs/>
                <w:sz w:val="20"/>
                <w:szCs w:val="20"/>
              </w:rPr>
              <w:t>Testimi laboratorik</w:t>
            </w:r>
          </w:p>
        </w:tc>
        <w:tc>
          <w:tcPr>
            <w:tcW w:w="1350" w:type="dxa"/>
            <w:vMerge w:val="restart"/>
            <w:vAlign w:val="center"/>
          </w:tcPr>
          <w:p w14:paraId="43576DCC" w14:textId="77777777" w:rsidR="007C0914" w:rsidRPr="007C0914" w:rsidRDefault="007C0914" w:rsidP="00923AD4">
            <w:pPr>
              <w:pStyle w:val="TableParagraph"/>
              <w:spacing w:before="9"/>
              <w:jc w:val="center"/>
              <w:rPr>
                <w:rFonts w:ascii="Garamond" w:hAnsi="Garamond"/>
                <w:b/>
                <w:bCs/>
                <w:sz w:val="20"/>
                <w:szCs w:val="20"/>
              </w:rPr>
            </w:pPr>
            <w:r w:rsidRPr="007C0914">
              <w:rPr>
                <w:rFonts w:ascii="Garamond" w:hAnsi="Garamond"/>
                <w:b/>
                <w:bCs/>
                <w:sz w:val="20"/>
                <w:szCs w:val="20"/>
              </w:rPr>
              <w:t xml:space="preserve">Madhësia fillestare e zonës së infektuar </w:t>
            </w:r>
            <w:r w:rsidRPr="007C0914">
              <w:rPr>
                <w:rFonts w:ascii="Garamond" w:hAnsi="Garamond"/>
                <w:b/>
                <w:bCs/>
                <w:sz w:val="20"/>
                <w:szCs w:val="20"/>
                <w:vertAlign w:val="superscript"/>
              </w:rPr>
              <w:t>(1)</w:t>
            </w:r>
            <w:r w:rsidRPr="007C0914">
              <w:rPr>
                <w:rFonts w:ascii="Garamond" w:hAnsi="Garamond"/>
                <w:b/>
                <w:bCs/>
                <w:sz w:val="20"/>
                <w:szCs w:val="20"/>
              </w:rPr>
              <w:t xml:space="preserve"> (ha)</w:t>
            </w:r>
          </w:p>
          <w:p w14:paraId="0C1BF571" w14:textId="77777777" w:rsidR="007C0914" w:rsidRPr="007C0914" w:rsidRDefault="007C0914" w:rsidP="00923AD4">
            <w:pPr>
              <w:pStyle w:val="TableParagraph"/>
              <w:spacing w:before="1"/>
              <w:ind w:left="263" w:hanging="256"/>
              <w:jc w:val="center"/>
              <w:rPr>
                <w:rFonts w:ascii="Garamond" w:hAnsi="Garamond"/>
                <w:b/>
                <w:bCs/>
                <w:sz w:val="20"/>
                <w:szCs w:val="20"/>
              </w:rPr>
            </w:pPr>
          </w:p>
        </w:tc>
        <w:tc>
          <w:tcPr>
            <w:tcW w:w="1350" w:type="dxa"/>
            <w:vMerge w:val="restart"/>
            <w:vAlign w:val="center"/>
          </w:tcPr>
          <w:p w14:paraId="27A3AAB9" w14:textId="77777777" w:rsidR="007C0914" w:rsidRPr="007C0914" w:rsidRDefault="007C0914" w:rsidP="00923AD4">
            <w:pPr>
              <w:pStyle w:val="TableParagraph"/>
              <w:jc w:val="center"/>
              <w:rPr>
                <w:rFonts w:ascii="Garamond" w:hAnsi="Garamond"/>
                <w:b/>
                <w:bCs/>
                <w:sz w:val="20"/>
                <w:szCs w:val="20"/>
              </w:rPr>
            </w:pPr>
            <w:r w:rsidRPr="007C0914">
              <w:rPr>
                <w:rFonts w:ascii="Garamond" w:hAnsi="Garamond"/>
                <w:b/>
                <w:bCs/>
                <w:sz w:val="20"/>
                <w:szCs w:val="20"/>
              </w:rPr>
              <w:t xml:space="preserve">Madhësia e përditësuar e zonës së infektuar </w:t>
            </w:r>
            <w:r w:rsidRPr="007C0914">
              <w:rPr>
                <w:rFonts w:ascii="Garamond" w:hAnsi="Garamond"/>
                <w:b/>
                <w:bCs/>
                <w:sz w:val="20"/>
                <w:szCs w:val="20"/>
                <w:vertAlign w:val="superscript"/>
              </w:rPr>
              <w:t>(2)</w:t>
            </w:r>
            <w:r w:rsidRPr="007C0914">
              <w:rPr>
                <w:rFonts w:ascii="Garamond" w:hAnsi="Garamond"/>
                <w:b/>
                <w:bCs/>
                <w:sz w:val="20"/>
                <w:szCs w:val="20"/>
              </w:rPr>
              <w:t xml:space="preserve"> (ha)</w:t>
            </w:r>
          </w:p>
        </w:tc>
        <w:tc>
          <w:tcPr>
            <w:tcW w:w="2340" w:type="dxa"/>
            <w:vMerge w:val="restart"/>
            <w:vAlign w:val="center"/>
          </w:tcPr>
          <w:p w14:paraId="4CD9374D" w14:textId="77777777" w:rsidR="007C0914" w:rsidRPr="007C0914" w:rsidRDefault="007C0914" w:rsidP="00923AD4">
            <w:pPr>
              <w:pStyle w:val="TableParagraph"/>
              <w:jc w:val="center"/>
              <w:rPr>
                <w:rFonts w:ascii="Garamond" w:hAnsi="Garamond"/>
                <w:b/>
                <w:bCs/>
                <w:sz w:val="20"/>
                <w:szCs w:val="20"/>
              </w:rPr>
            </w:pPr>
            <w:r w:rsidRPr="007C0914">
              <w:rPr>
                <w:rFonts w:ascii="Garamond" w:hAnsi="Garamond"/>
                <w:b/>
                <w:bCs/>
                <w:sz w:val="20"/>
                <w:szCs w:val="20"/>
              </w:rPr>
              <w:t>Numrat e njoftimit të shpërthimeve të reja të njoftuara, sipas rastit, në përputhje me nenin 15, të ligjit nr. 105/2016, “Për mbrojtjen e bimëve”, të ndryshuar</w:t>
            </w:r>
          </w:p>
        </w:tc>
        <w:tc>
          <w:tcPr>
            <w:tcW w:w="900" w:type="dxa"/>
            <w:vMerge w:val="restart"/>
            <w:vAlign w:val="center"/>
          </w:tcPr>
          <w:p w14:paraId="442B5260" w14:textId="77777777" w:rsidR="007C0914" w:rsidRPr="007C0914" w:rsidRDefault="007C0914" w:rsidP="00923AD4">
            <w:pPr>
              <w:pStyle w:val="TableParagraph"/>
              <w:jc w:val="center"/>
              <w:rPr>
                <w:rFonts w:ascii="Garamond" w:hAnsi="Garamond"/>
                <w:b/>
                <w:bCs/>
                <w:sz w:val="20"/>
                <w:szCs w:val="20"/>
              </w:rPr>
            </w:pPr>
            <w:r w:rsidRPr="007C0914">
              <w:rPr>
                <w:rFonts w:ascii="Garamond" w:hAnsi="Garamond"/>
                <w:b/>
                <w:bCs/>
                <w:sz w:val="20"/>
                <w:szCs w:val="20"/>
              </w:rPr>
              <w:t>Informacion tjetër</w:t>
            </w:r>
          </w:p>
        </w:tc>
      </w:tr>
      <w:tr w:rsidR="007C0914" w:rsidRPr="007C0914" w14:paraId="5FCADEF2" w14:textId="77777777" w:rsidTr="00923AD4">
        <w:trPr>
          <w:trHeight w:val="467"/>
        </w:trPr>
        <w:tc>
          <w:tcPr>
            <w:tcW w:w="844" w:type="dxa"/>
            <w:vMerge/>
            <w:tcBorders>
              <w:bottom w:val="single" w:sz="4" w:space="0" w:color="auto"/>
            </w:tcBorders>
          </w:tcPr>
          <w:p w14:paraId="2C68E456" w14:textId="77777777" w:rsidR="007C0914" w:rsidRPr="007C0914" w:rsidRDefault="007C0914" w:rsidP="00923AD4">
            <w:pPr>
              <w:rPr>
                <w:rFonts w:ascii="Garamond" w:hAnsi="Garamond"/>
                <w:sz w:val="20"/>
                <w:szCs w:val="20"/>
                <w:lang w:eastAsia="en-US"/>
              </w:rPr>
            </w:pPr>
          </w:p>
        </w:tc>
        <w:tc>
          <w:tcPr>
            <w:tcW w:w="2211" w:type="dxa"/>
            <w:vMerge/>
            <w:tcBorders>
              <w:bottom w:val="single" w:sz="4" w:space="0" w:color="auto"/>
            </w:tcBorders>
          </w:tcPr>
          <w:p w14:paraId="4F0C9401" w14:textId="77777777" w:rsidR="007C0914" w:rsidRPr="007C0914" w:rsidRDefault="007C0914" w:rsidP="00923AD4">
            <w:pPr>
              <w:rPr>
                <w:rFonts w:ascii="Garamond" w:hAnsi="Garamond"/>
                <w:sz w:val="20"/>
                <w:szCs w:val="20"/>
                <w:lang w:eastAsia="en-US"/>
              </w:rPr>
            </w:pPr>
          </w:p>
        </w:tc>
        <w:tc>
          <w:tcPr>
            <w:tcW w:w="900" w:type="dxa"/>
            <w:vMerge/>
            <w:tcBorders>
              <w:bottom w:val="single" w:sz="4" w:space="0" w:color="auto"/>
            </w:tcBorders>
          </w:tcPr>
          <w:p w14:paraId="3096BF42" w14:textId="77777777" w:rsidR="007C0914" w:rsidRPr="007C0914" w:rsidRDefault="007C0914" w:rsidP="00923AD4">
            <w:pPr>
              <w:rPr>
                <w:rFonts w:ascii="Garamond" w:hAnsi="Garamond"/>
                <w:sz w:val="20"/>
                <w:szCs w:val="20"/>
                <w:lang w:eastAsia="en-US"/>
              </w:rPr>
            </w:pPr>
          </w:p>
        </w:tc>
        <w:tc>
          <w:tcPr>
            <w:tcW w:w="1080" w:type="dxa"/>
            <w:tcBorders>
              <w:bottom w:val="single" w:sz="4" w:space="0" w:color="auto"/>
            </w:tcBorders>
            <w:vAlign w:val="center"/>
          </w:tcPr>
          <w:p w14:paraId="2234191A" w14:textId="77777777" w:rsidR="007C0914" w:rsidRPr="007C0914" w:rsidRDefault="007C0914" w:rsidP="00923AD4">
            <w:pPr>
              <w:pStyle w:val="TableParagraph"/>
              <w:spacing w:before="72" w:line="230" w:lineRule="auto"/>
              <w:ind w:left="-74" w:right="-90"/>
              <w:jc w:val="center"/>
              <w:rPr>
                <w:rFonts w:ascii="Garamond" w:hAnsi="Garamond"/>
                <w:b/>
                <w:bCs/>
                <w:sz w:val="20"/>
                <w:szCs w:val="20"/>
              </w:rPr>
            </w:pPr>
            <w:r w:rsidRPr="007C0914">
              <w:rPr>
                <w:rFonts w:ascii="Garamond" w:hAnsi="Garamond"/>
                <w:b/>
                <w:bCs/>
                <w:sz w:val="20"/>
                <w:szCs w:val="20"/>
              </w:rPr>
              <w:t>Numri i loteve</w:t>
            </w:r>
          </w:p>
        </w:tc>
        <w:tc>
          <w:tcPr>
            <w:tcW w:w="900" w:type="dxa"/>
            <w:tcBorders>
              <w:bottom w:val="single" w:sz="4" w:space="0" w:color="auto"/>
            </w:tcBorders>
            <w:vAlign w:val="center"/>
          </w:tcPr>
          <w:p w14:paraId="43B3B0EB" w14:textId="77777777" w:rsidR="007C0914" w:rsidRPr="007C0914" w:rsidRDefault="007C0914" w:rsidP="00923AD4">
            <w:pPr>
              <w:pStyle w:val="TableParagraph"/>
              <w:spacing w:before="169" w:line="230" w:lineRule="auto"/>
              <w:ind w:right="-45"/>
              <w:jc w:val="center"/>
              <w:rPr>
                <w:rFonts w:ascii="Garamond" w:hAnsi="Garamond"/>
                <w:b/>
                <w:bCs/>
                <w:sz w:val="20"/>
                <w:szCs w:val="20"/>
              </w:rPr>
            </w:pPr>
            <w:r w:rsidRPr="007C0914">
              <w:rPr>
                <w:rFonts w:ascii="Garamond" w:hAnsi="Garamond"/>
                <w:b/>
                <w:bCs/>
                <w:sz w:val="20"/>
                <w:szCs w:val="20"/>
              </w:rPr>
              <w:t>Numri i loteve të dyshimta</w:t>
            </w:r>
          </w:p>
          <w:p w14:paraId="5F97033B" w14:textId="77777777" w:rsidR="007C0914" w:rsidRPr="007C0914" w:rsidRDefault="007C0914" w:rsidP="00923AD4">
            <w:pPr>
              <w:pStyle w:val="TableParagraph"/>
              <w:spacing w:before="91" w:line="232" w:lineRule="auto"/>
              <w:ind w:left="-104" w:right="-150"/>
              <w:jc w:val="center"/>
              <w:rPr>
                <w:rFonts w:ascii="Garamond" w:hAnsi="Garamond"/>
                <w:b/>
                <w:bCs/>
                <w:sz w:val="20"/>
                <w:szCs w:val="20"/>
              </w:rPr>
            </w:pPr>
          </w:p>
        </w:tc>
        <w:tc>
          <w:tcPr>
            <w:tcW w:w="900" w:type="dxa"/>
            <w:tcBorders>
              <w:bottom w:val="single" w:sz="4" w:space="0" w:color="auto"/>
            </w:tcBorders>
            <w:vAlign w:val="center"/>
          </w:tcPr>
          <w:p w14:paraId="3F63E2CC" w14:textId="77777777" w:rsidR="007C0914" w:rsidRPr="007C0914" w:rsidRDefault="007C0914" w:rsidP="00923AD4">
            <w:pPr>
              <w:pStyle w:val="TableParagraph"/>
              <w:spacing w:before="169" w:line="230" w:lineRule="auto"/>
              <w:ind w:left="-14" w:right="-106"/>
              <w:jc w:val="center"/>
              <w:rPr>
                <w:rFonts w:ascii="Garamond" w:hAnsi="Garamond"/>
                <w:b/>
                <w:bCs/>
                <w:sz w:val="20"/>
                <w:szCs w:val="20"/>
              </w:rPr>
            </w:pPr>
            <w:r w:rsidRPr="007C0914">
              <w:rPr>
                <w:rFonts w:ascii="Garamond" w:hAnsi="Garamond"/>
                <w:b/>
                <w:bCs/>
                <w:sz w:val="20"/>
                <w:szCs w:val="20"/>
              </w:rPr>
              <w:t>Numri i mostrave të testuara</w:t>
            </w:r>
          </w:p>
        </w:tc>
        <w:tc>
          <w:tcPr>
            <w:tcW w:w="1260" w:type="dxa"/>
            <w:tcBorders>
              <w:bottom w:val="single" w:sz="4" w:space="0" w:color="auto"/>
            </w:tcBorders>
            <w:vAlign w:val="center"/>
          </w:tcPr>
          <w:p w14:paraId="76008951" w14:textId="77777777" w:rsidR="007C0914" w:rsidRPr="007C0914" w:rsidRDefault="007C0914" w:rsidP="00923AD4">
            <w:pPr>
              <w:pStyle w:val="TableParagraph"/>
              <w:spacing w:line="230" w:lineRule="auto"/>
              <w:ind w:left="-59" w:right="-105"/>
              <w:jc w:val="center"/>
              <w:rPr>
                <w:rFonts w:ascii="Garamond" w:hAnsi="Garamond"/>
                <w:b/>
                <w:bCs/>
                <w:sz w:val="20"/>
                <w:szCs w:val="20"/>
              </w:rPr>
            </w:pPr>
          </w:p>
          <w:p w14:paraId="0DA0E722" w14:textId="77777777" w:rsidR="007C0914" w:rsidRPr="007C0914" w:rsidRDefault="007C0914" w:rsidP="00923AD4">
            <w:pPr>
              <w:pStyle w:val="TableParagraph"/>
              <w:spacing w:line="230" w:lineRule="auto"/>
              <w:ind w:left="-59" w:right="-105"/>
              <w:jc w:val="center"/>
              <w:rPr>
                <w:rFonts w:ascii="Garamond" w:hAnsi="Garamond"/>
                <w:b/>
                <w:bCs/>
                <w:sz w:val="20"/>
                <w:szCs w:val="20"/>
              </w:rPr>
            </w:pPr>
            <w:r w:rsidRPr="007C0914">
              <w:rPr>
                <w:rFonts w:ascii="Garamond" w:hAnsi="Garamond"/>
                <w:b/>
                <w:bCs/>
                <w:sz w:val="20"/>
                <w:szCs w:val="20"/>
              </w:rPr>
              <w:t>Numri i mostrave pozitive</w:t>
            </w:r>
          </w:p>
        </w:tc>
        <w:tc>
          <w:tcPr>
            <w:tcW w:w="1350" w:type="dxa"/>
            <w:vMerge/>
            <w:tcBorders>
              <w:bottom w:val="single" w:sz="4" w:space="0" w:color="auto"/>
            </w:tcBorders>
          </w:tcPr>
          <w:p w14:paraId="70CFBCD2" w14:textId="77777777" w:rsidR="007C0914" w:rsidRPr="007C0914" w:rsidRDefault="007C0914" w:rsidP="00923AD4">
            <w:pPr>
              <w:rPr>
                <w:rFonts w:ascii="Garamond" w:hAnsi="Garamond"/>
                <w:sz w:val="20"/>
                <w:szCs w:val="20"/>
                <w:lang w:eastAsia="en-US"/>
              </w:rPr>
            </w:pPr>
          </w:p>
        </w:tc>
        <w:tc>
          <w:tcPr>
            <w:tcW w:w="1350" w:type="dxa"/>
            <w:vMerge/>
            <w:tcBorders>
              <w:bottom w:val="single" w:sz="4" w:space="0" w:color="auto"/>
            </w:tcBorders>
          </w:tcPr>
          <w:p w14:paraId="6C8BAA57" w14:textId="77777777" w:rsidR="007C0914" w:rsidRPr="007C0914" w:rsidRDefault="007C0914" w:rsidP="00923AD4">
            <w:pPr>
              <w:rPr>
                <w:rFonts w:ascii="Garamond" w:hAnsi="Garamond"/>
                <w:sz w:val="20"/>
                <w:szCs w:val="20"/>
                <w:lang w:eastAsia="en-US"/>
              </w:rPr>
            </w:pPr>
          </w:p>
        </w:tc>
        <w:tc>
          <w:tcPr>
            <w:tcW w:w="2340" w:type="dxa"/>
            <w:vMerge/>
            <w:tcBorders>
              <w:bottom w:val="single" w:sz="4" w:space="0" w:color="auto"/>
            </w:tcBorders>
          </w:tcPr>
          <w:p w14:paraId="4512B4BB" w14:textId="77777777" w:rsidR="007C0914" w:rsidRPr="007C0914" w:rsidRDefault="007C0914" w:rsidP="00923AD4">
            <w:pPr>
              <w:rPr>
                <w:rFonts w:ascii="Garamond" w:hAnsi="Garamond"/>
                <w:sz w:val="20"/>
                <w:szCs w:val="20"/>
                <w:lang w:eastAsia="en-US"/>
              </w:rPr>
            </w:pPr>
          </w:p>
        </w:tc>
        <w:tc>
          <w:tcPr>
            <w:tcW w:w="900" w:type="dxa"/>
            <w:vMerge/>
            <w:tcBorders>
              <w:bottom w:val="single" w:sz="4" w:space="0" w:color="auto"/>
            </w:tcBorders>
          </w:tcPr>
          <w:p w14:paraId="79AC3DC6" w14:textId="77777777" w:rsidR="007C0914" w:rsidRPr="007C0914" w:rsidRDefault="007C0914" w:rsidP="00923AD4">
            <w:pPr>
              <w:rPr>
                <w:rFonts w:ascii="Garamond" w:hAnsi="Garamond"/>
                <w:sz w:val="20"/>
                <w:szCs w:val="20"/>
                <w:lang w:eastAsia="en-US"/>
              </w:rPr>
            </w:pPr>
          </w:p>
        </w:tc>
      </w:tr>
      <w:tr w:rsidR="007C0914" w:rsidRPr="007C0914" w14:paraId="0FCDB7E5" w14:textId="77777777" w:rsidTr="00923AD4">
        <w:trPr>
          <w:trHeight w:val="296"/>
        </w:trPr>
        <w:tc>
          <w:tcPr>
            <w:tcW w:w="844" w:type="dxa"/>
            <w:vMerge w:val="restart"/>
          </w:tcPr>
          <w:p w14:paraId="04D7DA3C" w14:textId="77777777" w:rsidR="007C0914" w:rsidRPr="007C0914" w:rsidRDefault="007C0914" w:rsidP="00923AD4">
            <w:pPr>
              <w:pStyle w:val="TableParagraph"/>
              <w:rPr>
                <w:rFonts w:ascii="Garamond" w:hAnsi="Garamond"/>
                <w:sz w:val="20"/>
                <w:szCs w:val="20"/>
              </w:rPr>
            </w:pPr>
          </w:p>
        </w:tc>
        <w:tc>
          <w:tcPr>
            <w:tcW w:w="2211" w:type="dxa"/>
          </w:tcPr>
          <w:p w14:paraId="67DBEDFC" w14:textId="77777777" w:rsidR="007C0914" w:rsidRPr="007C0914" w:rsidRDefault="007C0914" w:rsidP="00923AD4">
            <w:pPr>
              <w:pStyle w:val="TableParagraph"/>
              <w:spacing w:before="8"/>
              <w:rPr>
                <w:rFonts w:ascii="Garamond" w:hAnsi="Garamond"/>
                <w:sz w:val="20"/>
                <w:szCs w:val="20"/>
              </w:rPr>
            </w:pPr>
            <w:r w:rsidRPr="007C0914">
              <w:rPr>
                <w:rFonts w:ascii="Garamond" w:hAnsi="Garamond"/>
                <w:sz w:val="20"/>
                <w:szCs w:val="20"/>
              </w:rPr>
              <w:t>Zhardhokët e patates për mbjellje</w:t>
            </w:r>
          </w:p>
        </w:tc>
        <w:tc>
          <w:tcPr>
            <w:tcW w:w="900" w:type="dxa"/>
          </w:tcPr>
          <w:p w14:paraId="7B45D39B" w14:textId="77777777" w:rsidR="007C0914" w:rsidRPr="007C0914" w:rsidRDefault="007C0914" w:rsidP="00923AD4">
            <w:pPr>
              <w:pStyle w:val="TableParagraph"/>
              <w:rPr>
                <w:rFonts w:ascii="Garamond" w:hAnsi="Garamond"/>
                <w:sz w:val="20"/>
                <w:szCs w:val="20"/>
              </w:rPr>
            </w:pPr>
          </w:p>
        </w:tc>
        <w:tc>
          <w:tcPr>
            <w:tcW w:w="1080" w:type="dxa"/>
          </w:tcPr>
          <w:p w14:paraId="40D3D333" w14:textId="77777777" w:rsidR="007C0914" w:rsidRPr="007C0914" w:rsidRDefault="007C0914" w:rsidP="00923AD4">
            <w:pPr>
              <w:pStyle w:val="TableParagraph"/>
              <w:rPr>
                <w:rFonts w:ascii="Garamond" w:hAnsi="Garamond"/>
                <w:sz w:val="20"/>
                <w:szCs w:val="20"/>
              </w:rPr>
            </w:pPr>
          </w:p>
        </w:tc>
        <w:tc>
          <w:tcPr>
            <w:tcW w:w="900" w:type="dxa"/>
          </w:tcPr>
          <w:p w14:paraId="195A28F7" w14:textId="77777777" w:rsidR="007C0914" w:rsidRPr="007C0914" w:rsidRDefault="007C0914" w:rsidP="00923AD4">
            <w:pPr>
              <w:pStyle w:val="TableParagraph"/>
              <w:rPr>
                <w:rFonts w:ascii="Garamond" w:hAnsi="Garamond"/>
                <w:sz w:val="20"/>
                <w:szCs w:val="20"/>
              </w:rPr>
            </w:pPr>
          </w:p>
        </w:tc>
        <w:tc>
          <w:tcPr>
            <w:tcW w:w="900" w:type="dxa"/>
          </w:tcPr>
          <w:p w14:paraId="32E2529D" w14:textId="77777777" w:rsidR="007C0914" w:rsidRPr="007C0914" w:rsidRDefault="007C0914" w:rsidP="00923AD4">
            <w:pPr>
              <w:pStyle w:val="TableParagraph"/>
              <w:rPr>
                <w:rFonts w:ascii="Garamond" w:hAnsi="Garamond"/>
                <w:sz w:val="20"/>
                <w:szCs w:val="20"/>
              </w:rPr>
            </w:pPr>
          </w:p>
        </w:tc>
        <w:tc>
          <w:tcPr>
            <w:tcW w:w="1260" w:type="dxa"/>
          </w:tcPr>
          <w:p w14:paraId="2F88246F" w14:textId="77777777" w:rsidR="007C0914" w:rsidRPr="007C0914" w:rsidRDefault="007C0914" w:rsidP="00923AD4">
            <w:pPr>
              <w:pStyle w:val="TableParagraph"/>
              <w:rPr>
                <w:rFonts w:ascii="Garamond" w:hAnsi="Garamond"/>
                <w:sz w:val="20"/>
                <w:szCs w:val="20"/>
              </w:rPr>
            </w:pPr>
          </w:p>
        </w:tc>
        <w:tc>
          <w:tcPr>
            <w:tcW w:w="1350" w:type="dxa"/>
          </w:tcPr>
          <w:p w14:paraId="14EA702C" w14:textId="77777777" w:rsidR="007C0914" w:rsidRPr="007C0914" w:rsidRDefault="007C0914" w:rsidP="00923AD4">
            <w:pPr>
              <w:pStyle w:val="TableParagraph"/>
              <w:rPr>
                <w:rFonts w:ascii="Garamond" w:hAnsi="Garamond"/>
                <w:sz w:val="20"/>
                <w:szCs w:val="20"/>
              </w:rPr>
            </w:pPr>
          </w:p>
        </w:tc>
        <w:tc>
          <w:tcPr>
            <w:tcW w:w="1350" w:type="dxa"/>
          </w:tcPr>
          <w:p w14:paraId="00DE0428" w14:textId="77777777" w:rsidR="007C0914" w:rsidRPr="007C0914" w:rsidRDefault="007C0914" w:rsidP="00923AD4">
            <w:pPr>
              <w:pStyle w:val="TableParagraph"/>
              <w:rPr>
                <w:rFonts w:ascii="Garamond" w:hAnsi="Garamond"/>
                <w:sz w:val="20"/>
                <w:szCs w:val="20"/>
              </w:rPr>
            </w:pPr>
          </w:p>
        </w:tc>
        <w:tc>
          <w:tcPr>
            <w:tcW w:w="2340" w:type="dxa"/>
          </w:tcPr>
          <w:p w14:paraId="60522089" w14:textId="77777777" w:rsidR="007C0914" w:rsidRPr="007C0914" w:rsidRDefault="007C0914" w:rsidP="00923AD4">
            <w:pPr>
              <w:pStyle w:val="TableParagraph"/>
              <w:rPr>
                <w:rFonts w:ascii="Garamond" w:hAnsi="Garamond"/>
                <w:sz w:val="20"/>
                <w:szCs w:val="20"/>
              </w:rPr>
            </w:pPr>
          </w:p>
        </w:tc>
        <w:tc>
          <w:tcPr>
            <w:tcW w:w="900" w:type="dxa"/>
          </w:tcPr>
          <w:p w14:paraId="49B715D7" w14:textId="77777777" w:rsidR="007C0914" w:rsidRPr="007C0914" w:rsidRDefault="007C0914" w:rsidP="00923AD4">
            <w:pPr>
              <w:pStyle w:val="TableParagraph"/>
              <w:rPr>
                <w:rFonts w:ascii="Garamond" w:hAnsi="Garamond"/>
                <w:sz w:val="20"/>
                <w:szCs w:val="20"/>
              </w:rPr>
            </w:pPr>
          </w:p>
        </w:tc>
      </w:tr>
      <w:tr w:rsidR="007C0914" w:rsidRPr="007C0914" w14:paraId="607ED67B" w14:textId="77777777" w:rsidTr="00923AD4">
        <w:trPr>
          <w:trHeight w:val="260"/>
        </w:trPr>
        <w:tc>
          <w:tcPr>
            <w:tcW w:w="844" w:type="dxa"/>
            <w:vMerge/>
          </w:tcPr>
          <w:p w14:paraId="6214770C" w14:textId="77777777" w:rsidR="007C0914" w:rsidRPr="007C0914" w:rsidRDefault="007C0914" w:rsidP="00923AD4">
            <w:pPr>
              <w:rPr>
                <w:rFonts w:ascii="Garamond" w:hAnsi="Garamond"/>
                <w:sz w:val="20"/>
                <w:szCs w:val="20"/>
              </w:rPr>
            </w:pPr>
          </w:p>
        </w:tc>
        <w:tc>
          <w:tcPr>
            <w:tcW w:w="2211" w:type="dxa"/>
          </w:tcPr>
          <w:p w14:paraId="462803AA" w14:textId="77777777" w:rsidR="007C0914" w:rsidRPr="007C0914" w:rsidRDefault="007C0914" w:rsidP="00923AD4">
            <w:pPr>
              <w:pStyle w:val="TableParagraph"/>
              <w:spacing w:before="8"/>
              <w:rPr>
                <w:rFonts w:ascii="Garamond" w:hAnsi="Garamond"/>
                <w:sz w:val="20"/>
                <w:szCs w:val="20"/>
              </w:rPr>
            </w:pPr>
            <w:r w:rsidRPr="007C0914">
              <w:rPr>
                <w:rFonts w:ascii="Garamond" w:hAnsi="Garamond"/>
                <w:sz w:val="20"/>
                <w:szCs w:val="20"/>
              </w:rPr>
              <w:t>Zhardhokët e patates përveç për mbjellje</w:t>
            </w:r>
          </w:p>
          <w:p w14:paraId="082177B7" w14:textId="77777777" w:rsidR="007C0914" w:rsidRPr="007C0914" w:rsidRDefault="007C0914" w:rsidP="00923AD4">
            <w:pPr>
              <w:pStyle w:val="TableParagraph"/>
              <w:spacing w:before="8"/>
              <w:rPr>
                <w:rFonts w:ascii="Garamond" w:hAnsi="Garamond"/>
                <w:sz w:val="20"/>
                <w:szCs w:val="20"/>
              </w:rPr>
            </w:pPr>
          </w:p>
        </w:tc>
        <w:tc>
          <w:tcPr>
            <w:tcW w:w="900" w:type="dxa"/>
          </w:tcPr>
          <w:p w14:paraId="06FA4AA0" w14:textId="77777777" w:rsidR="007C0914" w:rsidRPr="007C0914" w:rsidRDefault="007C0914" w:rsidP="00923AD4">
            <w:pPr>
              <w:pStyle w:val="TableParagraph"/>
              <w:rPr>
                <w:rFonts w:ascii="Garamond" w:hAnsi="Garamond"/>
                <w:sz w:val="20"/>
                <w:szCs w:val="20"/>
              </w:rPr>
            </w:pPr>
          </w:p>
        </w:tc>
        <w:tc>
          <w:tcPr>
            <w:tcW w:w="1080" w:type="dxa"/>
          </w:tcPr>
          <w:p w14:paraId="4B0D96DE" w14:textId="77777777" w:rsidR="007C0914" w:rsidRPr="007C0914" w:rsidRDefault="007C0914" w:rsidP="00923AD4">
            <w:pPr>
              <w:pStyle w:val="TableParagraph"/>
              <w:rPr>
                <w:rFonts w:ascii="Garamond" w:hAnsi="Garamond"/>
                <w:sz w:val="20"/>
                <w:szCs w:val="20"/>
              </w:rPr>
            </w:pPr>
          </w:p>
        </w:tc>
        <w:tc>
          <w:tcPr>
            <w:tcW w:w="900" w:type="dxa"/>
          </w:tcPr>
          <w:p w14:paraId="6361AC12" w14:textId="77777777" w:rsidR="007C0914" w:rsidRPr="007C0914" w:rsidRDefault="007C0914" w:rsidP="00923AD4">
            <w:pPr>
              <w:pStyle w:val="TableParagraph"/>
              <w:rPr>
                <w:rFonts w:ascii="Garamond" w:hAnsi="Garamond"/>
                <w:sz w:val="20"/>
                <w:szCs w:val="20"/>
              </w:rPr>
            </w:pPr>
          </w:p>
        </w:tc>
        <w:tc>
          <w:tcPr>
            <w:tcW w:w="900" w:type="dxa"/>
          </w:tcPr>
          <w:p w14:paraId="35131E2F" w14:textId="77777777" w:rsidR="007C0914" w:rsidRPr="007C0914" w:rsidRDefault="007C0914" w:rsidP="00923AD4">
            <w:pPr>
              <w:pStyle w:val="TableParagraph"/>
              <w:rPr>
                <w:rFonts w:ascii="Garamond" w:hAnsi="Garamond"/>
                <w:sz w:val="20"/>
                <w:szCs w:val="20"/>
              </w:rPr>
            </w:pPr>
          </w:p>
        </w:tc>
        <w:tc>
          <w:tcPr>
            <w:tcW w:w="1260" w:type="dxa"/>
          </w:tcPr>
          <w:p w14:paraId="3979BD47" w14:textId="77777777" w:rsidR="007C0914" w:rsidRPr="007C0914" w:rsidRDefault="007C0914" w:rsidP="00923AD4">
            <w:pPr>
              <w:pStyle w:val="TableParagraph"/>
              <w:rPr>
                <w:rFonts w:ascii="Garamond" w:hAnsi="Garamond"/>
                <w:sz w:val="20"/>
                <w:szCs w:val="20"/>
              </w:rPr>
            </w:pPr>
          </w:p>
        </w:tc>
        <w:tc>
          <w:tcPr>
            <w:tcW w:w="1350" w:type="dxa"/>
          </w:tcPr>
          <w:p w14:paraId="0E5F1C38" w14:textId="77777777" w:rsidR="007C0914" w:rsidRPr="007C0914" w:rsidRDefault="007C0914" w:rsidP="00923AD4">
            <w:pPr>
              <w:pStyle w:val="TableParagraph"/>
              <w:rPr>
                <w:rFonts w:ascii="Garamond" w:hAnsi="Garamond"/>
                <w:sz w:val="20"/>
                <w:szCs w:val="20"/>
              </w:rPr>
            </w:pPr>
          </w:p>
        </w:tc>
        <w:tc>
          <w:tcPr>
            <w:tcW w:w="1350" w:type="dxa"/>
          </w:tcPr>
          <w:p w14:paraId="71CA587F" w14:textId="77777777" w:rsidR="007C0914" w:rsidRPr="007C0914" w:rsidRDefault="007C0914" w:rsidP="00923AD4">
            <w:pPr>
              <w:pStyle w:val="TableParagraph"/>
              <w:rPr>
                <w:rFonts w:ascii="Garamond" w:hAnsi="Garamond"/>
                <w:sz w:val="20"/>
                <w:szCs w:val="20"/>
              </w:rPr>
            </w:pPr>
          </w:p>
        </w:tc>
        <w:tc>
          <w:tcPr>
            <w:tcW w:w="2340" w:type="dxa"/>
          </w:tcPr>
          <w:p w14:paraId="7AB1FD44" w14:textId="77777777" w:rsidR="007C0914" w:rsidRPr="007C0914" w:rsidRDefault="007C0914" w:rsidP="00923AD4">
            <w:pPr>
              <w:pStyle w:val="TableParagraph"/>
              <w:rPr>
                <w:rFonts w:ascii="Garamond" w:hAnsi="Garamond"/>
                <w:sz w:val="20"/>
                <w:szCs w:val="20"/>
              </w:rPr>
            </w:pPr>
          </w:p>
        </w:tc>
        <w:tc>
          <w:tcPr>
            <w:tcW w:w="900" w:type="dxa"/>
          </w:tcPr>
          <w:p w14:paraId="194E00BB" w14:textId="77777777" w:rsidR="007C0914" w:rsidRPr="007C0914" w:rsidRDefault="007C0914" w:rsidP="00923AD4">
            <w:pPr>
              <w:pStyle w:val="TableParagraph"/>
              <w:rPr>
                <w:rFonts w:ascii="Garamond" w:hAnsi="Garamond"/>
                <w:sz w:val="20"/>
                <w:szCs w:val="20"/>
              </w:rPr>
            </w:pPr>
          </w:p>
        </w:tc>
      </w:tr>
    </w:tbl>
    <w:p w14:paraId="7CF710A2" w14:textId="77777777" w:rsidR="007C0914" w:rsidRPr="007C0914" w:rsidRDefault="007C0914" w:rsidP="007C0914">
      <w:pPr>
        <w:autoSpaceDE w:val="0"/>
        <w:autoSpaceDN w:val="0"/>
        <w:adjustRightInd w:val="0"/>
        <w:rPr>
          <w:rFonts w:ascii="Garamond" w:eastAsiaTheme="minorHAnsi" w:hAnsi="Garamond"/>
          <w:bCs/>
          <w:color w:val="000000"/>
          <w:u w:val="single"/>
          <w:lang w:eastAsia="en-US"/>
        </w:rPr>
      </w:pPr>
    </w:p>
    <w:p w14:paraId="2D4622E5" w14:textId="77777777" w:rsidR="007C0914" w:rsidRPr="007C0914" w:rsidRDefault="007C0914" w:rsidP="007C0914">
      <w:pPr>
        <w:autoSpaceDE w:val="0"/>
        <w:autoSpaceDN w:val="0"/>
        <w:adjustRightInd w:val="0"/>
        <w:spacing w:line="276" w:lineRule="auto"/>
        <w:jc w:val="both"/>
        <w:rPr>
          <w:rFonts w:ascii="Garamond" w:eastAsiaTheme="minorHAnsi" w:hAnsi="Garamond"/>
          <w:bCs/>
          <w:lang w:eastAsia="en-US"/>
        </w:rPr>
      </w:pPr>
    </w:p>
    <w:p w14:paraId="76B57165" w14:textId="77777777" w:rsidR="007C0914" w:rsidRPr="007C0914" w:rsidRDefault="007C0914" w:rsidP="007C0914">
      <w:pPr>
        <w:autoSpaceDE w:val="0"/>
        <w:autoSpaceDN w:val="0"/>
        <w:adjustRightInd w:val="0"/>
        <w:spacing w:line="276" w:lineRule="auto"/>
        <w:jc w:val="both"/>
        <w:rPr>
          <w:rFonts w:ascii="Garamond" w:eastAsiaTheme="minorHAnsi" w:hAnsi="Garamond"/>
          <w:bCs/>
          <w:u w:val="single"/>
          <w:lang w:eastAsia="en-US"/>
        </w:rPr>
      </w:pPr>
      <w:r w:rsidRPr="007C0914">
        <w:rPr>
          <w:rFonts w:ascii="Garamond" w:eastAsiaTheme="minorHAnsi" w:hAnsi="Garamond"/>
          <w:bCs/>
          <w:u w:val="single"/>
          <w:lang w:eastAsia="en-US"/>
        </w:rPr>
        <w:t xml:space="preserve">                                                                                                                           .</w:t>
      </w:r>
    </w:p>
    <w:p w14:paraId="29CC3777" w14:textId="77777777" w:rsidR="007C0914" w:rsidRPr="007C0914" w:rsidRDefault="007C0914" w:rsidP="007C0914">
      <w:pPr>
        <w:autoSpaceDE w:val="0"/>
        <w:autoSpaceDN w:val="0"/>
        <w:adjustRightInd w:val="0"/>
        <w:spacing w:line="276" w:lineRule="auto"/>
        <w:jc w:val="both"/>
        <w:rPr>
          <w:rFonts w:ascii="Garamond" w:eastAsiaTheme="minorHAnsi" w:hAnsi="Garamond"/>
          <w:bCs/>
          <w:lang w:eastAsia="en-US"/>
        </w:rPr>
      </w:pPr>
      <w:r w:rsidRPr="007C0914">
        <w:rPr>
          <w:rFonts w:ascii="Garamond" w:eastAsiaTheme="minorHAnsi" w:hAnsi="Garamond"/>
          <w:bCs/>
          <w:vertAlign w:val="superscript"/>
          <w:lang w:eastAsia="en-US"/>
        </w:rPr>
        <w:t>(1)</w:t>
      </w:r>
      <w:r w:rsidRPr="007C0914">
        <w:rPr>
          <w:rFonts w:ascii="Garamond" w:eastAsiaTheme="minorHAnsi" w:hAnsi="Garamond"/>
          <w:bCs/>
          <w:lang w:eastAsia="en-US"/>
        </w:rPr>
        <w:t xml:space="preserve"> Madhësia totale e zonës së infektuar para vitit të mbuluar nga raporti.</w:t>
      </w:r>
    </w:p>
    <w:p w14:paraId="1A7888CE" w14:textId="77777777" w:rsidR="007C0914" w:rsidRPr="007C0914" w:rsidRDefault="007C0914" w:rsidP="007C0914">
      <w:pPr>
        <w:autoSpaceDE w:val="0"/>
        <w:autoSpaceDN w:val="0"/>
        <w:adjustRightInd w:val="0"/>
        <w:spacing w:line="276" w:lineRule="auto"/>
        <w:jc w:val="both"/>
        <w:rPr>
          <w:rFonts w:ascii="Garamond" w:eastAsiaTheme="minorHAnsi" w:hAnsi="Garamond"/>
          <w:bCs/>
          <w:lang w:eastAsia="en-US"/>
        </w:rPr>
      </w:pPr>
      <w:r w:rsidRPr="007C0914">
        <w:rPr>
          <w:rFonts w:ascii="Garamond" w:eastAsiaTheme="minorHAnsi" w:hAnsi="Garamond"/>
          <w:bCs/>
          <w:vertAlign w:val="superscript"/>
          <w:lang w:eastAsia="en-US"/>
        </w:rPr>
        <w:t>(2)</w:t>
      </w:r>
      <w:r w:rsidRPr="007C0914">
        <w:rPr>
          <w:rFonts w:ascii="Garamond" w:eastAsiaTheme="minorHAnsi" w:hAnsi="Garamond"/>
          <w:bCs/>
          <w:lang w:eastAsia="en-US"/>
        </w:rPr>
        <w:t xml:space="preserve"> Madhësia totale e zonës së infektuar në vitin e mbuluar nga raporti.</w:t>
      </w:r>
    </w:p>
    <w:p w14:paraId="1D24FFA2" w14:textId="77777777" w:rsidR="007C0914" w:rsidRPr="007C0914" w:rsidRDefault="007C0914" w:rsidP="007C0914">
      <w:pPr>
        <w:ind w:firstLine="284"/>
        <w:jc w:val="both"/>
        <w:rPr>
          <w:rFonts w:ascii="Garamond" w:eastAsiaTheme="minorHAnsi" w:hAnsi="Garamond"/>
          <w:bCs/>
          <w:lang w:eastAsia="en-US"/>
        </w:rPr>
      </w:pPr>
    </w:p>
    <w:p w14:paraId="56710A2B" w14:textId="77777777" w:rsidR="00172774" w:rsidRPr="007C0914" w:rsidRDefault="00172774" w:rsidP="00F5176E">
      <w:pPr>
        <w:ind w:firstLine="284"/>
        <w:rPr>
          <w:rFonts w:ascii="Garamond" w:eastAsiaTheme="minorHAnsi" w:hAnsi="Garamond"/>
          <w:lang w:eastAsia="en-US"/>
        </w:rPr>
      </w:pPr>
    </w:p>
    <w:p w14:paraId="1FEFF797" w14:textId="209F1EBD" w:rsidR="00172774" w:rsidRPr="007C0914" w:rsidRDefault="00F5176E" w:rsidP="00F5176E">
      <w:pPr>
        <w:tabs>
          <w:tab w:val="left" w:pos="4740"/>
        </w:tabs>
        <w:ind w:firstLine="284"/>
        <w:rPr>
          <w:rFonts w:ascii="Garamond" w:eastAsiaTheme="minorHAnsi" w:hAnsi="Garamond"/>
          <w:lang w:eastAsia="en-US"/>
        </w:rPr>
      </w:pPr>
      <w:r w:rsidRPr="007C0914">
        <w:rPr>
          <w:rFonts w:ascii="Garamond" w:eastAsiaTheme="minorHAnsi" w:hAnsi="Garamond"/>
          <w:lang w:eastAsia="en-US"/>
        </w:rPr>
        <w:t xml:space="preserve"> </w:t>
      </w:r>
    </w:p>
    <w:p w14:paraId="3F191449" w14:textId="402C1D58" w:rsidR="00172774" w:rsidRPr="00F5176E" w:rsidRDefault="00172774" w:rsidP="00F5176E">
      <w:pPr>
        <w:tabs>
          <w:tab w:val="left" w:pos="4740"/>
        </w:tabs>
        <w:ind w:firstLine="284"/>
        <w:rPr>
          <w:rFonts w:ascii="Garamond" w:eastAsiaTheme="minorHAnsi" w:hAnsi="Garamond"/>
          <w:lang w:eastAsia="en-US"/>
        </w:rPr>
      </w:pPr>
    </w:p>
    <w:p w14:paraId="776E973A" w14:textId="68AC793D" w:rsidR="00172774" w:rsidRPr="00F5176E" w:rsidRDefault="00172774" w:rsidP="00F5176E">
      <w:pPr>
        <w:tabs>
          <w:tab w:val="left" w:pos="4740"/>
        </w:tabs>
        <w:ind w:firstLine="284"/>
        <w:rPr>
          <w:rFonts w:ascii="Garamond" w:eastAsiaTheme="minorHAnsi" w:hAnsi="Garamond"/>
          <w:lang w:eastAsia="en-US"/>
        </w:rPr>
      </w:pPr>
    </w:p>
    <w:p w14:paraId="4ADBAEF1" w14:textId="77777777" w:rsidR="00172774" w:rsidRPr="00F5176E" w:rsidRDefault="00172774" w:rsidP="002C14F2">
      <w:pPr>
        <w:tabs>
          <w:tab w:val="left" w:pos="4740"/>
        </w:tabs>
        <w:rPr>
          <w:rFonts w:ascii="Garamond" w:eastAsiaTheme="minorHAnsi" w:hAnsi="Garamond"/>
          <w:lang w:eastAsia="en-US"/>
        </w:rPr>
        <w:sectPr w:rsidR="00172774" w:rsidRPr="00F5176E" w:rsidSect="00B106B0">
          <w:pgSz w:w="15840" w:h="12240" w:orient="landscape"/>
          <w:pgMar w:top="900" w:right="907" w:bottom="1440" w:left="1080" w:header="720" w:footer="720" w:gutter="0"/>
          <w:cols w:space="720"/>
          <w:noEndnote/>
        </w:sectPr>
      </w:pPr>
    </w:p>
    <w:p w14:paraId="6B3D5FF9" w14:textId="085812EB" w:rsidR="001D1612" w:rsidRPr="00CC2FF6" w:rsidRDefault="00CC2FF6" w:rsidP="002C14F2">
      <w:pPr>
        <w:tabs>
          <w:tab w:val="left" w:pos="4740"/>
        </w:tabs>
        <w:jc w:val="center"/>
        <w:rPr>
          <w:rFonts w:ascii="Garamond" w:eastAsiaTheme="minorHAnsi" w:hAnsi="Garamond"/>
          <w:lang w:eastAsia="en-US"/>
        </w:rPr>
      </w:pPr>
      <w:bookmarkStart w:id="0" w:name="_GoBack"/>
      <w:bookmarkEnd w:id="0"/>
      <w:r w:rsidRPr="00CC2FF6">
        <w:rPr>
          <w:rFonts w:ascii="Garamond" w:eastAsiaTheme="minorHAnsi" w:hAnsi="Garamond"/>
          <w:lang w:eastAsia="en-US"/>
        </w:rPr>
        <w:lastRenderedPageBreak/>
        <w:t>ANEKSI III</w:t>
      </w:r>
    </w:p>
    <w:p w14:paraId="4231043D" w14:textId="48FAD1A4" w:rsidR="00172774" w:rsidRPr="00CC2FF6" w:rsidRDefault="00CC2FF6" w:rsidP="00CC2FF6">
      <w:pPr>
        <w:tabs>
          <w:tab w:val="left" w:pos="4740"/>
        </w:tabs>
        <w:ind w:firstLine="284"/>
        <w:jc w:val="center"/>
        <w:rPr>
          <w:rFonts w:ascii="Garamond" w:eastAsiaTheme="minorHAnsi" w:hAnsi="Garamond"/>
          <w:lang w:eastAsia="en-US"/>
        </w:rPr>
      </w:pPr>
      <w:r w:rsidRPr="00CC2FF6">
        <w:rPr>
          <w:rFonts w:ascii="Garamond" w:eastAsiaTheme="minorHAnsi" w:hAnsi="Garamond"/>
          <w:lang w:eastAsia="en-US"/>
        </w:rPr>
        <w:t>PROTOKOLLI PËR VLERËSIMIN E REZISTENCËS TË NJË VARIETETI TË PËRMENDUR NË PIKËN 2 TË NENIT 7</w:t>
      </w:r>
    </w:p>
    <w:p w14:paraId="1E77362C" w14:textId="77777777" w:rsidR="00CC2FF6" w:rsidRPr="00CC2FF6" w:rsidRDefault="00CC2FF6" w:rsidP="00DE2215">
      <w:pPr>
        <w:tabs>
          <w:tab w:val="left" w:pos="4740"/>
        </w:tabs>
        <w:ind w:firstLine="284"/>
        <w:jc w:val="both"/>
        <w:rPr>
          <w:rFonts w:ascii="Garamond" w:eastAsiaTheme="minorHAnsi" w:hAnsi="Garamond"/>
          <w:lang w:eastAsia="en-US"/>
        </w:rPr>
      </w:pPr>
    </w:p>
    <w:p w14:paraId="2BFA9F19" w14:textId="72721AB3"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Protokolli për vlerësimin e rezistencës së një varieteti përfshin hapat e mëposhtëm.</w:t>
      </w:r>
    </w:p>
    <w:p w14:paraId="48B650AE" w14:textId="356E01D2"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1. </w:t>
      </w:r>
      <w:r w:rsidR="007B5992" w:rsidRPr="00F5176E">
        <w:rPr>
          <w:rFonts w:ascii="Garamond" w:eastAsiaTheme="minorHAnsi" w:hAnsi="Garamond"/>
          <w:lang w:eastAsia="en-US"/>
        </w:rPr>
        <w:t>Testohet n</w:t>
      </w:r>
      <w:r w:rsidRPr="00F5176E">
        <w:rPr>
          <w:rFonts w:ascii="Garamond" w:eastAsiaTheme="minorHAnsi" w:hAnsi="Garamond"/>
          <w:lang w:eastAsia="en-US"/>
        </w:rPr>
        <w:t xml:space="preserve">jë minimum prej 40 zhardhokësh ose </w:t>
      </w:r>
      <w:r w:rsidR="005865DF" w:rsidRPr="00F5176E">
        <w:rPr>
          <w:rFonts w:ascii="Garamond" w:eastAsiaTheme="minorHAnsi" w:hAnsi="Garamond"/>
          <w:lang w:eastAsia="en-US"/>
        </w:rPr>
        <w:t xml:space="preserve">filizat sythë, </w:t>
      </w:r>
      <w:r w:rsidRPr="00F5176E">
        <w:rPr>
          <w:rFonts w:ascii="Garamond" w:eastAsiaTheme="minorHAnsi" w:hAnsi="Garamond"/>
          <w:lang w:eastAsia="en-US"/>
        </w:rPr>
        <w:t>për varietet të bimës së specifikuar</w:t>
      </w:r>
      <w:r w:rsidR="007B5992" w:rsidRPr="00F5176E">
        <w:rPr>
          <w:rFonts w:ascii="Garamond" w:eastAsiaTheme="minorHAnsi" w:hAnsi="Garamond"/>
          <w:lang w:eastAsia="en-US"/>
        </w:rPr>
        <w:t>,</w:t>
      </w:r>
      <w:r w:rsidRPr="00F5176E">
        <w:rPr>
          <w:rFonts w:ascii="Garamond" w:eastAsiaTheme="minorHAnsi" w:hAnsi="Garamond"/>
          <w:lang w:eastAsia="en-US"/>
        </w:rPr>
        <w:t xml:space="preserve"> </w:t>
      </w:r>
      <w:r w:rsidR="007B5992" w:rsidRPr="00F5176E">
        <w:rPr>
          <w:rFonts w:ascii="Garamond" w:eastAsiaTheme="minorHAnsi" w:hAnsi="Garamond"/>
          <w:lang w:eastAsia="en-US"/>
        </w:rPr>
        <w:t>të ndara</w:t>
      </w:r>
      <w:r w:rsidRPr="00F5176E">
        <w:rPr>
          <w:rFonts w:ascii="Garamond" w:eastAsiaTheme="minorHAnsi" w:hAnsi="Garamond"/>
          <w:lang w:eastAsia="en-US"/>
        </w:rPr>
        <w:t xml:space="preserve"> në dy grupe (përsëritje).</w:t>
      </w:r>
    </w:p>
    <w:p w14:paraId="1BF9F60A" w14:textId="136AEADD" w:rsidR="00852D83"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2. Testi zakonisht zgjat 2 vjet. Vetëm në rast se një varietet tregon se është jashtëzakonisht i ndjeshëm ndaj një patotipi të dëmtuesit të specifikuar, kohëzgjatja e testit mund të reduktohet në 1 vit.</w:t>
      </w:r>
    </w:p>
    <w:p w14:paraId="22B1E993" w14:textId="5F6098C0"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3. Përpara se të fillojë një sezon testimi, inokulumi duhet të testohet për pastërti, duke përdorur metodat e përshkruara në aneksin I.</w:t>
      </w:r>
    </w:p>
    <w:p w14:paraId="1E5A68CC" w14:textId="43BA58B5"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4. Një kontroll pozitiv, në formën e një shumëllojshmërie të bimës së specifikuar, e cila është jashtëzakonisht e ndjeshme ndaj patotipit të dëmtuesit të specifikuar që do të testohet, duhet të përfshihet gjithmonë në test.</w:t>
      </w:r>
    </w:p>
    <w:p w14:paraId="0D731D06" w14:textId="1902ED64"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5. Duhet të përdoret një nga metodat e mëposhtme të testimit:</w:t>
      </w:r>
    </w:p>
    <w:p w14:paraId="142D2A87" w14:textId="23C4F6E9"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w:t>
      </w:r>
      <w:r w:rsidR="00C93918">
        <w:rPr>
          <w:rFonts w:ascii="Garamond" w:eastAsiaTheme="minorHAnsi" w:hAnsi="Garamond"/>
          <w:lang w:eastAsia="en-US"/>
        </w:rPr>
        <w:t xml:space="preserve">. </w:t>
      </w:r>
      <w:r w:rsidRPr="00F5176E">
        <w:rPr>
          <w:rFonts w:ascii="Garamond" w:eastAsiaTheme="minorHAnsi" w:hAnsi="Garamond"/>
          <w:lang w:eastAsia="en-US"/>
        </w:rPr>
        <w:t>metoda Glynne-Lemmerzahl (Glynne 1925, Lemmerzahl 1930, Noble &amp; Glynne 1970);</w:t>
      </w:r>
    </w:p>
    <w:p w14:paraId="23C52B20" w14:textId="1AF4DB50"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ii</w:t>
      </w:r>
      <w:r w:rsidR="00C93918">
        <w:rPr>
          <w:rFonts w:ascii="Garamond" w:eastAsiaTheme="minorHAnsi" w:hAnsi="Garamond"/>
          <w:lang w:eastAsia="en-US"/>
        </w:rPr>
        <w:t xml:space="preserve">. </w:t>
      </w:r>
      <w:r w:rsidRPr="00F5176E">
        <w:rPr>
          <w:rFonts w:ascii="Garamond" w:eastAsiaTheme="minorHAnsi" w:hAnsi="Garamond"/>
          <w:lang w:eastAsia="en-US"/>
        </w:rPr>
        <w:t>metoda Spieckermann (Spieckermann &amp; Kothoff 1924); ose</w:t>
      </w:r>
    </w:p>
    <w:p w14:paraId="5E14394C" w14:textId="29B2776C"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iii</w:t>
      </w:r>
      <w:r w:rsidR="00C93918">
        <w:rPr>
          <w:rFonts w:ascii="Garamond" w:eastAsiaTheme="minorHAnsi" w:hAnsi="Garamond"/>
          <w:lang w:eastAsia="en-US"/>
        </w:rPr>
        <w:t>.</w:t>
      </w:r>
      <w:r w:rsidRPr="00F5176E">
        <w:rPr>
          <w:rFonts w:ascii="Garamond" w:eastAsiaTheme="minorHAnsi" w:hAnsi="Garamond"/>
          <w:lang w:eastAsia="en-US"/>
        </w:rPr>
        <w:t xml:space="preserve"> metodën SASA (Shkenca dhe Këshilla për Bujqësinë Skoceze), që përbëhet nga të gjithë hapat e mëposhtëm:</w:t>
      </w:r>
    </w:p>
    <w:p w14:paraId="48E70E2C" w14:textId="5971C152" w:rsidR="006E0EC6" w:rsidRPr="00F5176E" w:rsidRDefault="00D172B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përgatitja e zhardhokëve:</w:t>
      </w:r>
    </w:p>
    <w:p w14:paraId="5FA78E39" w14:textId="028AB813" w:rsidR="004D727B"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Zhardhokët hiqen nga depoja e ftohtë rreth 10 ditë p</w:t>
      </w:r>
      <w:r w:rsidR="005326DC" w:rsidRPr="00F5176E">
        <w:rPr>
          <w:rFonts w:ascii="Garamond" w:eastAsiaTheme="minorHAnsi" w:hAnsi="Garamond"/>
          <w:lang w:eastAsia="en-US"/>
        </w:rPr>
        <w:t xml:space="preserve">ërpara inokulimit të synuar, </w:t>
      </w:r>
      <w:r w:rsidRPr="00F5176E">
        <w:rPr>
          <w:rFonts w:ascii="Garamond" w:eastAsiaTheme="minorHAnsi" w:hAnsi="Garamond"/>
          <w:lang w:eastAsia="en-US"/>
        </w:rPr>
        <w:t xml:space="preserve">lahen butësisht, </w:t>
      </w:r>
      <w:r w:rsidR="005326DC" w:rsidRPr="00F5176E">
        <w:rPr>
          <w:rFonts w:ascii="Garamond" w:eastAsiaTheme="minorHAnsi" w:hAnsi="Garamond"/>
          <w:lang w:eastAsia="en-US"/>
        </w:rPr>
        <w:t xml:space="preserve">thahen dhe </w:t>
      </w:r>
      <w:r w:rsidRPr="00F5176E">
        <w:rPr>
          <w:rFonts w:ascii="Garamond" w:eastAsiaTheme="minorHAnsi" w:hAnsi="Garamond"/>
          <w:lang w:eastAsia="en-US"/>
        </w:rPr>
        <w:t>ruhen në errësirë në temperaturën e dhomës për të nxitur mbirjen.</w:t>
      </w:r>
    </w:p>
    <w:p w14:paraId="74C3CA1C" w14:textId="576173D4" w:rsidR="006E0EC6" w:rsidRPr="00F5176E" w:rsidRDefault="00C26015"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Një varietet shumë i ndjeshëm (“Morene”</w:t>
      </w:r>
      <w:r w:rsidR="004D727B" w:rsidRPr="00F5176E">
        <w:rPr>
          <w:rFonts w:ascii="Garamond" w:eastAsiaTheme="minorHAnsi" w:hAnsi="Garamond"/>
          <w:lang w:eastAsia="en-US"/>
        </w:rPr>
        <w:t xml:space="preserve"> ose një varietet me ndjeshmëri të krahasueshme) duhet të përfshihet në çdo inokulim për të shërbyer si kontroll pozitiv;</w:t>
      </w:r>
    </w:p>
    <w:p w14:paraId="162D90DB" w14:textId="41BB3B13"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mbirja e sporeve </w:t>
      </w:r>
      <w:r w:rsidR="005865DF" w:rsidRPr="00F5176E">
        <w:rPr>
          <w:rFonts w:ascii="Garamond" w:eastAsiaTheme="minorHAnsi" w:hAnsi="Garamond"/>
          <w:lang w:eastAsia="en-US"/>
        </w:rPr>
        <w:t>dimërore</w:t>
      </w:r>
      <w:r w:rsidRPr="00F5176E">
        <w:rPr>
          <w:rFonts w:ascii="Garamond" w:eastAsiaTheme="minorHAnsi" w:hAnsi="Garamond"/>
          <w:lang w:eastAsia="en-US"/>
        </w:rPr>
        <w:t>:</w:t>
      </w:r>
    </w:p>
    <w:p w14:paraId="552C1854" w14:textId="1EC461E8" w:rsidR="004D727B"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Kushtet për nxitjen e mbirjes së sporeve dimëruese vendosen 21 ditë përpara inokulimit.</w:t>
      </w:r>
    </w:p>
    <w:p w14:paraId="0DFBCBFF" w14:textId="5B0A9A92" w:rsidR="004D727B"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Përafërsisht 10 mg spore të ekstraktuar spërkaten në sipërfaqen e 10 ml ujë të distiluar steril në enë të vogla plastike Petri dhe inkubohen në errësirë në 20</w:t>
      </w:r>
      <w:r w:rsidR="00CC2FF6">
        <w:rPr>
          <w:rFonts w:ascii="Garamond" w:eastAsiaTheme="minorHAnsi" w:hAnsi="Garamond"/>
          <w:lang w:eastAsia="en-US"/>
        </w:rPr>
        <w:t>°</w:t>
      </w:r>
      <w:r w:rsidRPr="00F5176E">
        <w:rPr>
          <w:rFonts w:ascii="Garamond" w:eastAsiaTheme="minorHAnsi" w:hAnsi="Garamond"/>
          <w:lang w:eastAsia="en-US"/>
        </w:rPr>
        <w:t>C, deri në mbirje.</w:t>
      </w:r>
    </w:p>
    <w:p w14:paraId="16BB4679" w14:textId="3A7C9873" w:rsidR="006E0EC6" w:rsidRPr="00F5176E" w:rsidRDefault="004D727B"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Përmbajtja e secilës enë Petri do të hollohet me 10 ml të tjera ujë të distiluar steril për inokulimin;</w:t>
      </w:r>
    </w:p>
    <w:p w14:paraId="298B5D0F" w14:textId="1C0E66A2"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inokulimi dhe inkubimi i filizave</w:t>
      </w:r>
      <w:r w:rsidR="00746651" w:rsidRPr="00F5176E">
        <w:rPr>
          <w:rFonts w:ascii="Garamond" w:eastAsiaTheme="minorHAnsi" w:hAnsi="Garamond"/>
          <w:lang w:eastAsia="en-US"/>
        </w:rPr>
        <w:t xml:space="preserve"> (</w:t>
      </w:r>
      <w:r w:rsidR="00746651" w:rsidRPr="00F5176E">
        <w:rPr>
          <w:rFonts w:ascii="Garamond" w:hAnsi="Garamond"/>
        </w:rPr>
        <w:t>sprouts)</w:t>
      </w:r>
      <w:r w:rsidRPr="00F5176E">
        <w:rPr>
          <w:rFonts w:ascii="Garamond" w:eastAsiaTheme="minorHAnsi" w:hAnsi="Garamond"/>
          <w:lang w:eastAsia="en-US"/>
        </w:rPr>
        <w:t>:</w:t>
      </w:r>
    </w:p>
    <w:p w14:paraId="3FED5289" w14:textId="6FD28A17"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Kur filizat arrijnë gjatësinë 1 mm, ato duhet të rrethohen me vazelinë të shkrirë. Unaza e vazelinës duhet të jetë e pathyer për të mbajtur pezullimin e spores pa rrjedhje dhe mjaftueshëm e lartë që pezullimi të mbulojë </w:t>
      </w:r>
      <w:r w:rsidR="00E37B64" w:rsidRPr="00F5176E">
        <w:rPr>
          <w:rFonts w:ascii="Garamond" w:eastAsiaTheme="minorHAnsi" w:hAnsi="Garamond"/>
          <w:lang w:eastAsia="en-US"/>
        </w:rPr>
        <w:t>filizin</w:t>
      </w:r>
      <w:r w:rsidRPr="00F5176E">
        <w:rPr>
          <w:rFonts w:ascii="Garamond" w:eastAsiaTheme="minorHAnsi" w:hAnsi="Garamond"/>
          <w:lang w:eastAsia="en-US"/>
        </w:rPr>
        <w:t>.</w:t>
      </w:r>
    </w:p>
    <w:p w14:paraId="01E29652" w14:textId="77777777"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Një filiz i vetëm ose një tufë e vetme filizash duhet të rrethohet në çdo zhardhok.</w:t>
      </w:r>
    </w:p>
    <w:p w14:paraId="53B57007" w14:textId="3CFE1B2D"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Zhardhokët vendosen në kuti plastike, të veshura me letër të lagur, me filizat e rrethuar të kthyera lart.</w:t>
      </w:r>
    </w:p>
    <w:p w14:paraId="3CB5FC2C" w14:textId="7B656203"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Unazat e vazelinës mbushen me suspension spore, duke përdorur një pipetë ose një shishe shtrydhëse derisa filizi të zhytet plotësisht.</w:t>
      </w:r>
    </w:p>
    <w:p w14:paraId="5A93001F" w14:textId="5D094825" w:rsidR="00371962"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Kutitë plastike </w:t>
      </w:r>
      <w:r w:rsidR="005326DC" w:rsidRPr="00F5176E">
        <w:rPr>
          <w:rFonts w:ascii="Garamond" w:eastAsiaTheme="minorHAnsi" w:hAnsi="Garamond"/>
          <w:lang w:eastAsia="en-US"/>
        </w:rPr>
        <w:t xml:space="preserve">mbulohen me kapak dhe </w:t>
      </w:r>
      <w:r w:rsidRPr="00F5176E">
        <w:rPr>
          <w:rFonts w:ascii="Garamond" w:eastAsiaTheme="minorHAnsi" w:hAnsi="Garamond"/>
          <w:lang w:eastAsia="en-US"/>
        </w:rPr>
        <w:t>inkubohen për 4 ditë në 10</w:t>
      </w:r>
      <w:r w:rsidR="00CC2FF6">
        <w:rPr>
          <w:rFonts w:ascii="Garamond" w:eastAsiaTheme="minorHAnsi" w:hAnsi="Garamond"/>
          <w:lang w:eastAsia="en-US"/>
        </w:rPr>
        <w:t>°</w:t>
      </w:r>
      <w:r w:rsidRPr="00F5176E">
        <w:rPr>
          <w:rFonts w:ascii="Garamond" w:eastAsiaTheme="minorHAnsi" w:hAnsi="Garamond"/>
          <w:lang w:eastAsia="en-US"/>
        </w:rPr>
        <w:t>C në errësirë, pas së cilës unazat e vazelinës hiqen dhe kutitë vendosen të hapura në një serë në 15-18</w:t>
      </w:r>
      <w:r w:rsidR="00CC2FF6">
        <w:rPr>
          <w:rFonts w:ascii="Garamond" w:eastAsiaTheme="minorHAnsi" w:hAnsi="Garamond"/>
          <w:lang w:eastAsia="en-US"/>
        </w:rPr>
        <w:t>°</w:t>
      </w:r>
      <w:r w:rsidRPr="00F5176E">
        <w:rPr>
          <w:rFonts w:ascii="Garamond" w:eastAsiaTheme="minorHAnsi" w:hAnsi="Garamond"/>
          <w:lang w:eastAsia="en-US"/>
        </w:rPr>
        <w:t>C nën mjegull periodike (3 herë në ditë për 30 minuta).</w:t>
      </w:r>
    </w:p>
    <w:p w14:paraId="7DA218C6" w14:textId="2142C2E6" w:rsidR="006E0EC6" w:rsidRPr="00F5176E" w:rsidRDefault="00371962"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Në rastet kur infeksioni dështoi, pë</w:t>
      </w:r>
      <w:r w:rsidR="005326DC" w:rsidRPr="00F5176E">
        <w:rPr>
          <w:rFonts w:ascii="Garamond" w:eastAsiaTheme="minorHAnsi" w:hAnsi="Garamond"/>
          <w:lang w:eastAsia="en-US"/>
        </w:rPr>
        <w:t>r shembull sepse filizi u kalb</w:t>
      </w:r>
      <w:r w:rsidRPr="00F5176E">
        <w:rPr>
          <w:rFonts w:ascii="Garamond" w:eastAsiaTheme="minorHAnsi" w:hAnsi="Garamond"/>
          <w:lang w:eastAsia="en-US"/>
        </w:rPr>
        <w:t xml:space="preserve"> ose nuk u zhvillua, tuberi mund të ritestohet duke përdorur një filiz tjetër;</w:t>
      </w:r>
    </w:p>
    <w:p w14:paraId="36959C2E" w14:textId="77777777"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vlerësimi:</w:t>
      </w:r>
    </w:p>
    <w:p w14:paraId="11E66341" w14:textId="193BB48B" w:rsidR="006E0EC6" w:rsidRPr="00F5176E" w:rsidRDefault="00FA148F"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Filizat ekzaminohen për infeksion 28 ditë pas inokulimit, duke përdorur një stereo mikroskop me zmadhim 10-15x dhe një mikroskop me dritë.</w:t>
      </w:r>
    </w:p>
    <w:p w14:paraId="4876B1D9" w14:textId="2289FACF" w:rsidR="006E0EC6" w:rsidRPr="00F5176E" w:rsidRDefault="00E37B64"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Reagimet e rezultatit 4 ose 5, </w:t>
      </w:r>
      <w:r w:rsidR="00FA148F" w:rsidRPr="00F5176E">
        <w:rPr>
          <w:rFonts w:ascii="Garamond" w:eastAsiaTheme="minorHAnsi" w:hAnsi="Garamond"/>
          <w:lang w:eastAsia="en-US"/>
        </w:rPr>
        <w:t>siç janë paraqitur në tabelë, vëzhgohen në kontrollin pozitiv në të paktën 80 % të zhardhokëve. Të paktën një zhardhok duhet të tregojë rezultatin 5.</w:t>
      </w:r>
    </w:p>
    <w:p w14:paraId="0C91A4DB" w14:textId="1D510966" w:rsidR="006E0EC6" w:rsidRPr="00F5176E" w:rsidRDefault="00FA148F"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6. </w:t>
      </w:r>
      <w:r w:rsidR="00E37B64" w:rsidRPr="00F5176E">
        <w:rPr>
          <w:rFonts w:ascii="Garamond" w:eastAsiaTheme="minorHAnsi" w:hAnsi="Garamond"/>
          <w:lang w:eastAsia="en-US"/>
        </w:rPr>
        <w:t xml:space="preserve">Të gjithë zhardhokët vlerësohen dhe </w:t>
      </w:r>
      <w:r w:rsidR="005326DC" w:rsidRPr="00F5176E">
        <w:rPr>
          <w:rFonts w:ascii="Garamond" w:eastAsiaTheme="minorHAnsi" w:hAnsi="Garamond"/>
          <w:lang w:eastAsia="en-US"/>
        </w:rPr>
        <w:t>ju jepet</w:t>
      </w:r>
      <w:r w:rsidR="00E37B64" w:rsidRPr="00F5176E">
        <w:rPr>
          <w:rFonts w:ascii="Garamond" w:eastAsiaTheme="minorHAnsi" w:hAnsi="Garamond"/>
          <w:lang w:eastAsia="en-US"/>
        </w:rPr>
        <w:t xml:space="preserve"> një pikë e renditjes së rezistencës nga 1 në 5, siç përcaktohet në tabelë.</w:t>
      </w:r>
    </w:p>
    <w:p w14:paraId="7E3EAEDE" w14:textId="32E6A2D0"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lastRenderedPageBreak/>
        <w:t>7. Çdo varietet i testuar ve</w:t>
      </w:r>
      <w:r w:rsidR="005326DC" w:rsidRPr="00F5176E">
        <w:rPr>
          <w:rFonts w:ascii="Garamond" w:eastAsiaTheme="minorHAnsi" w:hAnsi="Garamond"/>
          <w:lang w:eastAsia="en-US"/>
        </w:rPr>
        <w:t>ndoset në një grup rezistence (“</w:t>
      </w:r>
      <w:r w:rsidR="007D7CE8" w:rsidRPr="00F5176E">
        <w:rPr>
          <w:rFonts w:ascii="Garamond" w:eastAsiaTheme="minorHAnsi" w:hAnsi="Garamond"/>
          <w:lang w:eastAsia="en-US"/>
        </w:rPr>
        <w:t>shumë</w:t>
      </w:r>
      <w:r w:rsidR="005326DC" w:rsidRPr="00F5176E">
        <w:rPr>
          <w:rFonts w:ascii="Garamond" w:eastAsiaTheme="minorHAnsi" w:hAnsi="Garamond"/>
          <w:lang w:eastAsia="en-US"/>
        </w:rPr>
        <w:t xml:space="preserve"> rezistent”, “rezistent”, “pak i ndjeshëm”</w:t>
      </w:r>
      <w:r w:rsidRPr="00F5176E">
        <w:rPr>
          <w:rFonts w:ascii="Garamond" w:eastAsiaTheme="minorHAnsi" w:hAnsi="Garamond"/>
          <w:lang w:eastAsia="en-US"/>
        </w:rPr>
        <w:t xml:space="preserve"> ose </w:t>
      </w:r>
      <w:r w:rsidR="005326DC" w:rsidRPr="00F5176E">
        <w:rPr>
          <w:rFonts w:ascii="Garamond" w:eastAsiaTheme="minorHAnsi" w:hAnsi="Garamond"/>
          <w:lang w:eastAsia="en-US"/>
        </w:rPr>
        <w:t>“</w:t>
      </w:r>
      <w:r w:rsidRPr="00F5176E">
        <w:rPr>
          <w:rFonts w:ascii="Garamond" w:eastAsiaTheme="minorHAnsi" w:hAnsi="Garamond"/>
          <w:lang w:eastAsia="en-US"/>
        </w:rPr>
        <w:t>jashtëzakonisht i ndjeshëm</w:t>
      </w:r>
      <w:r w:rsidR="005326DC" w:rsidRPr="00F5176E">
        <w:rPr>
          <w:rFonts w:ascii="Garamond" w:eastAsiaTheme="minorHAnsi" w:hAnsi="Garamond"/>
          <w:lang w:eastAsia="en-US"/>
        </w:rPr>
        <w:t>”</w:t>
      </w:r>
      <w:r w:rsidRPr="00F5176E">
        <w:rPr>
          <w:rFonts w:ascii="Garamond" w:eastAsiaTheme="minorHAnsi" w:hAnsi="Garamond"/>
          <w:lang w:eastAsia="en-US"/>
        </w:rPr>
        <w:t xml:space="preserve">), sipas gamës së pikëve të vëzhguara brenda popullatës përkatëse të zhardhokëve individualë ose </w:t>
      </w:r>
      <w:r w:rsidR="00544469" w:rsidRPr="00F5176E">
        <w:rPr>
          <w:rFonts w:ascii="Garamond" w:eastAsiaTheme="minorHAnsi" w:hAnsi="Garamond"/>
          <w:lang w:eastAsia="en-US"/>
        </w:rPr>
        <w:t>filizave sythë</w:t>
      </w:r>
      <w:r w:rsidRPr="00F5176E">
        <w:rPr>
          <w:rFonts w:ascii="Garamond" w:eastAsiaTheme="minorHAnsi" w:hAnsi="Garamond"/>
          <w:lang w:eastAsia="en-US"/>
        </w:rPr>
        <w:t xml:space="preserve"> e </w:t>
      </w:r>
      <w:r w:rsidR="00FA148F" w:rsidRPr="00F5176E">
        <w:rPr>
          <w:rFonts w:ascii="Garamond" w:eastAsiaTheme="minorHAnsi" w:hAnsi="Garamond"/>
          <w:lang w:eastAsia="en-US"/>
        </w:rPr>
        <w:t>testuar</w:t>
      </w:r>
      <w:r w:rsidRPr="00F5176E">
        <w:rPr>
          <w:rFonts w:ascii="Garamond" w:eastAsiaTheme="minorHAnsi" w:hAnsi="Garamond"/>
          <w:lang w:eastAsia="en-US"/>
        </w:rPr>
        <w:t>:</w:t>
      </w:r>
    </w:p>
    <w:p w14:paraId="45C77382" w14:textId="0A7D7D91"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w:t>
      </w:r>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“shumë rezistent”</w:t>
      </w:r>
      <w:r w:rsidRPr="00F5176E">
        <w:rPr>
          <w:rFonts w:ascii="Garamond" w:eastAsiaTheme="minorHAnsi" w:hAnsi="Garamond"/>
          <w:lang w:eastAsia="en-US"/>
        </w:rPr>
        <w:t>, nëse të gjithë zhardhokët në të gjitha përsëritjet kanë një pikë 1;</w:t>
      </w:r>
    </w:p>
    <w:p w14:paraId="0FA71B9F" w14:textId="3EE7D259"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ii</w:t>
      </w:r>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w:t>
      </w:r>
      <w:r w:rsidRPr="00F5176E">
        <w:rPr>
          <w:rFonts w:ascii="Garamond" w:eastAsiaTheme="minorHAnsi" w:hAnsi="Garamond"/>
          <w:lang w:eastAsia="en-US"/>
        </w:rPr>
        <w:t>rezistent</w:t>
      </w:r>
      <w:r w:rsidR="00FE079F" w:rsidRPr="00F5176E">
        <w:rPr>
          <w:rFonts w:ascii="Garamond" w:eastAsiaTheme="minorHAnsi" w:hAnsi="Garamond"/>
          <w:lang w:eastAsia="en-US"/>
        </w:rPr>
        <w:t>”</w:t>
      </w:r>
      <w:r w:rsidRPr="00F5176E">
        <w:rPr>
          <w:rFonts w:ascii="Garamond" w:eastAsiaTheme="minorHAnsi" w:hAnsi="Garamond"/>
          <w:lang w:eastAsia="en-US"/>
        </w:rPr>
        <w:t>, nëse të gjithë zhardhokët në të gjitha përsëritjet kanë një pikë midis 1 dhe 3;</w:t>
      </w:r>
    </w:p>
    <w:p w14:paraId="18DB4AA0" w14:textId="5BF728AA"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iii</w:t>
      </w:r>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“pak i ndjeshëm”</w:t>
      </w:r>
      <w:r w:rsidRPr="00F5176E">
        <w:rPr>
          <w:rFonts w:ascii="Garamond" w:eastAsiaTheme="minorHAnsi" w:hAnsi="Garamond"/>
          <w:lang w:eastAsia="en-US"/>
        </w:rPr>
        <w:t>, nëse një ose më shumë zhardhok shënojnë 4 (nëse vetëm një zhardhok shënon 4, testi mund të përsëritet, për të përjashtuar papastërtitë në grupin e varietetit);</w:t>
      </w:r>
    </w:p>
    <w:p w14:paraId="0670859A" w14:textId="6CD86034"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iv</w:t>
      </w:r>
      <w:r w:rsidR="00C93918">
        <w:rPr>
          <w:rFonts w:ascii="Garamond" w:eastAsiaTheme="minorHAnsi" w:hAnsi="Garamond"/>
          <w:lang w:eastAsia="en-US"/>
        </w:rPr>
        <w:t>.</w:t>
      </w:r>
      <w:r w:rsidRPr="00F5176E">
        <w:rPr>
          <w:rFonts w:ascii="Garamond" w:eastAsiaTheme="minorHAnsi" w:hAnsi="Garamond"/>
          <w:lang w:eastAsia="en-US"/>
        </w:rPr>
        <w:t xml:space="preserve"> n</w:t>
      </w:r>
      <w:r w:rsidR="00FE079F" w:rsidRPr="00F5176E">
        <w:rPr>
          <w:rFonts w:ascii="Garamond" w:eastAsiaTheme="minorHAnsi" w:hAnsi="Garamond"/>
          <w:lang w:eastAsia="en-US"/>
        </w:rPr>
        <w:t>jë varietet do të konsiderohet “</w:t>
      </w:r>
      <w:r w:rsidRPr="00F5176E">
        <w:rPr>
          <w:rFonts w:ascii="Garamond" w:eastAsiaTheme="minorHAnsi" w:hAnsi="Garamond"/>
          <w:lang w:eastAsia="en-US"/>
        </w:rPr>
        <w:t>jashtëzakonisht i ndjeshëm</w:t>
      </w:r>
      <w:r w:rsidR="00FE079F" w:rsidRPr="00F5176E">
        <w:rPr>
          <w:rFonts w:ascii="Garamond" w:eastAsiaTheme="minorHAnsi" w:hAnsi="Garamond"/>
          <w:lang w:eastAsia="en-US"/>
        </w:rPr>
        <w:t>”</w:t>
      </w:r>
      <w:r w:rsidRPr="00F5176E">
        <w:rPr>
          <w:rFonts w:ascii="Garamond" w:eastAsiaTheme="minorHAnsi" w:hAnsi="Garamond"/>
          <w:lang w:eastAsia="en-US"/>
        </w:rPr>
        <w:t>, nëse të paktën një zhardhok në një përsëritje shënon 5.</w:t>
      </w:r>
    </w:p>
    <w:p w14:paraId="6CF1E851" w14:textId="0C972EB8" w:rsidR="006E0EC6" w:rsidRPr="00F5176E" w:rsidRDefault="006E0EC6" w:rsidP="00F5176E">
      <w:pPr>
        <w:tabs>
          <w:tab w:val="left" w:pos="4740"/>
        </w:tabs>
        <w:ind w:firstLine="284"/>
        <w:rPr>
          <w:rFonts w:ascii="Garamond" w:eastAsiaTheme="minorHAnsi" w:hAnsi="Garamond"/>
          <w:lang w:eastAsia="en-US"/>
        </w:rPr>
      </w:pPr>
    </w:p>
    <w:p w14:paraId="67488179" w14:textId="5D5BE271" w:rsidR="006E0EC6" w:rsidRPr="00F5176E" w:rsidRDefault="00FE079F" w:rsidP="00202205">
      <w:pPr>
        <w:tabs>
          <w:tab w:val="left" w:pos="4740"/>
        </w:tabs>
        <w:ind w:firstLine="284"/>
        <w:jc w:val="center"/>
        <w:rPr>
          <w:rFonts w:ascii="Garamond" w:eastAsiaTheme="minorHAnsi" w:hAnsi="Garamond"/>
          <w:lang w:eastAsia="en-US"/>
        </w:rPr>
      </w:pPr>
      <w:r w:rsidRPr="00F5176E">
        <w:rPr>
          <w:rFonts w:ascii="Garamond" w:eastAsiaTheme="minorHAnsi" w:hAnsi="Garamond"/>
          <w:b/>
          <w:lang w:eastAsia="en-US"/>
        </w:rPr>
        <w:t>Shënime standarde të pikëve për popullatat e testimit të patates</w:t>
      </w:r>
    </w:p>
    <w:tbl>
      <w:tblPr>
        <w:tblStyle w:val="TableGrid"/>
        <w:tblW w:w="9445" w:type="dxa"/>
        <w:tblLayout w:type="fixed"/>
        <w:tblLook w:val="01E0" w:firstRow="1" w:lastRow="1" w:firstColumn="1" w:lastColumn="1" w:noHBand="0" w:noVBand="0"/>
      </w:tblPr>
      <w:tblGrid>
        <w:gridCol w:w="985"/>
        <w:gridCol w:w="1170"/>
        <w:gridCol w:w="2007"/>
        <w:gridCol w:w="5283"/>
      </w:tblGrid>
      <w:tr w:rsidR="00172774" w:rsidRPr="00F5176E" w14:paraId="4C94F6B4" w14:textId="77777777" w:rsidTr="00202205">
        <w:trPr>
          <w:trHeight w:val="20"/>
        </w:trPr>
        <w:tc>
          <w:tcPr>
            <w:tcW w:w="985" w:type="dxa"/>
          </w:tcPr>
          <w:p w14:paraId="3142EC5A" w14:textId="77777777" w:rsidR="00FE079F" w:rsidRPr="00F5176E" w:rsidRDefault="00FE079F" w:rsidP="00F5176E">
            <w:pPr>
              <w:pStyle w:val="TableParagraph"/>
              <w:rPr>
                <w:rFonts w:ascii="Garamond" w:eastAsiaTheme="minorHAnsi" w:hAnsi="Garamond"/>
                <w:sz w:val="20"/>
                <w:szCs w:val="24"/>
              </w:rPr>
            </w:pPr>
            <w:r w:rsidRPr="00F5176E">
              <w:rPr>
                <w:rFonts w:ascii="Garamond" w:eastAsiaTheme="minorHAnsi" w:hAnsi="Garamond"/>
                <w:sz w:val="20"/>
                <w:szCs w:val="24"/>
              </w:rPr>
              <w:t>Rezultati</w:t>
            </w:r>
          </w:p>
          <w:p w14:paraId="5F79611A" w14:textId="175BA12D" w:rsidR="00172774" w:rsidRPr="00F5176E" w:rsidRDefault="00FE079F" w:rsidP="00F5176E">
            <w:pPr>
              <w:pStyle w:val="TableParagraph"/>
              <w:rPr>
                <w:rFonts w:ascii="Garamond" w:eastAsiaTheme="minorHAnsi" w:hAnsi="Garamond"/>
                <w:sz w:val="20"/>
                <w:szCs w:val="24"/>
              </w:rPr>
            </w:pPr>
            <w:r w:rsidRPr="00F5176E">
              <w:rPr>
                <w:rFonts w:ascii="Garamond" w:eastAsiaTheme="minorHAnsi" w:hAnsi="Garamond"/>
                <w:sz w:val="20"/>
                <w:szCs w:val="24"/>
              </w:rPr>
              <w:t>standard</w:t>
            </w:r>
          </w:p>
        </w:tc>
        <w:tc>
          <w:tcPr>
            <w:tcW w:w="1170" w:type="dxa"/>
          </w:tcPr>
          <w:p w14:paraId="4E8EFE6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Grupi i rezistencës</w:t>
            </w:r>
          </w:p>
        </w:tc>
        <w:tc>
          <w:tcPr>
            <w:tcW w:w="2007" w:type="dxa"/>
          </w:tcPr>
          <w:p w14:paraId="5EC1CA9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Përshkrimi i rezistencës</w:t>
            </w:r>
          </w:p>
        </w:tc>
        <w:tc>
          <w:tcPr>
            <w:tcW w:w="5283" w:type="dxa"/>
          </w:tcPr>
          <w:p w14:paraId="4B851C21" w14:textId="77777777" w:rsidR="00172774" w:rsidRPr="00F5176E" w:rsidRDefault="00172774" w:rsidP="00F5176E">
            <w:pPr>
              <w:pStyle w:val="TableParagraph"/>
              <w:jc w:val="center"/>
              <w:rPr>
                <w:rFonts w:ascii="Garamond" w:eastAsiaTheme="minorHAnsi" w:hAnsi="Garamond"/>
                <w:sz w:val="20"/>
                <w:szCs w:val="24"/>
              </w:rPr>
            </w:pPr>
            <w:r w:rsidRPr="00F5176E">
              <w:rPr>
                <w:rFonts w:ascii="Garamond" w:eastAsiaTheme="minorHAnsi" w:hAnsi="Garamond"/>
                <w:sz w:val="20"/>
                <w:szCs w:val="24"/>
              </w:rPr>
              <w:t>Përshkrim</w:t>
            </w:r>
          </w:p>
        </w:tc>
      </w:tr>
      <w:tr w:rsidR="00172774" w:rsidRPr="00F5176E" w14:paraId="315F28AD" w14:textId="77777777" w:rsidTr="00202205">
        <w:trPr>
          <w:trHeight w:val="20"/>
        </w:trPr>
        <w:tc>
          <w:tcPr>
            <w:tcW w:w="985" w:type="dxa"/>
          </w:tcPr>
          <w:p w14:paraId="09C933A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1</w:t>
            </w:r>
          </w:p>
        </w:tc>
        <w:tc>
          <w:tcPr>
            <w:tcW w:w="1170" w:type="dxa"/>
          </w:tcPr>
          <w:p w14:paraId="06CE71F9"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R1</w:t>
            </w:r>
          </w:p>
        </w:tc>
        <w:tc>
          <w:tcPr>
            <w:tcW w:w="2007" w:type="dxa"/>
          </w:tcPr>
          <w:p w14:paraId="38F6FFB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Jashtëzakonisht rezistente</w:t>
            </w:r>
          </w:p>
        </w:tc>
        <w:tc>
          <w:tcPr>
            <w:tcW w:w="5283" w:type="dxa"/>
          </w:tcPr>
          <w:p w14:paraId="76BC503D" w14:textId="18809D51" w:rsidR="00172774" w:rsidRPr="00F5176E" w:rsidRDefault="002B1CA6" w:rsidP="00F5176E">
            <w:pPr>
              <w:pStyle w:val="TableParagraph"/>
              <w:rPr>
                <w:rFonts w:ascii="Garamond" w:eastAsiaTheme="minorHAnsi" w:hAnsi="Garamond"/>
                <w:sz w:val="20"/>
                <w:szCs w:val="24"/>
              </w:rPr>
            </w:pPr>
            <w:r w:rsidRPr="00F5176E">
              <w:rPr>
                <w:rFonts w:ascii="Garamond" w:eastAsiaTheme="minorHAnsi" w:hAnsi="Garamond"/>
                <w:sz w:val="20"/>
                <w:szCs w:val="24"/>
              </w:rPr>
              <w:t>Nekroza e hershme e mbrojtjes; nuk ka formim të dukshëm sorus (një grup sporangjesh).</w:t>
            </w:r>
          </w:p>
        </w:tc>
      </w:tr>
      <w:tr w:rsidR="00172774" w:rsidRPr="00F5176E" w14:paraId="1979CD12" w14:textId="77777777" w:rsidTr="00202205">
        <w:trPr>
          <w:trHeight w:val="20"/>
        </w:trPr>
        <w:tc>
          <w:tcPr>
            <w:tcW w:w="985" w:type="dxa"/>
          </w:tcPr>
          <w:p w14:paraId="2AA839B5"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2</w:t>
            </w:r>
          </w:p>
        </w:tc>
        <w:tc>
          <w:tcPr>
            <w:tcW w:w="1170" w:type="dxa"/>
          </w:tcPr>
          <w:p w14:paraId="12BAABD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R1</w:t>
            </w:r>
          </w:p>
        </w:tc>
        <w:tc>
          <w:tcPr>
            <w:tcW w:w="2007" w:type="dxa"/>
          </w:tcPr>
          <w:p w14:paraId="1E5E73AE"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Rezistente</w:t>
            </w:r>
          </w:p>
        </w:tc>
        <w:tc>
          <w:tcPr>
            <w:tcW w:w="5283" w:type="dxa"/>
          </w:tcPr>
          <w:p w14:paraId="28888C44" w14:textId="283162C6" w:rsidR="00172774" w:rsidRPr="00F5176E" w:rsidRDefault="00655D51"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Nekroza e vonshme e mbrojtjes; formimi sorus </w:t>
            </w:r>
            <w:r w:rsidR="0027586B" w:rsidRPr="00F5176E">
              <w:rPr>
                <w:rFonts w:ascii="Garamond" w:eastAsiaTheme="minorHAnsi" w:hAnsi="Garamond"/>
                <w:sz w:val="20"/>
                <w:szCs w:val="24"/>
              </w:rPr>
              <w:t xml:space="preserve">(një grup sporangjesh) </w:t>
            </w:r>
            <w:r w:rsidRPr="00F5176E">
              <w:rPr>
                <w:rFonts w:ascii="Garamond" w:eastAsiaTheme="minorHAnsi" w:hAnsi="Garamond"/>
                <w:sz w:val="20"/>
                <w:szCs w:val="24"/>
              </w:rPr>
              <w:t xml:space="preserve">pjesërisht i dukshëm, i </w:t>
            </w:r>
            <w:r w:rsidR="00460062" w:rsidRPr="00F5176E">
              <w:rPr>
                <w:rFonts w:ascii="Garamond" w:eastAsiaTheme="minorHAnsi" w:hAnsi="Garamond"/>
                <w:sz w:val="20"/>
                <w:szCs w:val="24"/>
              </w:rPr>
              <w:t>pazhvilluar</w:t>
            </w:r>
            <w:r w:rsidRPr="00F5176E">
              <w:rPr>
                <w:rFonts w:ascii="Garamond" w:eastAsiaTheme="minorHAnsi" w:hAnsi="Garamond"/>
                <w:sz w:val="20"/>
                <w:szCs w:val="24"/>
              </w:rPr>
              <w:t xml:space="preserve"> ose nekrotik para </w:t>
            </w:r>
            <w:r w:rsidR="00460062" w:rsidRPr="00F5176E">
              <w:rPr>
                <w:rFonts w:ascii="Garamond" w:eastAsiaTheme="minorHAnsi" w:hAnsi="Garamond"/>
                <w:sz w:val="20"/>
                <w:szCs w:val="24"/>
              </w:rPr>
              <w:t>zhvillimit</w:t>
            </w:r>
            <w:r w:rsidRPr="00F5176E">
              <w:rPr>
                <w:rFonts w:ascii="Garamond" w:eastAsiaTheme="minorHAnsi" w:hAnsi="Garamond"/>
                <w:sz w:val="20"/>
                <w:szCs w:val="24"/>
              </w:rPr>
              <w:t>.</w:t>
            </w:r>
          </w:p>
        </w:tc>
      </w:tr>
      <w:tr w:rsidR="00172774" w:rsidRPr="00F5176E" w14:paraId="49FF9782" w14:textId="77777777" w:rsidTr="00202205">
        <w:trPr>
          <w:trHeight w:val="20"/>
        </w:trPr>
        <w:tc>
          <w:tcPr>
            <w:tcW w:w="985" w:type="dxa"/>
          </w:tcPr>
          <w:p w14:paraId="70BCE02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3</w:t>
            </w:r>
          </w:p>
        </w:tc>
        <w:tc>
          <w:tcPr>
            <w:tcW w:w="1170" w:type="dxa"/>
          </w:tcPr>
          <w:p w14:paraId="18EF8C30"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R2</w:t>
            </w:r>
          </w:p>
        </w:tc>
        <w:tc>
          <w:tcPr>
            <w:tcW w:w="2007" w:type="dxa"/>
          </w:tcPr>
          <w:p w14:paraId="38E1CF7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Rezistent i dobët</w:t>
            </w:r>
          </w:p>
        </w:tc>
        <w:tc>
          <w:tcPr>
            <w:tcW w:w="5283" w:type="dxa"/>
          </w:tcPr>
          <w:p w14:paraId="5726DB50" w14:textId="10779D18" w:rsidR="0027586B" w:rsidRPr="00F5176E" w:rsidRDefault="0027586B" w:rsidP="00F5176E">
            <w:pPr>
              <w:pStyle w:val="TableParagraph"/>
              <w:jc w:val="both"/>
              <w:rPr>
                <w:rFonts w:ascii="Garamond" w:eastAsiaTheme="minorHAnsi" w:hAnsi="Garamond"/>
                <w:sz w:val="20"/>
                <w:szCs w:val="24"/>
              </w:rPr>
            </w:pPr>
            <w:r w:rsidRPr="00F5176E">
              <w:rPr>
                <w:rFonts w:ascii="Garamond" w:eastAsiaTheme="minorHAnsi" w:hAnsi="Garamond"/>
                <w:sz w:val="20"/>
                <w:szCs w:val="24"/>
              </w:rPr>
              <w:t xml:space="preserve">Nekroza mbrojtëse shumë e vonshme; fusha të vetme </w:t>
            </w:r>
            <w:r w:rsidR="00460062" w:rsidRPr="00F5176E">
              <w:rPr>
                <w:rFonts w:ascii="Garamond" w:eastAsiaTheme="minorHAnsi" w:hAnsi="Garamond"/>
                <w:sz w:val="20"/>
                <w:szCs w:val="24"/>
              </w:rPr>
              <w:t xml:space="preserve">sori </w:t>
            </w:r>
            <w:r w:rsidRPr="00F5176E">
              <w:rPr>
                <w:rFonts w:ascii="Garamond" w:eastAsiaTheme="minorHAnsi" w:hAnsi="Garamond"/>
                <w:sz w:val="20"/>
                <w:szCs w:val="24"/>
              </w:rPr>
              <w:t xml:space="preserve">të </w:t>
            </w:r>
            <w:r w:rsidR="00460062" w:rsidRPr="00F5176E">
              <w:rPr>
                <w:rFonts w:ascii="Garamond" w:eastAsiaTheme="minorHAnsi" w:hAnsi="Garamond"/>
                <w:sz w:val="20"/>
                <w:szCs w:val="24"/>
              </w:rPr>
              <w:t>rritur</w:t>
            </w:r>
            <w:r w:rsidRPr="00F5176E">
              <w:rPr>
                <w:rFonts w:ascii="Garamond" w:eastAsiaTheme="minorHAnsi" w:hAnsi="Garamond"/>
                <w:sz w:val="20"/>
                <w:szCs w:val="24"/>
              </w:rPr>
              <w:t xml:space="preserve"> ose sorus të zhvilluara, por të rrethuara plotësisht nga nekroza; deri në pesë sori verore jo-nekrotike të lejuara, nekrozë e qartë në zona të tjera të së njëjtës copë tuber. Asnjë formim i </w:t>
            </w:r>
            <w:r w:rsidR="00460062" w:rsidRPr="00F5176E">
              <w:rPr>
                <w:rFonts w:ascii="Garamond" w:eastAsiaTheme="minorHAnsi" w:hAnsi="Garamond"/>
                <w:sz w:val="20"/>
                <w:szCs w:val="24"/>
              </w:rPr>
              <w:t>gungave</w:t>
            </w:r>
            <w:r w:rsidRPr="00F5176E">
              <w:rPr>
                <w:rFonts w:ascii="Garamond" w:eastAsiaTheme="minorHAnsi" w:hAnsi="Garamond"/>
                <w:sz w:val="20"/>
                <w:szCs w:val="24"/>
              </w:rPr>
              <w:t xml:space="preserve"> apo spore dimërues.</w:t>
            </w:r>
          </w:p>
          <w:p w14:paraId="3C740564" w14:textId="7AA03FDA" w:rsidR="0027586B" w:rsidRPr="00F5176E" w:rsidRDefault="0027586B" w:rsidP="00F5176E">
            <w:pPr>
              <w:pStyle w:val="TableParagraph"/>
              <w:jc w:val="both"/>
              <w:rPr>
                <w:rFonts w:ascii="Garamond" w:eastAsiaTheme="minorHAnsi" w:hAnsi="Garamond"/>
                <w:sz w:val="20"/>
                <w:szCs w:val="24"/>
              </w:rPr>
            </w:pPr>
            <w:r w:rsidRPr="00F5176E">
              <w:rPr>
                <w:rFonts w:ascii="Garamond" w:eastAsiaTheme="minorHAnsi" w:hAnsi="Garamond"/>
                <w:sz w:val="20"/>
                <w:szCs w:val="24"/>
              </w:rPr>
              <w:t>Për të vendosur midis grupeve 3 dhe 4, mund të jetë e nevojshme përgatitja e rrëshqitjeve të holla të indit të infektuar: nëse nuk ka spore dimërimi, rezultati do të jetë 3.</w:t>
            </w:r>
          </w:p>
        </w:tc>
      </w:tr>
      <w:tr w:rsidR="00172774" w:rsidRPr="00F5176E" w14:paraId="3F036B3D" w14:textId="77777777" w:rsidTr="00202205">
        <w:trPr>
          <w:trHeight w:val="20"/>
        </w:trPr>
        <w:tc>
          <w:tcPr>
            <w:tcW w:w="985" w:type="dxa"/>
          </w:tcPr>
          <w:p w14:paraId="6D642952"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4</w:t>
            </w:r>
          </w:p>
        </w:tc>
        <w:tc>
          <w:tcPr>
            <w:tcW w:w="1170" w:type="dxa"/>
          </w:tcPr>
          <w:p w14:paraId="3692197D"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S1</w:t>
            </w:r>
          </w:p>
        </w:tc>
        <w:tc>
          <w:tcPr>
            <w:tcW w:w="2007" w:type="dxa"/>
          </w:tcPr>
          <w:p w14:paraId="1DE89D10"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Pak e ndjeshme</w:t>
            </w:r>
          </w:p>
        </w:tc>
        <w:tc>
          <w:tcPr>
            <w:tcW w:w="5283" w:type="dxa"/>
          </w:tcPr>
          <w:p w14:paraId="76D29EB2" w14:textId="338D2EFE" w:rsidR="0027586B" w:rsidRPr="00F5176E" w:rsidRDefault="0027586B" w:rsidP="00F5176E">
            <w:pPr>
              <w:pStyle w:val="TableParagraph"/>
              <w:rPr>
                <w:rFonts w:ascii="Garamond" w:eastAsiaTheme="minorHAnsi" w:hAnsi="Garamond"/>
                <w:sz w:val="20"/>
                <w:szCs w:val="24"/>
              </w:rPr>
            </w:pPr>
            <w:r w:rsidRPr="00F5176E">
              <w:rPr>
                <w:rFonts w:ascii="Garamond" w:eastAsiaTheme="minorHAnsi" w:hAnsi="Garamond"/>
                <w:sz w:val="20"/>
                <w:szCs w:val="24"/>
              </w:rPr>
              <w:t>Infeksione të shpërndara; fusha sori ose sorus jo nekrotike, të pakta në numër; nekroza e vonshme mund të jetë e pranishme në vende të tjera të infeksionit në filiz; filizi mund të jetë pak i keq formuar (i trashur). Janë të pranishme sporangjet dimëruese (dimër).</w:t>
            </w:r>
          </w:p>
          <w:p w14:paraId="0C8AAC5F" w14:textId="4D63644D" w:rsidR="00172774" w:rsidRPr="00F5176E" w:rsidRDefault="0027586B" w:rsidP="00F5176E">
            <w:pPr>
              <w:pStyle w:val="TableParagraph"/>
              <w:jc w:val="both"/>
              <w:rPr>
                <w:rFonts w:ascii="Garamond" w:eastAsiaTheme="minorHAnsi" w:hAnsi="Garamond"/>
                <w:sz w:val="20"/>
                <w:szCs w:val="24"/>
              </w:rPr>
            </w:pPr>
            <w:r w:rsidRPr="00F5176E">
              <w:rPr>
                <w:rFonts w:ascii="Garamond" w:eastAsiaTheme="minorHAnsi" w:hAnsi="Garamond"/>
                <w:sz w:val="20"/>
                <w:szCs w:val="24"/>
              </w:rPr>
              <w:t>Për të vendosur midis grupit 3 dhe 4, mund të jetë e nevojshme përgatitja e rrëshqitjeve të holla të indit të infektuar: nëse ka spore dimëruese, rezultati duhet të jetë 4.</w:t>
            </w:r>
          </w:p>
        </w:tc>
      </w:tr>
      <w:tr w:rsidR="00172774" w:rsidRPr="00F5176E" w14:paraId="0785596D" w14:textId="77777777" w:rsidTr="00202205">
        <w:trPr>
          <w:trHeight w:val="20"/>
        </w:trPr>
        <w:tc>
          <w:tcPr>
            <w:tcW w:w="985" w:type="dxa"/>
          </w:tcPr>
          <w:p w14:paraId="0135DBE1"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5</w:t>
            </w:r>
          </w:p>
        </w:tc>
        <w:tc>
          <w:tcPr>
            <w:tcW w:w="1170" w:type="dxa"/>
          </w:tcPr>
          <w:p w14:paraId="0A40FC9E"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S2</w:t>
            </w:r>
          </w:p>
        </w:tc>
        <w:tc>
          <w:tcPr>
            <w:tcW w:w="2007" w:type="dxa"/>
          </w:tcPr>
          <w:p w14:paraId="7A27DD83" w14:textId="77777777" w:rsidR="00172774" w:rsidRPr="00F5176E" w:rsidRDefault="00172774" w:rsidP="00F5176E">
            <w:pPr>
              <w:pStyle w:val="TableParagraph"/>
              <w:rPr>
                <w:rFonts w:ascii="Garamond" w:eastAsiaTheme="minorHAnsi" w:hAnsi="Garamond"/>
                <w:sz w:val="20"/>
                <w:szCs w:val="24"/>
              </w:rPr>
            </w:pPr>
            <w:r w:rsidRPr="00F5176E">
              <w:rPr>
                <w:rFonts w:ascii="Garamond" w:eastAsiaTheme="minorHAnsi" w:hAnsi="Garamond"/>
                <w:sz w:val="20"/>
                <w:szCs w:val="24"/>
              </w:rPr>
              <w:t>Jashtëzakonisht i ndjeshëm</w:t>
            </w:r>
          </w:p>
        </w:tc>
        <w:tc>
          <w:tcPr>
            <w:tcW w:w="5283" w:type="dxa"/>
          </w:tcPr>
          <w:p w14:paraId="6669E50F" w14:textId="1F303BAF" w:rsidR="00172774" w:rsidRPr="00F5176E" w:rsidRDefault="0027586B" w:rsidP="00F5176E">
            <w:pPr>
              <w:pStyle w:val="TableParagraph"/>
              <w:rPr>
                <w:rFonts w:ascii="Garamond" w:eastAsiaTheme="minorHAnsi" w:hAnsi="Garamond"/>
                <w:sz w:val="20"/>
                <w:szCs w:val="24"/>
              </w:rPr>
            </w:pPr>
            <w:r w:rsidRPr="00F5176E">
              <w:rPr>
                <w:rFonts w:ascii="Garamond" w:eastAsiaTheme="minorHAnsi" w:hAnsi="Garamond"/>
                <w:sz w:val="20"/>
                <w:szCs w:val="24"/>
              </w:rPr>
              <w:t xml:space="preserve">Fusha të dendura infeksioni, fusha të shumta të pjekura jonekrotike dhe soruse, fusha me zona të dendura infeksioni jonekrotike, formim mbizotërues i </w:t>
            </w:r>
            <w:r w:rsidR="00B56A07" w:rsidRPr="00F5176E">
              <w:rPr>
                <w:rFonts w:ascii="Garamond" w:eastAsiaTheme="minorHAnsi" w:hAnsi="Garamond"/>
                <w:sz w:val="20"/>
                <w:szCs w:val="24"/>
              </w:rPr>
              <w:t>gungave</w:t>
            </w:r>
            <w:r w:rsidRPr="00F5176E">
              <w:rPr>
                <w:rFonts w:ascii="Garamond" w:eastAsiaTheme="minorHAnsi" w:hAnsi="Garamond"/>
                <w:sz w:val="20"/>
                <w:szCs w:val="24"/>
              </w:rPr>
              <w:t>.</w:t>
            </w:r>
          </w:p>
        </w:tc>
      </w:tr>
    </w:tbl>
    <w:p w14:paraId="4295DF38" w14:textId="79158E7D" w:rsidR="0027586B" w:rsidRDefault="00F5176E" w:rsidP="00F5176E">
      <w:pPr>
        <w:tabs>
          <w:tab w:val="left" w:pos="4740"/>
        </w:tabs>
        <w:ind w:firstLine="284"/>
        <w:rPr>
          <w:rFonts w:ascii="Garamond" w:eastAsiaTheme="minorHAnsi" w:hAnsi="Garamond"/>
          <w:lang w:eastAsia="en-US"/>
        </w:rPr>
      </w:pPr>
      <w:r w:rsidRPr="00F5176E">
        <w:rPr>
          <w:rFonts w:ascii="Garamond" w:eastAsiaTheme="minorHAnsi" w:hAnsi="Garamond"/>
          <w:lang w:eastAsia="en-US"/>
        </w:rPr>
        <w:t xml:space="preserve"> </w:t>
      </w:r>
    </w:p>
    <w:p w14:paraId="7B02480E" w14:textId="77777777" w:rsidR="00AA69FE" w:rsidRPr="00F5176E" w:rsidRDefault="00AA69FE" w:rsidP="00F5176E">
      <w:pPr>
        <w:tabs>
          <w:tab w:val="left" w:pos="4740"/>
        </w:tabs>
        <w:ind w:firstLine="284"/>
        <w:rPr>
          <w:rFonts w:ascii="Garamond" w:eastAsiaTheme="minorHAnsi" w:hAnsi="Garamond"/>
          <w:lang w:eastAsia="en-US"/>
        </w:rPr>
      </w:pPr>
    </w:p>
    <w:p w14:paraId="5AC73FBF" w14:textId="171D0C4F" w:rsidR="006E0EC6" w:rsidRPr="00202205" w:rsidRDefault="00202205" w:rsidP="00F5176E">
      <w:pPr>
        <w:tabs>
          <w:tab w:val="left" w:pos="4740"/>
        </w:tabs>
        <w:ind w:firstLine="284"/>
        <w:jc w:val="center"/>
        <w:rPr>
          <w:rFonts w:ascii="Garamond" w:eastAsiaTheme="minorHAnsi" w:hAnsi="Garamond"/>
          <w:lang w:eastAsia="en-US"/>
        </w:rPr>
      </w:pPr>
      <w:r w:rsidRPr="00202205">
        <w:rPr>
          <w:rFonts w:ascii="Garamond" w:eastAsiaTheme="minorHAnsi" w:hAnsi="Garamond"/>
          <w:lang w:eastAsia="en-US"/>
        </w:rPr>
        <w:t>ANEKSI IV</w:t>
      </w:r>
      <w:r w:rsidR="007C0914">
        <w:rPr>
          <w:rFonts w:ascii="Garamond" w:eastAsiaTheme="minorHAnsi" w:hAnsi="Garamond"/>
          <w:lang w:eastAsia="en-US"/>
        </w:rPr>
        <w:t xml:space="preserve"> </w:t>
      </w:r>
    </w:p>
    <w:p w14:paraId="22733417" w14:textId="411EBEA9" w:rsidR="006E0EC6" w:rsidRPr="00202205" w:rsidRDefault="00202205" w:rsidP="00F5176E">
      <w:pPr>
        <w:tabs>
          <w:tab w:val="left" w:pos="4740"/>
        </w:tabs>
        <w:ind w:firstLine="284"/>
        <w:jc w:val="center"/>
        <w:rPr>
          <w:rFonts w:ascii="Garamond" w:eastAsiaTheme="minorHAnsi" w:hAnsi="Garamond"/>
          <w:lang w:eastAsia="en-US"/>
        </w:rPr>
      </w:pPr>
      <w:r w:rsidRPr="00202205">
        <w:rPr>
          <w:rFonts w:ascii="Garamond" w:eastAsiaTheme="minorHAnsi" w:hAnsi="Garamond"/>
          <w:lang w:eastAsia="en-US"/>
        </w:rPr>
        <w:t>KUSHTET PËR REVOKIMIN E MASAVE TË PËRMENDURA NË NENIN 9</w:t>
      </w:r>
    </w:p>
    <w:p w14:paraId="207B2ECB" w14:textId="5E8C5B12" w:rsidR="006E0EC6" w:rsidRPr="007C0914" w:rsidRDefault="007C0914" w:rsidP="00F5176E">
      <w:pPr>
        <w:tabs>
          <w:tab w:val="left" w:pos="4740"/>
        </w:tabs>
        <w:ind w:firstLine="284"/>
        <w:jc w:val="center"/>
        <w:rPr>
          <w:rFonts w:ascii="Garamond" w:eastAsiaTheme="minorHAnsi" w:hAnsi="Garamond"/>
          <w:i/>
          <w:lang w:eastAsia="en-US"/>
        </w:rPr>
      </w:pPr>
      <w:r w:rsidRPr="007C0914">
        <w:rPr>
          <w:rFonts w:ascii="Garamond" w:eastAsiaTheme="minorHAnsi" w:hAnsi="Garamond"/>
          <w:i/>
          <w:lang w:eastAsia="en-US"/>
        </w:rPr>
        <w:t>(Ndryshuar pika 1.1 me udhëzimin nr. 13, datë 17.3.2025)</w:t>
      </w:r>
    </w:p>
    <w:p w14:paraId="498EAE69" w14:textId="77777777" w:rsidR="007C0914" w:rsidRPr="00F5176E" w:rsidRDefault="007C0914" w:rsidP="00F5176E">
      <w:pPr>
        <w:tabs>
          <w:tab w:val="left" w:pos="4740"/>
        </w:tabs>
        <w:ind w:firstLine="284"/>
        <w:jc w:val="center"/>
        <w:rPr>
          <w:rFonts w:ascii="Garamond" w:eastAsiaTheme="minorHAnsi" w:hAnsi="Garamond"/>
          <w:b/>
          <w:lang w:eastAsia="en-US"/>
        </w:rPr>
      </w:pPr>
    </w:p>
    <w:p w14:paraId="01E32C51" w14:textId="36F0620D" w:rsidR="006E0EC6" w:rsidRPr="00F5176E" w:rsidRDefault="006E0EC6" w:rsidP="00DE2215">
      <w:pPr>
        <w:tabs>
          <w:tab w:val="left" w:pos="4740"/>
        </w:tabs>
        <w:ind w:firstLine="284"/>
        <w:jc w:val="both"/>
        <w:rPr>
          <w:rFonts w:ascii="Garamond" w:eastAsiaTheme="minorHAnsi" w:hAnsi="Garamond"/>
          <w:b/>
          <w:lang w:eastAsia="en-US"/>
        </w:rPr>
      </w:pPr>
      <w:r w:rsidRPr="00F5176E">
        <w:rPr>
          <w:rFonts w:ascii="Garamond" w:eastAsiaTheme="minorHAnsi" w:hAnsi="Garamond"/>
          <w:b/>
          <w:lang w:eastAsia="en-US"/>
        </w:rPr>
        <w:t>1. Kushtet për revokimin e masave</w:t>
      </w:r>
    </w:p>
    <w:p w14:paraId="78C2A014" w14:textId="77777777" w:rsidR="007C0914" w:rsidRPr="007C0914" w:rsidRDefault="009938F2" w:rsidP="007C0914">
      <w:pPr>
        <w:autoSpaceDE w:val="0"/>
        <w:autoSpaceDN w:val="0"/>
        <w:adjustRightInd w:val="0"/>
        <w:ind w:firstLine="284"/>
        <w:jc w:val="both"/>
        <w:rPr>
          <w:rFonts w:ascii="Garamond" w:eastAsiaTheme="minorHAnsi" w:hAnsi="Garamond"/>
          <w:i/>
          <w:lang w:eastAsia="en-US"/>
        </w:rPr>
      </w:pPr>
      <w:r w:rsidRPr="00F5176E">
        <w:rPr>
          <w:rFonts w:ascii="Garamond" w:eastAsiaTheme="minorHAnsi" w:hAnsi="Garamond"/>
          <w:lang w:eastAsia="en-US"/>
        </w:rPr>
        <w:t xml:space="preserve">1.1 </w:t>
      </w:r>
      <w:r w:rsidR="007C0914" w:rsidRPr="007C0914">
        <w:rPr>
          <w:rFonts w:ascii="Garamond" w:eastAsiaTheme="minorHAnsi" w:hAnsi="Garamond"/>
          <w:i/>
          <w:lang w:eastAsia="en-US"/>
        </w:rPr>
        <w:t>Pas një minimumi prej 50 vitesh nga zbulimi i fundit i dëmtuesit të specifikuar, nëse ka një të dhënë pa shkëputje të kulturave në zonën e infektuar, që tregon se dispozitat e pikave 2 dhe 3, të nenit 6, janë respektuar gjatë të gjithë kohës dhe se zona e infektuar nuk është përdorur si kullotë e përhershme.</w:t>
      </w:r>
    </w:p>
    <w:p w14:paraId="0327C498" w14:textId="320B4115" w:rsidR="006E0EC6" w:rsidRPr="007C0914" w:rsidRDefault="007C0914" w:rsidP="007C0914">
      <w:pPr>
        <w:tabs>
          <w:tab w:val="left" w:pos="4740"/>
        </w:tabs>
        <w:ind w:firstLine="284"/>
        <w:jc w:val="both"/>
        <w:rPr>
          <w:rFonts w:ascii="Garamond" w:eastAsiaTheme="minorHAnsi" w:hAnsi="Garamond"/>
          <w:i/>
          <w:lang w:eastAsia="en-US"/>
        </w:rPr>
      </w:pPr>
      <w:r w:rsidRPr="007C0914">
        <w:rPr>
          <w:rFonts w:ascii="Garamond" w:eastAsiaTheme="minorHAnsi" w:hAnsi="Garamond"/>
          <w:i/>
          <w:lang w:eastAsia="en-US"/>
        </w:rPr>
        <w:t>Kur zona e infektuar është përdorur si kullotë e përhershme, masat mund të revokohen vetëm kur nuk janë zbuluar shenja infektimi nga dëmtuesi i specifikuar në mostrat e tokës, të cilat janë marrë duke aplikuar skemën që do të përdoret për të marrë dheun për testimin e përcaktuar në pikën 1.2 të këtij aneksi; ose</w:t>
      </w:r>
    </w:p>
    <w:p w14:paraId="27ADB24C" w14:textId="356AB4BB"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lastRenderedPageBreak/>
        <w:t xml:space="preserve">1.2 Pas një minimumi prej 20 vjetësh, që nga zbulimi i fundit i dëmtuesit të specifikuar, nëse ka një të dhënë pa boshllëqe të kulturave që tregojnë se dispozitat e </w:t>
      </w:r>
      <w:r w:rsidR="00AA6BA7" w:rsidRPr="00F5176E">
        <w:rPr>
          <w:rFonts w:ascii="Garamond" w:eastAsiaTheme="minorHAnsi" w:hAnsi="Garamond"/>
          <w:lang w:eastAsia="en-US"/>
        </w:rPr>
        <w:t>pikës 2 dhe 3 të nenit 6,</w:t>
      </w:r>
      <w:r w:rsidR="006D067B">
        <w:rPr>
          <w:rFonts w:ascii="Garamond" w:eastAsiaTheme="minorHAnsi" w:hAnsi="Garamond"/>
          <w:lang w:eastAsia="en-US"/>
        </w:rPr>
        <w:t xml:space="preserve"> </w:t>
      </w:r>
      <w:r w:rsidR="00AA6BA7" w:rsidRPr="00F5176E">
        <w:rPr>
          <w:rFonts w:ascii="Garamond" w:eastAsiaTheme="minorHAnsi" w:hAnsi="Garamond"/>
          <w:lang w:eastAsia="en-US"/>
        </w:rPr>
        <w:t xml:space="preserve">janë </w:t>
      </w:r>
      <w:r w:rsidRPr="00F5176E">
        <w:rPr>
          <w:rFonts w:ascii="Garamond" w:eastAsiaTheme="minorHAnsi" w:hAnsi="Garamond"/>
          <w:lang w:eastAsia="en-US"/>
        </w:rPr>
        <w:t xml:space="preserve">respektuar gjatë gjithë kohës dhe se zona </w:t>
      </w:r>
      <w:r w:rsidR="00D759CC" w:rsidRPr="00F5176E">
        <w:rPr>
          <w:rFonts w:ascii="Garamond" w:eastAsiaTheme="minorHAnsi" w:hAnsi="Garamond"/>
          <w:lang w:eastAsia="en-US"/>
        </w:rPr>
        <w:t xml:space="preserve">e infektuar </w:t>
      </w:r>
      <w:r w:rsidR="00AA6BA7" w:rsidRPr="00F5176E">
        <w:rPr>
          <w:rFonts w:ascii="Garamond" w:eastAsiaTheme="minorHAnsi" w:hAnsi="Garamond"/>
          <w:lang w:eastAsia="en-US"/>
        </w:rPr>
        <w:t xml:space="preserve">nuk është përdorur si kullotë e </w:t>
      </w:r>
      <w:r w:rsidRPr="00F5176E">
        <w:rPr>
          <w:rFonts w:ascii="Garamond" w:eastAsiaTheme="minorHAnsi" w:hAnsi="Garamond"/>
          <w:lang w:eastAsia="en-US"/>
        </w:rPr>
        <w:t>përhershme; dhe</w:t>
      </w:r>
    </w:p>
    <w:p w14:paraId="4D9DC520" w14:textId="066C8C2D"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asnjë shenjë e infeksionit me dëmtuesin e specifikuar nuk është zbuluar në dy </w:t>
      </w:r>
      <w:r w:rsidR="00AA6BA7" w:rsidRPr="00F5176E">
        <w:rPr>
          <w:rFonts w:ascii="Garamond" w:eastAsiaTheme="minorHAnsi" w:hAnsi="Garamond"/>
          <w:lang w:eastAsia="en-US"/>
        </w:rPr>
        <w:t xml:space="preserve">analiza biologjike (siç përshkruhet në pikën </w:t>
      </w:r>
      <w:r w:rsidRPr="00F5176E">
        <w:rPr>
          <w:rFonts w:ascii="Garamond" w:eastAsiaTheme="minorHAnsi" w:hAnsi="Garamond"/>
          <w:lang w:eastAsia="en-US"/>
        </w:rPr>
        <w:t>3) me kultivarë të ndjeshëm të patates; ose</w:t>
      </w:r>
    </w:p>
    <w:p w14:paraId="779DCAA5" w14:textId="5CE796FC"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asnjë shenjë e infeksionit me dëmtuesin e specifikuar nuk është zbuluar në 1 </w:t>
      </w:r>
      <w:r w:rsidR="00AA6BA7" w:rsidRPr="00F5176E">
        <w:rPr>
          <w:rFonts w:ascii="Garamond" w:eastAsiaTheme="minorHAnsi" w:hAnsi="Garamond"/>
          <w:lang w:eastAsia="en-US"/>
        </w:rPr>
        <w:t>analizë biologjike</w:t>
      </w:r>
      <w:r w:rsidRPr="00F5176E">
        <w:rPr>
          <w:rFonts w:ascii="Garamond" w:eastAsiaTheme="minorHAnsi" w:hAnsi="Garamond"/>
          <w:lang w:eastAsia="en-US"/>
        </w:rPr>
        <w:t xml:space="preserve"> </w:t>
      </w:r>
      <w:r w:rsidR="00AA6BA7" w:rsidRPr="00F5176E">
        <w:rPr>
          <w:rFonts w:ascii="Garamond" w:eastAsiaTheme="minorHAnsi" w:hAnsi="Garamond"/>
          <w:lang w:eastAsia="en-US"/>
        </w:rPr>
        <w:t xml:space="preserve">(siç përshkruhet në pikën </w:t>
      </w:r>
      <w:r w:rsidRPr="00F5176E">
        <w:rPr>
          <w:rFonts w:ascii="Garamond" w:eastAsiaTheme="minorHAnsi" w:hAnsi="Garamond"/>
          <w:lang w:eastAsia="en-US"/>
        </w:rPr>
        <w:t>3) me kultivarë të ndjeshëm të patates dhe nuk janë gjetur spore të qëndrueshme pushimi gjatë një ekzaminimi të drejtpërdrejtë të tokës nga zona e infektu</w:t>
      </w:r>
      <w:r w:rsidR="00AA6BA7" w:rsidRPr="00F5176E">
        <w:rPr>
          <w:rFonts w:ascii="Garamond" w:eastAsiaTheme="minorHAnsi" w:hAnsi="Garamond"/>
          <w:lang w:eastAsia="en-US"/>
        </w:rPr>
        <w:t>ar me mikroskop pas një nxjerrje të</w:t>
      </w:r>
      <w:r w:rsidRPr="00F5176E">
        <w:rPr>
          <w:rFonts w:ascii="Garamond" w:eastAsiaTheme="minorHAnsi" w:hAnsi="Garamond"/>
          <w:lang w:eastAsia="en-US"/>
        </w:rPr>
        <w:t xml:space="preserve"> sporeve me nj</w:t>
      </w:r>
      <w:r w:rsidR="00050489" w:rsidRPr="00F5176E">
        <w:rPr>
          <w:rFonts w:ascii="Garamond" w:eastAsiaTheme="minorHAnsi" w:hAnsi="Garamond"/>
          <w:lang w:eastAsia="en-US"/>
        </w:rPr>
        <w:t xml:space="preserve">ë nga metodat e parashikuara në </w:t>
      </w:r>
      <w:r w:rsidRPr="00F5176E">
        <w:rPr>
          <w:rFonts w:ascii="Garamond" w:eastAsiaTheme="minorHAnsi" w:hAnsi="Garamond"/>
          <w:lang w:eastAsia="en-US"/>
        </w:rPr>
        <w:t>pik</w:t>
      </w:r>
      <w:r w:rsidR="00AA6BA7" w:rsidRPr="00F5176E">
        <w:rPr>
          <w:rFonts w:ascii="Garamond" w:eastAsiaTheme="minorHAnsi" w:hAnsi="Garamond"/>
          <w:lang w:eastAsia="en-US"/>
        </w:rPr>
        <w:t>ën</w:t>
      </w:r>
      <w:r w:rsidRPr="00F5176E">
        <w:rPr>
          <w:rFonts w:ascii="Garamond" w:eastAsiaTheme="minorHAnsi" w:hAnsi="Garamond"/>
          <w:lang w:eastAsia="en-US"/>
        </w:rPr>
        <w:t xml:space="preserve"> 2 e aneksit I.</w:t>
      </w:r>
    </w:p>
    <w:p w14:paraId="7B74231C" w14:textId="143F698A"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Skema që do të përdoret për marrjen e </w:t>
      </w:r>
      <w:r w:rsidR="00AA6BA7" w:rsidRPr="00F5176E">
        <w:rPr>
          <w:rFonts w:ascii="Garamond" w:eastAsiaTheme="minorHAnsi" w:hAnsi="Garamond"/>
          <w:lang w:eastAsia="en-US"/>
        </w:rPr>
        <w:t>dheut</w:t>
      </w:r>
      <w:r w:rsidRPr="00F5176E">
        <w:rPr>
          <w:rFonts w:ascii="Garamond" w:eastAsiaTheme="minorHAnsi" w:hAnsi="Garamond"/>
          <w:lang w:eastAsia="en-US"/>
        </w:rPr>
        <w:t xml:space="preserve"> për testim duhet të përfshijë të gjithë hapat e mëposhtëm:</w:t>
      </w:r>
    </w:p>
    <w:p w14:paraId="3173DD16" w14:textId="298BC75D"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zona e infektuar ndahet në njësi prej 0,33 ha secila;</w:t>
      </w:r>
    </w:p>
    <w:p w14:paraId="44F56ED5" w14:textId="0C813694"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60 </w:t>
      </w:r>
      <w:r w:rsidR="00AA6BA7" w:rsidRPr="00F5176E">
        <w:rPr>
          <w:rFonts w:ascii="Garamond" w:eastAsiaTheme="minorHAnsi" w:hAnsi="Garamond"/>
          <w:lang w:eastAsia="en-US"/>
        </w:rPr>
        <w:t>nën mostra</w:t>
      </w:r>
      <w:r w:rsidR="006E0EC6" w:rsidRPr="00F5176E">
        <w:rPr>
          <w:rFonts w:ascii="Garamond" w:eastAsiaTheme="minorHAnsi" w:hAnsi="Garamond"/>
          <w:lang w:eastAsia="en-US"/>
        </w:rPr>
        <w:t xml:space="preserve"> do të merren nga secila njësi në një thellësi prej 20 cm dhe do të shpërndahen në mënyrë të barabartë në të gjithë zonën ose do të grumbullohen sipas vatrave të njohura të infektuara;</w:t>
      </w:r>
    </w:p>
    <w:p w14:paraId="16A9B30E" w14:textId="73805147"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w:t>
      </w:r>
      <w:r w:rsidR="00AA6BA7" w:rsidRPr="00F5176E">
        <w:rPr>
          <w:rFonts w:ascii="Garamond" w:eastAsiaTheme="minorHAnsi" w:hAnsi="Garamond"/>
          <w:lang w:eastAsia="en-US"/>
        </w:rPr>
        <w:t>Nen mostrat</w:t>
      </w:r>
      <w:r w:rsidR="006E0EC6" w:rsidRPr="00F5176E">
        <w:rPr>
          <w:rFonts w:ascii="Garamond" w:eastAsiaTheme="minorHAnsi" w:hAnsi="Garamond"/>
          <w:lang w:eastAsia="en-US"/>
        </w:rPr>
        <w:t xml:space="preserve"> duhet të përzihen tërësisht, në mënyrë që të përftohen 3 mostra për ha.</w:t>
      </w:r>
    </w:p>
    <w:p w14:paraId="0746D31E" w14:textId="55259499" w:rsidR="006E0EC6" w:rsidRPr="00F5176E" w:rsidRDefault="006E0EC6" w:rsidP="00DE2215">
      <w:pPr>
        <w:tabs>
          <w:tab w:val="left" w:pos="4740"/>
        </w:tabs>
        <w:ind w:firstLine="284"/>
        <w:jc w:val="both"/>
        <w:rPr>
          <w:rFonts w:ascii="Garamond" w:eastAsiaTheme="minorHAnsi" w:hAnsi="Garamond"/>
          <w:b/>
          <w:lang w:eastAsia="en-US"/>
        </w:rPr>
      </w:pPr>
      <w:r w:rsidRPr="00F5176E">
        <w:rPr>
          <w:rFonts w:ascii="Garamond" w:eastAsiaTheme="minorHAnsi" w:hAnsi="Garamond"/>
          <w:b/>
          <w:lang w:eastAsia="en-US"/>
        </w:rPr>
        <w:t>2. Revokimi i pjesshëm i masave</w:t>
      </w:r>
    </w:p>
    <w:p w14:paraId="75BBB418" w14:textId="083FE186" w:rsidR="00050489" w:rsidRPr="00F5176E" w:rsidRDefault="0022092D"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Pas një minimumi 10 vitesh nga zbulimi i fundit i dëmtuesit të specifikuar në zonat e zonës së infektuar, mund të konsiderohet revokimi i pjesshëm i masave të parashikuara në nenin 6 për këto zona, ku ka një të dhënë pa boshllëqe të kulturave që tregojnë se dispozitat e pikës 2 dhe 3 të nenit 6, janë respektuar gjatë gjithë kohës dhe se zona e infektuar nuk është përdorur si kullotë e përhershme, dhe:</w:t>
      </w:r>
    </w:p>
    <w:p w14:paraId="5BBDFC32" w14:textId="43EF9B5C"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a) asnjë shenjë infektimi me dëmtuesin e specifikuar nuk zbulohet në dy analiza biologjike, siç përsh</w:t>
      </w:r>
      <w:r w:rsidR="0022092D" w:rsidRPr="00F5176E">
        <w:rPr>
          <w:rFonts w:ascii="Garamond" w:eastAsiaTheme="minorHAnsi" w:hAnsi="Garamond"/>
          <w:lang w:eastAsia="en-US"/>
        </w:rPr>
        <w:t>kruhet në pikën 3, me kultivarë patate të ndjeshme</w:t>
      </w:r>
      <w:r w:rsidRPr="00F5176E">
        <w:rPr>
          <w:rFonts w:ascii="Garamond" w:eastAsiaTheme="minorHAnsi" w:hAnsi="Garamond"/>
          <w:lang w:eastAsia="en-US"/>
        </w:rPr>
        <w:t>; ose</w:t>
      </w:r>
    </w:p>
    <w:p w14:paraId="46C5FFE1" w14:textId="5A27E49F"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b) asnjë shenjë e infeksionit me dëmtuesin e specifikuar nuk është zbuluar në një </w:t>
      </w:r>
      <w:r w:rsidR="0022092D" w:rsidRPr="00F5176E">
        <w:rPr>
          <w:rFonts w:ascii="Garamond" w:eastAsiaTheme="minorHAnsi" w:hAnsi="Garamond"/>
          <w:lang w:eastAsia="en-US"/>
        </w:rPr>
        <w:t>analizë biologjike</w:t>
      </w:r>
      <w:r w:rsidRPr="00F5176E">
        <w:rPr>
          <w:rFonts w:ascii="Garamond" w:eastAsiaTheme="minorHAnsi" w:hAnsi="Garamond"/>
          <w:lang w:eastAsia="en-US"/>
        </w:rPr>
        <w:t>, siç përshkruhet në pikën 3, me kultivarë të ndjeshëm të patates dhe më</w:t>
      </w:r>
      <w:r w:rsidR="0022092D" w:rsidRPr="00F5176E">
        <w:rPr>
          <w:rFonts w:ascii="Garamond" w:eastAsiaTheme="minorHAnsi" w:hAnsi="Garamond"/>
          <w:lang w:eastAsia="en-US"/>
        </w:rPr>
        <w:t xml:space="preserve"> pak se 5 spore dimëruese të qëndrueshme për gram dheu</w:t>
      </w:r>
      <w:r w:rsidRPr="00F5176E">
        <w:rPr>
          <w:rFonts w:ascii="Garamond" w:eastAsiaTheme="minorHAnsi" w:hAnsi="Garamond"/>
          <w:lang w:eastAsia="en-US"/>
        </w:rPr>
        <w:t xml:space="preserve"> janë gjetur gjatë një ekzaminimi të drejtpërdrejtë të </w:t>
      </w:r>
      <w:r w:rsidR="0022092D" w:rsidRPr="00F5176E">
        <w:rPr>
          <w:rFonts w:ascii="Garamond" w:eastAsiaTheme="minorHAnsi" w:hAnsi="Garamond"/>
          <w:lang w:eastAsia="en-US"/>
        </w:rPr>
        <w:t>dheut</w:t>
      </w:r>
      <w:r w:rsidRPr="00F5176E">
        <w:rPr>
          <w:rFonts w:ascii="Garamond" w:eastAsiaTheme="minorHAnsi" w:hAnsi="Garamond"/>
          <w:lang w:eastAsia="en-US"/>
        </w:rPr>
        <w:t xml:space="preserve"> nga zona e infektuar me mikroskop pas </w:t>
      </w:r>
      <w:r w:rsidR="00050489" w:rsidRPr="00F5176E">
        <w:rPr>
          <w:rFonts w:ascii="Garamond" w:eastAsiaTheme="minorHAnsi" w:hAnsi="Garamond"/>
          <w:lang w:eastAsia="en-US"/>
        </w:rPr>
        <w:t xml:space="preserve">nxjerrjes së sporeve me një nga </w:t>
      </w:r>
      <w:r w:rsidRPr="00F5176E">
        <w:rPr>
          <w:rFonts w:ascii="Garamond" w:eastAsiaTheme="minorHAnsi" w:hAnsi="Garamond"/>
          <w:lang w:eastAsia="en-US"/>
        </w:rPr>
        <w:t>metodat e parashikuara në pikën 2 të aneksit I.</w:t>
      </w:r>
    </w:p>
    <w:p w14:paraId="34F63062" w14:textId="2634A5D7"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Skema që do të përdoret për marrjen e </w:t>
      </w:r>
      <w:r w:rsidR="0022092D" w:rsidRPr="00F5176E">
        <w:rPr>
          <w:rFonts w:ascii="Garamond" w:eastAsiaTheme="minorHAnsi" w:hAnsi="Garamond"/>
          <w:lang w:eastAsia="en-US"/>
        </w:rPr>
        <w:t>dheut</w:t>
      </w:r>
      <w:r w:rsidRPr="00F5176E">
        <w:rPr>
          <w:rFonts w:ascii="Garamond" w:eastAsiaTheme="minorHAnsi" w:hAnsi="Garamond"/>
          <w:lang w:eastAsia="en-US"/>
        </w:rPr>
        <w:t xml:space="preserve"> për testim duhet të përfshijë të gjithë hapat e mëposhtëm:</w:t>
      </w:r>
    </w:p>
    <w:p w14:paraId="63AAEAAE" w14:textId="33553E5B"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 </w:t>
      </w:r>
      <w:r w:rsidR="006E0EC6" w:rsidRPr="00F5176E">
        <w:rPr>
          <w:rFonts w:ascii="Garamond" w:eastAsiaTheme="minorHAnsi" w:hAnsi="Garamond"/>
          <w:lang w:eastAsia="en-US"/>
        </w:rPr>
        <w:t>zona e infektuar ndahet në njësi prej 0,33 ha secila;</w:t>
      </w:r>
    </w:p>
    <w:p w14:paraId="455A5723" w14:textId="4F4ACF99"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D067B">
        <w:rPr>
          <w:rFonts w:ascii="Garamond" w:eastAsiaTheme="minorHAnsi" w:hAnsi="Garamond"/>
          <w:lang w:eastAsia="en-US"/>
        </w:rPr>
        <w:t xml:space="preserve"> </w:t>
      </w:r>
      <w:r w:rsidR="006E0EC6" w:rsidRPr="00F5176E">
        <w:rPr>
          <w:rFonts w:ascii="Garamond" w:eastAsiaTheme="minorHAnsi" w:hAnsi="Garamond"/>
          <w:lang w:eastAsia="en-US"/>
        </w:rPr>
        <w:t>60 nën</w:t>
      </w:r>
      <w:r w:rsidR="00A2445A" w:rsidRPr="00F5176E">
        <w:rPr>
          <w:rFonts w:ascii="Garamond" w:eastAsiaTheme="minorHAnsi" w:hAnsi="Garamond"/>
          <w:lang w:eastAsia="en-US"/>
        </w:rPr>
        <w:t xml:space="preserve"> </w:t>
      </w:r>
      <w:r w:rsidR="006E0EC6" w:rsidRPr="00F5176E">
        <w:rPr>
          <w:rFonts w:ascii="Garamond" w:eastAsiaTheme="minorHAnsi" w:hAnsi="Garamond"/>
          <w:lang w:eastAsia="en-US"/>
        </w:rPr>
        <w:t>mostra merren nga çdo njësi në një thellësi prej 20 cm dhe shpërndahen në mënyrë të b</w:t>
      </w:r>
      <w:r w:rsidRPr="00F5176E">
        <w:rPr>
          <w:rFonts w:ascii="Garamond" w:eastAsiaTheme="minorHAnsi" w:hAnsi="Garamond"/>
          <w:lang w:eastAsia="en-US"/>
        </w:rPr>
        <w:t xml:space="preserve">arabartë në të gjithë zonën ose </w:t>
      </w:r>
      <w:r w:rsidR="006E0EC6" w:rsidRPr="00F5176E">
        <w:rPr>
          <w:rFonts w:ascii="Garamond" w:eastAsiaTheme="minorHAnsi" w:hAnsi="Garamond"/>
          <w:lang w:eastAsia="en-US"/>
        </w:rPr>
        <w:t>të grumbulluara sipas vatrave të njohura të infektuara;</w:t>
      </w:r>
    </w:p>
    <w:p w14:paraId="35CDAADD" w14:textId="02FAE5A6" w:rsidR="006E0EC6"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w:t>
      </w:r>
      <w:r w:rsidR="006E0EC6" w:rsidRPr="00F5176E">
        <w:rPr>
          <w:rFonts w:ascii="Garamond" w:eastAsiaTheme="minorHAnsi" w:hAnsi="Garamond"/>
          <w:lang w:eastAsia="en-US"/>
        </w:rPr>
        <w:t xml:space="preserve"> Nën</w:t>
      </w:r>
      <w:r w:rsidR="00A2445A" w:rsidRPr="00F5176E">
        <w:rPr>
          <w:rFonts w:ascii="Garamond" w:eastAsiaTheme="minorHAnsi" w:hAnsi="Garamond"/>
          <w:lang w:eastAsia="en-US"/>
        </w:rPr>
        <w:t xml:space="preserve"> </w:t>
      </w:r>
      <w:r w:rsidR="006E0EC6" w:rsidRPr="00F5176E">
        <w:rPr>
          <w:rFonts w:ascii="Garamond" w:eastAsiaTheme="minorHAnsi" w:hAnsi="Garamond"/>
          <w:lang w:eastAsia="en-US"/>
        </w:rPr>
        <w:t>mostrat duhet të përzihen tërësisht, në mënyrë që të përftohen 3 mostra për ha.</w:t>
      </w:r>
    </w:p>
    <w:p w14:paraId="273A0F87" w14:textId="7E2B6A55" w:rsidR="006E0EC6" w:rsidRPr="00F5176E" w:rsidRDefault="006E0EC6"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Kur këto kushte nuk plotësohen, revokimi i pjesshëm i masave mund të konsiderohet sërish pas një periudhe pritjeje prej të paktën 2 vjetësh. Në përcaktimin e kohëzgjatjes së </w:t>
      </w:r>
      <w:r w:rsidR="00D759CC" w:rsidRPr="00F5176E">
        <w:rPr>
          <w:rFonts w:ascii="Garamond" w:eastAsiaTheme="minorHAnsi" w:hAnsi="Garamond"/>
          <w:lang w:eastAsia="en-US"/>
        </w:rPr>
        <w:t>periudhës së</w:t>
      </w:r>
      <w:r w:rsidRPr="00F5176E">
        <w:rPr>
          <w:rFonts w:ascii="Garamond" w:eastAsiaTheme="minorHAnsi" w:hAnsi="Garamond"/>
          <w:lang w:eastAsia="en-US"/>
        </w:rPr>
        <w:t xml:space="preserve"> pritje</w:t>
      </w:r>
      <w:r w:rsidR="00D759CC" w:rsidRPr="00F5176E">
        <w:rPr>
          <w:rFonts w:ascii="Garamond" w:eastAsiaTheme="minorHAnsi" w:hAnsi="Garamond"/>
          <w:lang w:eastAsia="en-US"/>
        </w:rPr>
        <w:t>s</w:t>
      </w:r>
      <w:r w:rsidRPr="00F5176E">
        <w:rPr>
          <w:rFonts w:ascii="Garamond" w:eastAsiaTheme="minorHAnsi" w:hAnsi="Garamond"/>
          <w:lang w:eastAsia="en-US"/>
        </w:rPr>
        <w:t xml:space="preserve">, </w:t>
      </w:r>
      <w:r w:rsidR="00A2445A" w:rsidRPr="00F5176E">
        <w:rPr>
          <w:rFonts w:ascii="Garamond" w:eastAsiaTheme="minorHAnsi" w:hAnsi="Garamond"/>
          <w:lang w:eastAsia="en-US"/>
        </w:rPr>
        <w:t>AKVMB</w:t>
      </w:r>
      <w:r w:rsidR="00202205">
        <w:rPr>
          <w:rFonts w:ascii="Garamond" w:eastAsiaTheme="minorHAnsi" w:hAnsi="Garamond"/>
          <w:lang w:eastAsia="en-US"/>
        </w:rPr>
        <w:t>-ja</w:t>
      </w:r>
      <w:r w:rsidR="00D759CC" w:rsidRPr="00F5176E">
        <w:rPr>
          <w:rFonts w:ascii="Garamond" w:eastAsiaTheme="minorHAnsi" w:hAnsi="Garamond"/>
          <w:lang w:eastAsia="en-US"/>
        </w:rPr>
        <w:t xml:space="preserve"> do të marrë</w:t>
      </w:r>
      <w:r w:rsidRPr="00F5176E">
        <w:rPr>
          <w:rFonts w:ascii="Garamond" w:eastAsiaTheme="minorHAnsi" w:hAnsi="Garamond"/>
          <w:lang w:eastAsia="en-US"/>
        </w:rPr>
        <w:t xml:space="preserve"> parasysh nivelin e infeksionit dhe/ose numrin e sporeve të qëndrueshme të zbuluara.</w:t>
      </w:r>
    </w:p>
    <w:p w14:paraId="3D52265A" w14:textId="69162119" w:rsidR="00050489" w:rsidRPr="00F5176E" w:rsidRDefault="00050489" w:rsidP="00DE2215">
      <w:pPr>
        <w:tabs>
          <w:tab w:val="left" w:pos="4740"/>
        </w:tabs>
        <w:ind w:firstLine="284"/>
        <w:jc w:val="both"/>
        <w:rPr>
          <w:rFonts w:ascii="Garamond" w:eastAsiaTheme="minorHAnsi" w:hAnsi="Garamond"/>
          <w:b/>
          <w:lang w:eastAsia="en-US"/>
        </w:rPr>
      </w:pPr>
      <w:r w:rsidRPr="00F5176E">
        <w:rPr>
          <w:rFonts w:ascii="Garamond" w:eastAsiaTheme="minorHAnsi" w:hAnsi="Garamond"/>
          <w:b/>
          <w:lang w:eastAsia="en-US"/>
        </w:rPr>
        <w:t xml:space="preserve">3. </w:t>
      </w:r>
      <w:r w:rsidR="00A2445A" w:rsidRPr="00F5176E">
        <w:rPr>
          <w:rFonts w:ascii="Garamond" w:eastAsiaTheme="minorHAnsi" w:hAnsi="Garamond"/>
          <w:b/>
          <w:lang w:eastAsia="en-US"/>
        </w:rPr>
        <w:t>Analizat biologjike</w:t>
      </w:r>
      <w:r w:rsidRPr="00F5176E">
        <w:rPr>
          <w:rFonts w:ascii="Garamond" w:eastAsiaTheme="minorHAnsi" w:hAnsi="Garamond"/>
          <w:b/>
          <w:lang w:eastAsia="en-US"/>
        </w:rPr>
        <w:t xml:space="preserve"> për efekt të revokimit të masave</w:t>
      </w:r>
    </w:p>
    <w:p w14:paraId="139630FA" w14:textId="629B4B71"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Disa zhardhokë të bimëve të specifikuara inkubohen në vazo së bashku me të paktën 5 l </w:t>
      </w:r>
      <w:r w:rsidR="00AC4BEE" w:rsidRPr="00F5176E">
        <w:rPr>
          <w:rFonts w:ascii="Garamond" w:eastAsiaTheme="minorHAnsi" w:hAnsi="Garamond"/>
          <w:i/>
          <w:lang w:eastAsia="en-US"/>
        </w:rPr>
        <w:t>dhe</w:t>
      </w:r>
      <w:r w:rsidR="00AC4BEE" w:rsidRPr="00F5176E">
        <w:rPr>
          <w:rFonts w:ascii="Garamond" w:eastAsiaTheme="minorHAnsi" w:hAnsi="Garamond"/>
          <w:lang w:eastAsia="en-US"/>
        </w:rPr>
        <w:t>,</w:t>
      </w:r>
      <w:r w:rsidRPr="00F5176E">
        <w:rPr>
          <w:rFonts w:ascii="Garamond" w:eastAsiaTheme="minorHAnsi" w:hAnsi="Garamond"/>
          <w:lang w:eastAsia="en-US"/>
        </w:rPr>
        <w:t xml:space="preserve"> në kushte të temperaturës, lagështisë dhe dritës, të cilat janë të favorshme për rritjen e patates. </w:t>
      </w:r>
      <w:r w:rsidR="00D759CC" w:rsidRPr="00F5176E">
        <w:rPr>
          <w:rFonts w:ascii="Garamond" w:eastAsiaTheme="minorHAnsi" w:hAnsi="Garamond"/>
          <w:lang w:eastAsia="en-US"/>
        </w:rPr>
        <w:t>N</w:t>
      </w:r>
      <w:r w:rsidRPr="00F5176E">
        <w:rPr>
          <w:rFonts w:ascii="Garamond" w:eastAsiaTheme="minorHAnsi" w:hAnsi="Garamond"/>
          <w:lang w:eastAsia="en-US"/>
        </w:rPr>
        <w:t xml:space="preserve">ë </w:t>
      </w:r>
      <w:r w:rsidR="00D759CC" w:rsidRPr="00F5176E">
        <w:rPr>
          <w:rFonts w:ascii="Garamond" w:eastAsiaTheme="minorHAnsi" w:hAnsi="Garamond"/>
          <w:lang w:eastAsia="en-US"/>
        </w:rPr>
        <w:t xml:space="preserve">kate rast </w:t>
      </w:r>
      <w:r w:rsidRPr="00F5176E">
        <w:rPr>
          <w:rFonts w:ascii="Garamond" w:eastAsiaTheme="minorHAnsi" w:hAnsi="Garamond"/>
          <w:lang w:eastAsia="en-US"/>
        </w:rPr>
        <w:t>përdoret një kultivar i cili është shumë i ndjeshëm ndaj të gjitha patotipeve (si</w:t>
      </w:r>
      <w:r w:rsidR="00202205">
        <w:rPr>
          <w:rFonts w:ascii="Garamond" w:eastAsiaTheme="minorHAnsi" w:hAnsi="Garamond"/>
          <w:lang w:eastAsia="en-US"/>
        </w:rPr>
        <w:t>:</w:t>
      </w:r>
      <w:r w:rsidRPr="00F5176E">
        <w:rPr>
          <w:rFonts w:ascii="Garamond" w:eastAsiaTheme="minorHAnsi" w:hAnsi="Garamond"/>
          <w:lang w:eastAsia="en-US"/>
        </w:rPr>
        <w:t xml:space="preserve"> Deodara, Evora, Morene, Tomensa, Maritiema, Arran Chief).</w:t>
      </w:r>
    </w:p>
    <w:p w14:paraId="00900B4B" w14:textId="0E133802"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Bimët e patates në rritje duhet të arrijnë një lartësi prej rreth 60 cm. Pas rreth 100 ditësh, zhardhokët e sapo</w:t>
      </w:r>
      <w:r w:rsidR="00AC4BEE" w:rsidRPr="00F5176E">
        <w:rPr>
          <w:rFonts w:ascii="Garamond" w:eastAsiaTheme="minorHAnsi" w:hAnsi="Garamond"/>
          <w:lang w:eastAsia="en-US"/>
        </w:rPr>
        <w:t xml:space="preserve"> </w:t>
      </w:r>
      <w:r w:rsidRPr="00F5176E">
        <w:rPr>
          <w:rFonts w:ascii="Garamond" w:eastAsiaTheme="minorHAnsi" w:hAnsi="Garamond"/>
          <w:lang w:eastAsia="en-US"/>
        </w:rPr>
        <w:t xml:space="preserve">formuar ekzaminohen për </w:t>
      </w:r>
      <w:r w:rsidR="00B56A07" w:rsidRPr="00F5176E">
        <w:rPr>
          <w:rFonts w:ascii="Garamond" w:eastAsiaTheme="minorHAnsi" w:hAnsi="Garamond"/>
          <w:lang w:eastAsia="en-US"/>
        </w:rPr>
        <w:t>gunga</w:t>
      </w:r>
      <w:r w:rsidRPr="00F5176E">
        <w:rPr>
          <w:rFonts w:ascii="Garamond" w:eastAsiaTheme="minorHAnsi" w:hAnsi="Garamond"/>
          <w:lang w:eastAsia="en-US"/>
        </w:rPr>
        <w:t>.</w:t>
      </w:r>
    </w:p>
    <w:p w14:paraId="529DD1CE" w14:textId="3445775A"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t xml:space="preserve">Kontrollet negative të </w:t>
      </w:r>
      <w:r w:rsidR="00AC4BEE" w:rsidRPr="00F5176E">
        <w:rPr>
          <w:rFonts w:ascii="Garamond" w:eastAsiaTheme="minorHAnsi" w:hAnsi="Garamond"/>
          <w:lang w:eastAsia="en-US"/>
        </w:rPr>
        <w:t>dheut</w:t>
      </w:r>
      <w:r w:rsidRPr="00F5176E">
        <w:rPr>
          <w:rFonts w:ascii="Garamond" w:eastAsiaTheme="minorHAnsi" w:hAnsi="Garamond"/>
          <w:lang w:eastAsia="en-US"/>
        </w:rPr>
        <w:t xml:space="preserve"> pa dëmtuesit e specifikuar dhe kontrollet pozitive të </w:t>
      </w:r>
      <w:r w:rsidR="00AC4BEE" w:rsidRPr="00F5176E">
        <w:rPr>
          <w:rFonts w:ascii="Garamond" w:eastAsiaTheme="minorHAnsi" w:hAnsi="Garamond"/>
          <w:lang w:eastAsia="en-US"/>
        </w:rPr>
        <w:t>dheut t</w:t>
      </w:r>
      <w:r w:rsidRPr="00F5176E">
        <w:rPr>
          <w:rFonts w:ascii="Garamond" w:eastAsiaTheme="minorHAnsi" w:hAnsi="Garamond"/>
          <w:lang w:eastAsia="en-US"/>
        </w:rPr>
        <w:t xml:space="preserve">ë infektuar përfshihen gjithmonë në test. Testi konsiderohet i vlefshëm nëse </w:t>
      </w:r>
      <w:r w:rsidR="00B56A07" w:rsidRPr="00F5176E">
        <w:rPr>
          <w:rFonts w:ascii="Garamond" w:eastAsiaTheme="minorHAnsi" w:hAnsi="Garamond"/>
          <w:lang w:eastAsia="en-US"/>
        </w:rPr>
        <w:t>gungat</w:t>
      </w:r>
      <w:r w:rsidRPr="00F5176E">
        <w:rPr>
          <w:rFonts w:ascii="Garamond" w:eastAsiaTheme="minorHAnsi" w:hAnsi="Garamond"/>
          <w:lang w:eastAsia="en-US"/>
        </w:rPr>
        <w:t xml:space="preserve"> prodhohen në zhardhokët e kontrollit pozitiv dhe nuk krijohen </w:t>
      </w:r>
      <w:r w:rsidR="00B56A07" w:rsidRPr="00F5176E">
        <w:rPr>
          <w:rFonts w:ascii="Garamond" w:eastAsiaTheme="minorHAnsi" w:hAnsi="Garamond"/>
          <w:lang w:eastAsia="en-US"/>
        </w:rPr>
        <w:t>gunga</w:t>
      </w:r>
      <w:r w:rsidRPr="00F5176E">
        <w:rPr>
          <w:rFonts w:ascii="Garamond" w:eastAsiaTheme="minorHAnsi" w:hAnsi="Garamond"/>
          <w:lang w:eastAsia="en-US"/>
        </w:rPr>
        <w:t xml:space="preserve"> në zhardhokët e kontrollit negativ. Kushtet e temperaturës dhe lagështisë në serrë duhet të regjistrohen. </w:t>
      </w:r>
      <w:r w:rsidR="00B56A07" w:rsidRPr="00F5176E">
        <w:rPr>
          <w:rFonts w:ascii="Garamond" w:eastAsiaTheme="minorHAnsi" w:hAnsi="Garamond"/>
          <w:lang w:eastAsia="en-US"/>
        </w:rPr>
        <w:t xml:space="preserve">Gungat </w:t>
      </w:r>
      <w:r w:rsidRPr="00F5176E">
        <w:rPr>
          <w:rFonts w:ascii="Garamond" w:eastAsiaTheme="minorHAnsi" w:hAnsi="Garamond"/>
          <w:lang w:eastAsia="en-US"/>
        </w:rPr>
        <w:t xml:space="preserve">e prodhuara në mostrat e provës ekzaminohen </w:t>
      </w:r>
      <w:r w:rsidR="00D759CC" w:rsidRPr="00F5176E">
        <w:rPr>
          <w:rFonts w:ascii="Garamond" w:eastAsiaTheme="minorHAnsi" w:hAnsi="Garamond"/>
          <w:lang w:eastAsia="en-US"/>
        </w:rPr>
        <w:t>me mikroskop</w:t>
      </w:r>
      <w:r w:rsidRPr="00F5176E">
        <w:rPr>
          <w:rFonts w:ascii="Garamond" w:eastAsiaTheme="minorHAnsi" w:hAnsi="Garamond"/>
          <w:lang w:eastAsia="en-US"/>
        </w:rPr>
        <w:t xml:space="preserve"> </w:t>
      </w:r>
      <w:r w:rsidR="00AC4BEE" w:rsidRPr="00F5176E">
        <w:rPr>
          <w:rFonts w:ascii="Garamond" w:eastAsiaTheme="minorHAnsi" w:hAnsi="Garamond"/>
          <w:lang w:eastAsia="en-US"/>
        </w:rPr>
        <w:t>për praninë e sporangje</w:t>
      </w:r>
      <w:r w:rsidRPr="00F5176E">
        <w:rPr>
          <w:rFonts w:ascii="Garamond" w:eastAsiaTheme="minorHAnsi" w:hAnsi="Garamond"/>
          <w:lang w:eastAsia="en-US"/>
        </w:rPr>
        <w:t>ve verore dhe/ose spore</w:t>
      </w:r>
      <w:r w:rsidR="00D759CC" w:rsidRPr="00F5176E">
        <w:rPr>
          <w:rFonts w:ascii="Garamond" w:eastAsiaTheme="minorHAnsi" w:hAnsi="Garamond"/>
          <w:lang w:eastAsia="en-US"/>
        </w:rPr>
        <w:t>ve</w:t>
      </w:r>
      <w:r w:rsidR="00AC4BEE" w:rsidRPr="00F5176E">
        <w:rPr>
          <w:rFonts w:ascii="Garamond" w:eastAsiaTheme="minorHAnsi" w:hAnsi="Garamond"/>
          <w:lang w:eastAsia="en-US"/>
        </w:rPr>
        <w:t xml:space="preserve"> dimëruese</w:t>
      </w:r>
      <w:r w:rsidRPr="00F5176E">
        <w:rPr>
          <w:rFonts w:ascii="Garamond" w:eastAsiaTheme="minorHAnsi" w:hAnsi="Garamond"/>
          <w:lang w:eastAsia="en-US"/>
        </w:rPr>
        <w:t>.</w:t>
      </w:r>
    </w:p>
    <w:p w14:paraId="7843953D" w14:textId="0606E4D8" w:rsidR="00050489" w:rsidRPr="00F5176E" w:rsidRDefault="00050489" w:rsidP="00DE2215">
      <w:pPr>
        <w:tabs>
          <w:tab w:val="left" w:pos="4740"/>
        </w:tabs>
        <w:ind w:firstLine="284"/>
        <w:jc w:val="both"/>
        <w:rPr>
          <w:rFonts w:ascii="Garamond" w:eastAsiaTheme="minorHAnsi" w:hAnsi="Garamond"/>
          <w:lang w:eastAsia="en-US"/>
        </w:rPr>
      </w:pPr>
      <w:r w:rsidRPr="00F5176E">
        <w:rPr>
          <w:rFonts w:ascii="Garamond" w:eastAsiaTheme="minorHAnsi" w:hAnsi="Garamond"/>
          <w:lang w:eastAsia="en-US"/>
        </w:rPr>
        <w:lastRenderedPageBreak/>
        <w:t>I gjithë testi kryhet në kushte që parandalojnë çdo përhapje të mëtejshme të dëmtuesit të specifikuar.</w:t>
      </w:r>
    </w:p>
    <w:sectPr w:rsidR="00050489" w:rsidRPr="00F5176E" w:rsidSect="00172774">
      <w:pgSz w:w="12240" w:h="15840"/>
      <w:pgMar w:top="907" w:right="1440" w:bottom="108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0776A7" w14:textId="77777777" w:rsidR="00D62367" w:rsidRDefault="00D62367" w:rsidP="00DC41B2">
      <w:r>
        <w:separator/>
      </w:r>
    </w:p>
  </w:endnote>
  <w:endnote w:type="continuationSeparator" w:id="0">
    <w:p w14:paraId="5A2E6BAC" w14:textId="77777777" w:rsidR="00D62367" w:rsidRDefault="00D62367" w:rsidP="00DC41B2">
      <w:r>
        <w:continuationSeparator/>
      </w:r>
    </w:p>
  </w:endnote>
  <w:endnote w:type="continuationNotice" w:id="1">
    <w:p w14:paraId="1D29FB21" w14:textId="77777777" w:rsidR="00D62367" w:rsidRDefault="00D623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AC58FB" w14:textId="77777777" w:rsidR="00D62367" w:rsidRDefault="00D62367" w:rsidP="00DC41B2">
      <w:r>
        <w:separator/>
      </w:r>
    </w:p>
  </w:footnote>
  <w:footnote w:type="continuationSeparator" w:id="0">
    <w:p w14:paraId="6B4A346C" w14:textId="77777777" w:rsidR="00D62367" w:rsidRDefault="00D62367" w:rsidP="00DC41B2">
      <w:r>
        <w:continuationSeparator/>
      </w:r>
    </w:p>
  </w:footnote>
  <w:footnote w:type="continuationNotice" w:id="1">
    <w:p w14:paraId="185903E4" w14:textId="77777777" w:rsidR="00D62367" w:rsidRDefault="00D62367"/>
  </w:footnote>
  <w:footnote w:id="2">
    <w:p w14:paraId="52E4937C" w14:textId="7092A459" w:rsidR="006D067B" w:rsidRPr="00E20B49" w:rsidRDefault="006D067B" w:rsidP="00163E2D">
      <w:pPr>
        <w:pStyle w:val="FootnoteText"/>
        <w:jc w:val="both"/>
        <w:rPr>
          <w:rFonts w:ascii="Garamond" w:hAnsi="Garamond"/>
          <w:i/>
          <w:lang w:val="en-US"/>
        </w:rPr>
      </w:pPr>
      <w:r w:rsidRPr="00B915B8">
        <w:rPr>
          <w:rStyle w:val="FootnoteReference"/>
          <w:rFonts w:ascii="Garamond" w:hAnsi="Garamond"/>
        </w:rPr>
        <w:footnoteRef/>
      </w:r>
      <w:r w:rsidRPr="00B915B8">
        <w:rPr>
          <w:rFonts w:ascii="Garamond" w:hAnsi="Garamond"/>
        </w:rPr>
        <w:t xml:space="preserve"> </w:t>
      </w:r>
      <w:r w:rsidRPr="00E20B49">
        <w:rPr>
          <w:rFonts w:ascii="Garamond" w:hAnsi="Garamond"/>
          <w:bCs/>
          <w:i/>
        </w:rPr>
        <w:t xml:space="preserve">Ky udhëzim përafron plotësisht </w:t>
      </w:r>
      <w:r w:rsidR="0052664E" w:rsidRPr="00E20B49">
        <w:rPr>
          <w:rFonts w:ascii="Garamond" w:hAnsi="Garamond"/>
          <w:i/>
        </w:rPr>
        <w:t xml:space="preserve">rregulloren zbatuese </w:t>
      </w:r>
      <w:r w:rsidRPr="00E20B49">
        <w:rPr>
          <w:rFonts w:ascii="Garamond" w:hAnsi="Garamond"/>
          <w:i/>
        </w:rPr>
        <w:t>të Komisionit (BE) 2022/1195 e 11 korrikut 2022, “Për vendosjen e masave për çrrënjosjen dhe parandalimin e përhapjes së Synchytrium endobioticum (Schilbersky) Percival”.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D7DAE"/>
    <w:multiLevelType w:val="hybridMultilevel"/>
    <w:tmpl w:val="7D4676E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60A"/>
    <w:rsid w:val="000045E1"/>
    <w:rsid w:val="00007234"/>
    <w:rsid w:val="00016DF3"/>
    <w:rsid w:val="000216CB"/>
    <w:rsid w:val="00026213"/>
    <w:rsid w:val="0003517F"/>
    <w:rsid w:val="00035531"/>
    <w:rsid w:val="00040504"/>
    <w:rsid w:val="00041646"/>
    <w:rsid w:val="00047478"/>
    <w:rsid w:val="00050489"/>
    <w:rsid w:val="000523C3"/>
    <w:rsid w:val="00054535"/>
    <w:rsid w:val="00054706"/>
    <w:rsid w:val="00055713"/>
    <w:rsid w:val="0005706F"/>
    <w:rsid w:val="00057FBD"/>
    <w:rsid w:val="00061955"/>
    <w:rsid w:val="0006499A"/>
    <w:rsid w:val="0006670B"/>
    <w:rsid w:val="00067210"/>
    <w:rsid w:val="00070356"/>
    <w:rsid w:val="000776B5"/>
    <w:rsid w:val="00080ECB"/>
    <w:rsid w:val="00084B65"/>
    <w:rsid w:val="00084C8E"/>
    <w:rsid w:val="00085705"/>
    <w:rsid w:val="000869B2"/>
    <w:rsid w:val="00086AC7"/>
    <w:rsid w:val="000A6F04"/>
    <w:rsid w:val="000B005E"/>
    <w:rsid w:val="000B5C87"/>
    <w:rsid w:val="000C10EB"/>
    <w:rsid w:val="000C3966"/>
    <w:rsid w:val="000C4CF7"/>
    <w:rsid w:val="000C5300"/>
    <w:rsid w:val="000C6439"/>
    <w:rsid w:val="000C6BD0"/>
    <w:rsid w:val="000D38E2"/>
    <w:rsid w:val="000D50A9"/>
    <w:rsid w:val="000D60FA"/>
    <w:rsid w:val="000E17D0"/>
    <w:rsid w:val="000E5637"/>
    <w:rsid w:val="000E7571"/>
    <w:rsid w:val="000E77C1"/>
    <w:rsid w:val="000F12C4"/>
    <w:rsid w:val="000F283E"/>
    <w:rsid w:val="000F2CED"/>
    <w:rsid w:val="000F35D7"/>
    <w:rsid w:val="000F44B4"/>
    <w:rsid w:val="001046C5"/>
    <w:rsid w:val="00104A6C"/>
    <w:rsid w:val="00106B01"/>
    <w:rsid w:val="00116014"/>
    <w:rsid w:val="00120693"/>
    <w:rsid w:val="0012685A"/>
    <w:rsid w:val="00127ADF"/>
    <w:rsid w:val="00130524"/>
    <w:rsid w:val="00134170"/>
    <w:rsid w:val="0013548F"/>
    <w:rsid w:val="001379E4"/>
    <w:rsid w:val="00147369"/>
    <w:rsid w:val="0015120D"/>
    <w:rsid w:val="00152F21"/>
    <w:rsid w:val="00155763"/>
    <w:rsid w:val="00155A96"/>
    <w:rsid w:val="00157AF2"/>
    <w:rsid w:val="00163E2D"/>
    <w:rsid w:val="001652FA"/>
    <w:rsid w:val="00170B29"/>
    <w:rsid w:val="0017101B"/>
    <w:rsid w:val="00171934"/>
    <w:rsid w:val="00171BDA"/>
    <w:rsid w:val="00172774"/>
    <w:rsid w:val="00174EE8"/>
    <w:rsid w:val="001766C4"/>
    <w:rsid w:val="001773E6"/>
    <w:rsid w:val="00184B91"/>
    <w:rsid w:val="00184CB1"/>
    <w:rsid w:val="00186628"/>
    <w:rsid w:val="00187CF0"/>
    <w:rsid w:val="00190B21"/>
    <w:rsid w:val="00192B2C"/>
    <w:rsid w:val="001937C2"/>
    <w:rsid w:val="00193A7A"/>
    <w:rsid w:val="00195713"/>
    <w:rsid w:val="001A0DA6"/>
    <w:rsid w:val="001A1D8C"/>
    <w:rsid w:val="001A1E0B"/>
    <w:rsid w:val="001A2D62"/>
    <w:rsid w:val="001A3D0D"/>
    <w:rsid w:val="001A4A4F"/>
    <w:rsid w:val="001A64DA"/>
    <w:rsid w:val="001B1A5B"/>
    <w:rsid w:val="001B60AA"/>
    <w:rsid w:val="001C0619"/>
    <w:rsid w:val="001C3183"/>
    <w:rsid w:val="001C40E2"/>
    <w:rsid w:val="001C53A9"/>
    <w:rsid w:val="001C7141"/>
    <w:rsid w:val="001C748E"/>
    <w:rsid w:val="001D018C"/>
    <w:rsid w:val="001D07D5"/>
    <w:rsid w:val="001D1612"/>
    <w:rsid w:val="001D26DD"/>
    <w:rsid w:val="001D27F4"/>
    <w:rsid w:val="001D3C20"/>
    <w:rsid w:val="001D5A34"/>
    <w:rsid w:val="001D62C0"/>
    <w:rsid w:val="001D732D"/>
    <w:rsid w:val="001D7D53"/>
    <w:rsid w:val="001E1315"/>
    <w:rsid w:val="001E45F8"/>
    <w:rsid w:val="001E6E7A"/>
    <w:rsid w:val="001F3CA1"/>
    <w:rsid w:val="001F76FB"/>
    <w:rsid w:val="00200F50"/>
    <w:rsid w:val="00202205"/>
    <w:rsid w:val="00202D50"/>
    <w:rsid w:val="00207DEC"/>
    <w:rsid w:val="002103D3"/>
    <w:rsid w:val="00210FCB"/>
    <w:rsid w:val="00214C65"/>
    <w:rsid w:val="002161A1"/>
    <w:rsid w:val="0022092D"/>
    <w:rsid w:val="002240D9"/>
    <w:rsid w:val="0022734A"/>
    <w:rsid w:val="00235391"/>
    <w:rsid w:val="0023611C"/>
    <w:rsid w:val="00237F4A"/>
    <w:rsid w:val="00244723"/>
    <w:rsid w:val="0024663F"/>
    <w:rsid w:val="00252605"/>
    <w:rsid w:val="00256CDD"/>
    <w:rsid w:val="00257CFC"/>
    <w:rsid w:val="002606D2"/>
    <w:rsid w:val="002664E0"/>
    <w:rsid w:val="0027586B"/>
    <w:rsid w:val="0028072B"/>
    <w:rsid w:val="00285144"/>
    <w:rsid w:val="00290A5A"/>
    <w:rsid w:val="002962FF"/>
    <w:rsid w:val="00296DFE"/>
    <w:rsid w:val="002A1035"/>
    <w:rsid w:val="002A1314"/>
    <w:rsid w:val="002A1A27"/>
    <w:rsid w:val="002A1E7E"/>
    <w:rsid w:val="002A3FA6"/>
    <w:rsid w:val="002A70D6"/>
    <w:rsid w:val="002B1863"/>
    <w:rsid w:val="002B1CA6"/>
    <w:rsid w:val="002B3B0C"/>
    <w:rsid w:val="002B551D"/>
    <w:rsid w:val="002C00AC"/>
    <w:rsid w:val="002C036F"/>
    <w:rsid w:val="002C1336"/>
    <w:rsid w:val="002C14F2"/>
    <w:rsid w:val="002C59A2"/>
    <w:rsid w:val="002D4DD6"/>
    <w:rsid w:val="002D5165"/>
    <w:rsid w:val="002E23C2"/>
    <w:rsid w:val="002E25F1"/>
    <w:rsid w:val="002E44EF"/>
    <w:rsid w:val="002E4A8C"/>
    <w:rsid w:val="002F162C"/>
    <w:rsid w:val="002F2314"/>
    <w:rsid w:val="002F392F"/>
    <w:rsid w:val="002F7327"/>
    <w:rsid w:val="00306B3D"/>
    <w:rsid w:val="00310864"/>
    <w:rsid w:val="0031228B"/>
    <w:rsid w:val="00314EE5"/>
    <w:rsid w:val="00316EA1"/>
    <w:rsid w:val="003173C2"/>
    <w:rsid w:val="0032166D"/>
    <w:rsid w:val="00323FFE"/>
    <w:rsid w:val="00325BA5"/>
    <w:rsid w:val="0032605C"/>
    <w:rsid w:val="003273E6"/>
    <w:rsid w:val="00327532"/>
    <w:rsid w:val="00330D67"/>
    <w:rsid w:val="003345BA"/>
    <w:rsid w:val="003356D8"/>
    <w:rsid w:val="00335CB8"/>
    <w:rsid w:val="00343589"/>
    <w:rsid w:val="00351759"/>
    <w:rsid w:val="0036008E"/>
    <w:rsid w:val="003636CC"/>
    <w:rsid w:val="003651A7"/>
    <w:rsid w:val="00366049"/>
    <w:rsid w:val="00367B37"/>
    <w:rsid w:val="00371829"/>
    <w:rsid w:val="00371962"/>
    <w:rsid w:val="003732E4"/>
    <w:rsid w:val="0037345C"/>
    <w:rsid w:val="0037530B"/>
    <w:rsid w:val="003819EF"/>
    <w:rsid w:val="003826E9"/>
    <w:rsid w:val="0038393F"/>
    <w:rsid w:val="003846BF"/>
    <w:rsid w:val="00386A2F"/>
    <w:rsid w:val="00386D22"/>
    <w:rsid w:val="003922AA"/>
    <w:rsid w:val="00392856"/>
    <w:rsid w:val="00392A3E"/>
    <w:rsid w:val="00393FA0"/>
    <w:rsid w:val="0039448C"/>
    <w:rsid w:val="003976AB"/>
    <w:rsid w:val="003A0544"/>
    <w:rsid w:val="003A215C"/>
    <w:rsid w:val="003A5ECF"/>
    <w:rsid w:val="003A7A07"/>
    <w:rsid w:val="003B25DC"/>
    <w:rsid w:val="003C4833"/>
    <w:rsid w:val="003C5D65"/>
    <w:rsid w:val="003C6632"/>
    <w:rsid w:val="003C7BB8"/>
    <w:rsid w:val="003D0203"/>
    <w:rsid w:val="003D0534"/>
    <w:rsid w:val="003D5960"/>
    <w:rsid w:val="003D6ADE"/>
    <w:rsid w:val="003E0328"/>
    <w:rsid w:val="003E12FA"/>
    <w:rsid w:val="003E602D"/>
    <w:rsid w:val="003E6790"/>
    <w:rsid w:val="003E75A2"/>
    <w:rsid w:val="003F5BE0"/>
    <w:rsid w:val="003F5DFF"/>
    <w:rsid w:val="003F7386"/>
    <w:rsid w:val="004103F9"/>
    <w:rsid w:val="004108A2"/>
    <w:rsid w:val="00410E93"/>
    <w:rsid w:val="00415F10"/>
    <w:rsid w:val="00421118"/>
    <w:rsid w:val="00425991"/>
    <w:rsid w:val="00426905"/>
    <w:rsid w:val="00433AF8"/>
    <w:rsid w:val="004375EF"/>
    <w:rsid w:val="00440168"/>
    <w:rsid w:val="00443428"/>
    <w:rsid w:val="00450E37"/>
    <w:rsid w:val="004526DD"/>
    <w:rsid w:val="00454C0F"/>
    <w:rsid w:val="00460062"/>
    <w:rsid w:val="00460843"/>
    <w:rsid w:val="004640BA"/>
    <w:rsid w:val="00466A6D"/>
    <w:rsid w:val="004704EA"/>
    <w:rsid w:val="0047291B"/>
    <w:rsid w:val="00474361"/>
    <w:rsid w:val="00480D80"/>
    <w:rsid w:val="00482B02"/>
    <w:rsid w:val="00486FFA"/>
    <w:rsid w:val="00492967"/>
    <w:rsid w:val="00492D43"/>
    <w:rsid w:val="0049336D"/>
    <w:rsid w:val="00494B94"/>
    <w:rsid w:val="004977AB"/>
    <w:rsid w:val="004A0BF8"/>
    <w:rsid w:val="004A1268"/>
    <w:rsid w:val="004A1ACD"/>
    <w:rsid w:val="004A30E6"/>
    <w:rsid w:val="004A3DC7"/>
    <w:rsid w:val="004A61D0"/>
    <w:rsid w:val="004A7167"/>
    <w:rsid w:val="004A7766"/>
    <w:rsid w:val="004B34C4"/>
    <w:rsid w:val="004B5E9D"/>
    <w:rsid w:val="004C0A21"/>
    <w:rsid w:val="004C213B"/>
    <w:rsid w:val="004C2CAA"/>
    <w:rsid w:val="004C4599"/>
    <w:rsid w:val="004C53DD"/>
    <w:rsid w:val="004D0D66"/>
    <w:rsid w:val="004D12F5"/>
    <w:rsid w:val="004D60C8"/>
    <w:rsid w:val="004D61E9"/>
    <w:rsid w:val="004D64A9"/>
    <w:rsid w:val="004D6ED1"/>
    <w:rsid w:val="004D727B"/>
    <w:rsid w:val="004E0335"/>
    <w:rsid w:val="004E0A35"/>
    <w:rsid w:val="004E269E"/>
    <w:rsid w:val="004F4658"/>
    <w:rsid w:val="004F6FBF"/>
    <w:rsid w:val="004F7EB6"/>
    <w:rsid w:val="00501339"/>
    <w:rsid w:val="005042D0"/>
    <w:rsid w:val="0050484B"/>
    <w:rsid w:val="00504E7F"/>
    <w:rsid w:val="00506281"/>
    <w:rsid w:val="00513BA6"/>
    <w:rsid w:val="005142A9"/>
    <w:rsid w:val="00514B3B"/>
    <w:rsid w:val="00516F5C"/>
    <w:rsid w:val="00517C7D"/>
    <w:rsid w:val="005250F0"/>
    <w:rsid w:val="00525E64"/>
    <w:rsid w:val="0052664E"/>
    <w:rsid w:val="00530A9E"/>
    <w:rsid w:val="005310B7"/>
    <w:rsid w:val="00531728"/>
    <w:rsid w:val="00531E69"/>
    <w:rsid w:val="005326DC"/>
    <w:rsid w:val="00534062"/>
    <w:rsid w:val="005352B6"/>
    <w:rsid w:val="00536D5A"/>
    <w:rsid w:val="00537782"/>
    <w:rsid w:val="0053788C"/>
    <w:rsid w:val="00537CD2"/>
    <w:rsid w:val="00541969"/>
    <w:rsid w:val="00543511"/>
    <w:rsid w:val="00543980"/>
    <w:rsid w:val="00544469"/>
    <w:rsid w:val="00547909"/>
    <w:rsid w:val="0055480A"/>
    <w:rsid w:val="00556B13"/>
    <w:rsid w:val="00560856"/>
    <w:rsid w:val="005610E5"/>
    <w:rsid w:val="00571942"/>
    <w:rsid w:val="00576631"/>
    <w:rsid w:val="0058081E"/>
    <w:rsid w:val="00580BD7"/>
    <w:rsid w:val="00585016"/>
    <w:rsid w:val="005851C8"/>
    <w:rsid w:val="00585ECB"/>
    <w:rsid w:val="005865DF"/>
    <w:rsid w:val="00586C3B"/>
    <w:rsid w:val="0058734B"/>
    <w:rsid w:val="005919D9"/>
    <w:rsid w:val="0059223B"/>
    <w:rsid w:val="00597E2E"/>
    <w:rsid w:val="005A1DCD"/>
    <w:rsid w:val="005A436C"/>
    <w:rsid w:val="005A46E1"/>
    <w:rsid w:val="005A5272"/>
    <w:rsid w:val="005A7C5F"/>
    <w:rsid w:val="005B0C37"/>
    <w:rsid w:val="005B2475"/>
    <w:rsid w:val="005B710D"/>
    <w:rsid w:val="005B71C8"/>
    <w:rsid w:val="005C3423"/>
    <w:rsid w:val="005C3C1F"/>
    <w:rsid w:val="005C5EDB"/>
    <w:rsid w:val="005D426B"/>
    <w:rsid w:val="005D489A"/>
    <w:rsid w:val="005D55BE"/>
    <w:rsid w:val="005D7618"/>
    <w:rsid w:val="005E137A"/>
    <w:rsid w:val="005E1D33"/>
    <w:rsid w:val="005E4FEA"/>
    <w:rsid w:val="005E6544"/>
    <w:rsid w:val="005E788C"/>
    <w:rsid w:val="005F0B13"/>
    <w:rsid w:val="005F1908"/>
    <w:rsid w:val="005F1AB7"/>
    <w:rsid w:val="005F3A28"/>
    <w:rsid w:val="005F79EE"/>
    <w:rsid w:val="0060031D"/>
    <w:rsid w:val="00605C75"/>
    <w:rsid w:val="00606E2E"/>
    <w:rsid w:val="00612C65"/>
    <w:rsid w:val="00613232"/>
    <w:rsid w:val="00613B2E"/>
    <w:rsid w:val="00633BB7"/>
    <w:rsid w:val="00636A9E"/>
    <w:rsid w:val="00641847"/>
    <w:rsid w:val="0064503F"/>
    <w:rsid w:val="00647065"/>
    <w:rsid w:val="00655D51"/>
    <w:rsid w:val="00657184"/>
    <w:rsid w:val="00661F66"/>
    <w:rsid w:val="00664B6C"/>
    <w:rsid w:val="006706AA"/>
    <w:rsid w:val="00670EA9"/>
    <w:rsid w:val="00672C24"/>
    <w:rsid w:val="006730BC"/>
    <w:rsid w:val="006806FE"/>
    <w:rsid w:val="006812BE"/>
    <w:rsid w:val="0068278E"/>
    <w:rsid w:val="006872C8"/>
    <w:rsid w:val="0069566E"/>
    <w:rsid w:val="006A053B"/>
    <w:rsid w:val="006A34AE"/>
    <w:rsid w:val="006A4843"/>
    <w:rsid w:val="006A6EE2"/>
    <w:rsid w:val="006B0231"/>
    <w:rsid w:val="006B2432"/>
    <w:rsid w:val="006B5646"/>
    <w:rsid w:val="006C5B2B"/>
    <w:rsid w:val="006D067B"/>
    <w:rsid w:val="006D440C"/>
    <w:rsid w:val="006D6A5E"/>
    <w:rsid w:val="006D7D78"/>
    <w:rsid w:val="006E0EC6"/>
    <w:rsid w:val="006E180D"/>
    <w:rsid w:val="006E7790"/>
    <w:rsid w:val="006F09AF"/>
    <w:rsid w:val="006F0AF6"/>
    <w:rsid w:val="006F42CA"/>
    <w:rsid w:val="006F43C8"/>
    <w:rsid w:val="006F51AB"/>
    <w:rsid w:val="007019D1"/>
    <w:rsid w:val="007024DE"/>
    <w:rsid w:val="0070428C"/>
    <w:rsid w:val="007042D5"/>
    <w:rsid w:val="00706B99"/>
    <w:rsid w:val="00711CC3"/>
    <w:rsid w:val="007129A1"/>
    <w:rsid w:val="00715BD4"/>
    <w:rsid w:val="0072322F"/>
    <w:rsid w:val="0072500B"/>
    <w:rsid w:val="00730982"/>
    <w:rsid w:val="007319E7"/>
    <w:rsid w:val="007322F9"/>
    <w:rsid w:val="007328E0"/>
    <w:rsid w:val="00736561"/>
    <w:rsid w:val="00737B23"/>
    <w:rsid w:val="007405B1"/>
    <w:rsid w:val="00742E8E"/>
    <w:rsid w:val="00745D44"/>
    <w:rsid w:val="00746651"/>
    <w:rsid w:val="00755785"/>
    <w:rsid w:val="00756492"/>
    <w:rsid w:val="0075751A"/>
    <w:rsid w:val="0075779D"/>
    <w:rsid w:val="007602B5"/>
    <w:rsid w:val="00762E54"/>
    <w:rsid w:val="00763DCD"/>
    <w:rsid w:val="00765103"/>
    <w:rsid w:val="00766D22"/>
    <w:rsid w:val="007678BB"/>
    <w:rsid w:val="00772D99"/>
    <w:rsid w:val="0077358A"/>
    <w:rsid w:val="00774F9B"/>
    <w:rsid w:val="007807D1"/>
    <w:rsid w:val="00781E66"/>
    <w:rsid w:val="00783798"/>
    <w:rsid w:val="007849D1"/>
    <w:rsid w:val="007851B6"/>
    <w:rsid w:val="00785688"/>
    <w:rsid w:val="00792F4E"/>
    <w:rsid w:val="00794A8C"/>
    <w:rsid w:val="007A0967"/>
    <w:rsid w:val="007A1F47"/>
    <w:rsid w:val="007A4452"/>
    <w:rsid w:val="007A473C"/>
    <w:rsid w:val="007A6844"/>
    <w:rsid w:val="007B26E0"/>
    <w:rsid w:val="007B5992"/>
    <w:rsid w:val="007B7090"/>
    <w:rsid w:val="007B7AF1"/>
    <w:rsid w:val="007C0914"/>
    <w:rsid w:val="007C1EFE"/>
    <w:rsid w:val="007C21A5"/>
    <w:rsid w:val="007D004D"/>
    <w:rsid w:val="007D038A"/>
    <w:rsid w:val="007D06F2"/>
    <w:rsid w:val="007D092F"/>
    <w:rsid w:val="007D0949"/>
    <w:rsid w:val="007D0E9C"/>
    <w:rsid w:val="007D66D6"/>
    <w:rsid w:val="007D7455"/>
    <w:rsid w:val="007D7CE8"/>
    <w:rsid w:val="007F01C6"/>
    <w:rsid w:val="007F2E04"/>
    <w:rsid w:val="007F74A6"/>
    <w:rsid w:val="00802076"/>
    <w:rsid w:val="008024A3"/>
    <w:rsid w:val="00805458"/>
    <w:rsid w:val="008059F3"/>
    <w:rsid w:val="00806914"/>
    <w:rsid w:val="00807580"/>
    <w:rsid w:val="00810147"/>
    <w:rsid w:val="00811A94"/>
    <w:rsid w:val="00813B1E"/>
    <w:rsid w:val="00830F75"/>
    <w:rsid w:val="008312E7"/>
    <w:rsid w:val="008312E8"/>
    <w:rsid w:val="00845E07"/>
    <w:rsid w:val="00847F67"/>
    <w:rsid w:val="00851393"/>
    <w:rsid w:val="0085178A"/>
    <w:rsid w:val="008521CD"/>
    <w:rsid w:val="00852D83"/>
    <w:rsid w:val="00854099"/>
    <w:rsid w:val="0085444E"/>
    <w:rsid w:val="008553B8"/>
    <w:rsid w:val="00856E53"/>
    <w:rsid w:val="00860112"/>
    <w:rsid w:val="00863ACD"/>
    <w:rsid w:val="00865A92"/>
    <w:rsid w:val="00866586"/>
    <w:rsid w:val="00871281"/>
    <w:rsid w:val="00871317"/>
    <w:rsid w:val="00871CFB"/>
    <w:rsid w:val="00875430"/>
    <w:rsid w:val="00876EEE"/>
    <w:rsid w:val="00876F6A"/>
    <w:rsid w:val="00880469"/>
    <w:rsid w:val="008826D7"/>
    <w:rsid w:val="00884DB3"/>
    <w:rsid w:val="00886C88"/>
    <w:rsid w:val="0089059F"/>
    <w:rsid w:val="0089442A"/>
    <w:rsid w:val="00896D25"/>
    <w:rsid w:val="008A0C6C"/>
    <w:rsid w:val="008A455D"/>
    <w:rsid w:val="008A5ACA"/>
    <w:rsid w:val="008C35F8"/>
    <w:rsid w:val="008D7FEE"/>
    <w:rsid w:val="008E3C81"/>
    <w:rsid w:val="008E3CB7"/>
    <w:rsid w:val="008E71B9"/>
    <w:rsid w:val="008E7784"/>
    <w:rsid w:val="008F36E5"/>
    <w:rsid w:val="008F5326"/>
    <w:rsid w:val="008F549E"/>
    <w:rsid w:val="00900CB0"/>
    <w:rsid w:val="00900DE2"/>
    <w:rsid w:val="009016DB"/>
    <w:rsid w:val="00902117"/>
    <w:rsid w:val="0090734E"/>
    <w:rsid w:val="00910450"/>
    <w:rsid w:val="00910660"/>
    <w:rsid w:val="00914302"/>
    <w:rsid w:val="009165FD"/>
    <w:rsid w:val="00917487"/>
    <w:rsid w:val="00922397"/>
    <w:rsid w:val="0092296D"/>
    <w:rsid w:val="00925555"/>
    <w:rsid w:val="00930BBC"/>
    <w:rsid w:val="00934CDD"/>
    <w:rsid w:val="00940189"/>
    <w:rsid w:val="0094233A"/>
    <w:rsid w:val="0094403E"/>
    <w:rsid w:val="00946D4F"/>
    <w:rsid w:val="00953BA5"/>
    <w:rsid w:val="00955BC7"/>
    <w:rsid w:val="00960E2D"/>
    <w:rsid w:val="009667A9"/>
    <w:rsid w:val="00967001"/>
    <w:rsid w:val="00972CF5"/>
    <w:rsid w:val="009747DA"/>
    <w:rsid w:val="00974DEA"/>
    <w:rsid w:val="00975391"/>
    <w:rsid w:val="00977259"/>
    <w:rsid w:val="00977883"/>
    <w:rsid w:val="00981461"/>
    <w:rsid w:val="00981670"/>
    <w:rsid w:val="00982152"/>
    <w:rsid w:val="009846B1"/>
    <w:rsid w:val="0098600F"/>
    <w:rsid w:val="00992B01"/>
    <w:rsid w:val="009938F2"/>
    <w:rsid w:val="00994B86"/>
    <w:rsid w:val="00997245"/>
    <w:rsid w:val="009A088E"/>
    <w:rsid w:val="009B1B5C"/>
    <w:rsid w:val="009B6DA2"/>
    <w:rsid w:val="009B7006"/>
    <w:rsid w:val="009C06B8"/>
    <w:rsid w:val="009C11D8"/>
    <w:rsid w:val="009C5FD6"/>
    <w:rsid w:val="009C7B1E"/>
    <w:rsid w:val="009D0D0B"/>
    <w:rsid w:val="009D197B"/>
    <w:rsid w:val="009D2B3B"/>
    <w:rsid w:val="009D42AC"/>
    <w:rsid w:val="009D77CC"/>
    <w:rsid w:val="009E64DC"/>
    <w:rsid w:val="009F12EF"/>
    <w:rsid w:val="009F700B"/>
    <w:rsid w:val="00A01705"/>
    <w:rsid w:val="00A0243E"/>
    <w:rsid w:val="00A055AF"/>
    <w:rsid w:val="00A0728B"/>
    <w:rsid w:val="00A0771C"/>
    <w:rsid w:val="00A218A3"/>
    <w:rsid w:val="00A228B1"/>
    <w:rsid w:val="00A22FDF"/>
    <w:rsid w:val="00A2445A"/>
    <w:rsid w:val="00A32112"/>
    <w:rsid w:val="00A32643"/>
    <w:rsid w:val="00A32CA8"/>
    <w:rsid w:val="00A32FF1"/>
    <w:rsid w:val="00A33BC9"/>
    <w:rsid w:val="00A35ACA"/>
    <w:rsid w:val="00A375D8"/>
    <w:rsid w:val="00A40B8F"/>
    <w:rsid w:val="00A4136B"/>
    <w:rsid w:val="00A42828"/>
    <w:rsid w:val="00A42DA0"/>
    <w:rsid w:val="00A47E4D"/>
    <w:rsid w:val="00A5537B"/>
    <w:rsid w:val="00A557EC"/>
    <w:rsid w:val="00A566ED"/>
    <w:rsid w:val="00A56AA6"/>
    <w:rsid w:val="00A6030C"/>
    <w:rsid w:val="00A61048"/>
    <w:rsid w:val="00A6216B"/>
    <w:rsid w:val="00A62693"/>
    <w:rsid w:val="00A62A14"/>
    <w:rsid w:val="00A62B97"/>
    <w:rsid w:val="00A62DDD"/>
    <w:rsid w:val="00A6321A"/>
    <w:rsid w:val="00A674CD"/>
    <w:rsid w:val="00A677E5"/>
    <w:rsid w:val="00A67840"/>
    <w:rsid w:val="00A70BD3"/>
    <w:rsid w:val="00A72EED"/>
    <w:rsid w:val="00A80C07"/>
    <w:rsid w:val="00A80DCA"/>
    <w:rsid w:val="00A907A3"/>
    <w:rsid w:val="00A911DE"/>
    <w:rsid w:val="00A92673"/>
    <w:rsid w:val="00A939FC"/>
    <w:rsid w:val="00A958B1"/>
    <w:rsid w:val="00A961B2"/>
    <w:rsid w:val="00AA6196"/>
    <w:rsid w:val="00AA69FE"/>
    <w:rsid w:val="00AA6BA7"/>
    <w:rsid w:val="00AB19F6"/>
    <w:rsid w:val="00AB24CF"/>
    <w:rsid w:val="00AB3750"/>
    <w:rsid w:val="00AB51B2"/>
    <w:rsid w:val="00AB5D8C"/>
    <w:rsid w:val="00AB7FB0"/>
    <w:rsid w:val="00AC3B50"/>
    <w:rsid w:val="00AC4BEE"/>
    <w:rsid w:val="00AC4DA6"/>
    <w:rsid w:val="00AC7E21"/>
    <w:rsid w:val="00AD7B1B"/>
    <w:rsid w:val="00AE402A"/>
    <w:rsid w:val="00AE769E"/>
    <w:rsid w:val="00AF3D90"/>
    <w:rsid w:val="00AF5CE1"/>
    <w:rsid w:val="00AF7AFF"/>
    <w:rsid w:val="00B02ABD"/>
    <w:rsid w:val="00B104AE"/>
    <w:rsid w:val="00B106B0"/>
    <w:rsid w:val="00B10E67"/>
    <w:rsid w:val="00B11F26"/>
    <w:rsid w:val="00B1268F"/>
    <w:rsid w:val="00B12A52"/>
    <w:rsid w:val="00B2221C"/>
    <w:rsid w:val="00B24143"/>
    <w:rsid w:val="00B24821"/>
    <w:rsid w:val="00B273B6"/>
    <w:rsid w:val="00B27735"/>
    <w:rsid w:val="00B30B60"/>
    <w:rsid w:val="00B347C1"/>
    <w:rsid w:val="00B348A5"/>
    <w:rsid w:val="00B41FDE"/>
    <w:rsid w:val="00B4692E"/>
    <w:rsid w:val="00B475D5"/>
    <w:rsid w:val="00B50381"/>
    <w:rsid w:val="00B51187"/>
    <w:rsid w:val="00B52176"/>
    <w:rsid w:val="00B52BAA"/>
    <w:rsid w:val="00B54295"/>
    <w:rsid w:val="00B56A07"/>
    <w:rsid w:val="00B57E81"/>
    <w:rsid w:val="00B60B56"/>
    <w:rsid w:val="00B64D38"/>
    <w:rsid w:val="00B65685"/>
    <w:rsid w:val="00B7029D"/>
    <w:rsid w:val="00B721CA"/>
    <w:rsid w:val="00B734D7"/>
    <w:rsid w:val="00B770E0"/>
    <w:rsid w:val="00B81238"/>
    <w:rsid w:val="00B86169"/>
    <w:rsid w:val="00B92302"/>
    <w:rsid w:val="00B9308F"/>
    <w:rsid w:val="00B955F8"/>
    <w:rsid w:val="00B968A6"/>
    <w:rsid w:val="00BA3921"/>
    <w:rsid w:val="00BA4FC2"/>
    <w:rsid w:val="00BA5B3A"/>
    <w:rsid w:val="00BB0737"/>
    <w:rsid w:val="00BB2176"/>
    <w:rsid w:val="00BB2195"/>
    <w:rsid w:val="00BB23AC"/>
    <w:rsid w:val="00BB25D1"/>
    <w:rsid w:val="00BB5D7D"/>
    <w:rsid w:val="00BB7814"/>
    <w:rsid w:val="00BC4F3D"/>
    <w:rsid w:val="00BC5271"/>
    <w:rsid w:val="00BD3E96"/>
    <w:rsid w:val="00BE2635"/>
    <w:rsid w:val="00BE378A"/>
    <w:rsid w:val="00BE4BDF"/>
    <w:rsid w:val="00BF14BE"/>
    <w:rsid w:val="00BF1734"/>
    <w:rsid w:val="00BF4CBF"/>
    <w:rsid w:val="00BF4D23"/>
    <w:rsid w:val="00C03FB0"/>
    <w:rsid w:val="00C06825"/>
    <w:rsid w:val="00C06FB3"/>
    <w:rsid w:val="00C0742A"/>
    <w:rsid w:val="00C07F44"/>
    <w:rsid w:val="00C116C2"/>
    <w:rsid w:val="00C12284"/>
    <w:rsid w:val="00C13D7F"/>
    <w:rsid w:val="00C14B86"/>
    <w:rsid w:val="00C24229"/>
    <w:rsid w:val="00C26015"/>
    <w:rsid w:val="00C31E1B"/>
    <w:rsid w:val="00C328EC"/>
    <w:rsid w:val="00C3508B"/>
    <w:rsid w:val="00C3764E"/>
    <w:rsid w:val="00C4033A"/>
    <w:rsid w:val="00C42C75"/>
    <w:rsid w:val="00C44A57"/>
    <w:rsid w:val="00C44CAB"/>
    <w:rsid w:val="00C46396"/>
    <w:rsid w:val="00C507A9"/>
    <w:rsid w:val="00C557B4"/>
    <w:rsid w:val="00C55902"/>
    <w:rsid w:val="00C60547"/>
    <w:rsid w:val="00C612E4"/>
    <w:rsid w:val="00C63069"/>
    <w:rsid w:val="00C65B54"/>
    <w:rsid w:val="00C66364"/>
    <w:rsid w:val="00C73E1D"/>
    <w:rsid w:val="00C76ACB"/>
    <w:rsid w:val="00C773D2"/>
    <w:rsid w:val="00C81188"/>
    <w:rsid w:val="00C817F3"/>
    <w:rsid w:val="00C81A1D"/>
    <w:rsid w:val="00C82E44"/>
    <w:rsid w:val="00C8554A"/>
    <w:rsid w:val="00C92ABF"/>
    <w:rsid w:val="00C93918"/>
    <w:rsid w:val="00C9415F"/>
    <w:rsid w:val="00C94698"/>
    <w:rsid w:val="00C9778E"/>
    <w:rsid w:val="00CA16A0"/>
    <w:rsid w:val="00CA2A03"/>
    <w:rsid w:val="00CB016C"/>
    <w:rsid w:val="00CB090F"/>
    <w:rsid w:val="00CB145A"/>
    <w:rsid w:val="00CB5288"/>
    <w:rsid w:val="00CB67D4"/>
    <w:rsid w:val="00CB71BD"/>
    <w:rsid w:val="00CC257D"/>
    <w:rsid w:val="00CC2FF6"/>
    <w:rsid w:val="00CC38B1"/>
    <w:rsid w:val="00CC4F87"/>
    <w:rsid w:val="00CC6B49"/>
    <w:rsid w:val="00CD5CA7"/>
    <w:rsid w:val="00CD7999"/>
    <w:rsid w:val="00CE3121"/>
    <w:rsid w:val="00CE417A"/>
    <w:rsid w:val="00CF1798"/>
    <w:rsid w:val="00CF2F44"/>
    <w:rsid w:val="00CF360D"/>
    <w:rsid w:val="00CF548F"/>
    <w:rsid w:val="00D004C5"/>
    <w:rsid w:val="00D00825"/>
    <w:rsid w:val="00D0468B"/>
    <w:rsid w:val="00D056EA"/>
    <w:rsid w:val="00D12668"/>
    <w:rsid w:val="00D13B43"/>
    <w:rsid w:val="00D14D78"/>
    <w:rsid w:val="00D1551D"/>
    <w:rsid w:val="00D172B9"/>
    <w:rsid w:val="00D17748"/>
    <w:rsid w:val="00D1785E"/>
    <w:rsid w:val="00D22D13"/>
    <w:rsid w:val="00D2560A"/>
    <w:rsid w:val="00D25E0D"/>
    <w:rsid w:val="00D343AB"/>
    <w:rsid w:val="00D4065D"/>
    <w:rsid w:val="00D4126F"/>
    <w:rsid w:val="00D42234"/>
    <w:rsid w:val="00D43A26"/>
    <w:rsid w:val="00D44E74"/>
    <w:rsid w:val="00D5004A"/>
    <w:rsid w:val="00D50386"/>
    <w:rsid w:val="00D528B2"/>
    <w:rsid w:val="00D60BB4"/>
    <w:rsid w:val="00D62367"/>
    <w:rsid w:val="00D63BF5"/>
    <w:rsid w:val="00D66005"/>
    <w:rsid w:val="00D66105"/>
    <w:rsid w:val="00D67E55"/>
    <w:rsid w:val="00D67F7D"/>
    <w:rsid w:val="00D70AB1"/>
    <w:rsid w:val="00D7295C"/>
    <w:rsid w:val="00D747D0"/>
    <w:rsid w:val="00D759CC"/>
    <w:rsid w:val="00D75C8D"/>
    <w:rsid w:val="00D80A80"/>
    <w:rsid w:val="00D82C94"/>
    <w:rsid w:val="00D85697"/>
    <w:rsid w:val="00D87BDC"/>
    <w:rsid w:val="00D9049D"/>
    <w:rsid w:val="00D97FB2"/>
    <w:rsid w:val="00DA263C"/>
    <w:rsid w:val="00DA3F55"/>
    <w:rsid w:val="00DA7EE9"/>
    <w:rsid w:val="00DB21BA"/>
    <w:rsid w:val="00DB3234"/>
    <w:rsid w:val="00DC18CB"/>
    <w:rsid w:val="00DC1F16"/>
    <w:rsid w:val="00DC2B76"/>
    <w:rsid w:val="00DC41B2"/>
    <w:rsid w:val="00DC5290"/>
    <w:rsid w:val="00DD115C"/>
    <w:rsid w:val="00DD14B3"/>
    <w:rsid w:val="00DD59BB"/>
    <w:rsid w:val="00DD7359"/>
    <w:rsid w:val="00DE17D8"/>
    <w:rsid w:val="00DE2215"/>
    <w:rsid w:val="00DE2709"/>
    <w:rsid w:val="00DE31BF"/>
    <w:rsid w:val="00DE4ACA"/>
    <w:rsid w:val="00DE6D2D"/>
    <w:rsid w:val="00DF0CAB"/>
    <w:rsid w:val="00DF2F2B"/>
    <w:rsid w:val="00DF54AF"/>
    <w:rsid w:val="00DF598B"/>
    <w:rsid w:val="00DF5EE0"/>
    <w:rsid w:val="00E01FD9"/>
    <w:rsid w:val="00E049DC"/>
    <w:rsid w:val="00E11FED"/>
    <w:rsid w:val="00E1235C"/>
    <w:rsid w:val="00E13D08"/>
    <w:rsid w:val="00E14B58"/>
    <w:rsid w:val="00E20B49"/>
    <w:rsid w:val="00E25C91"/>
    <w:rsid w:val="00E307F6"/>
    <w:rsid w:val="00E32AA4"/>
    <w:rsid w:val="00E36845"/>
    <w:rsid w:val="00E37B64"/>
    <w:rsid w:val="00E37FC3"/>
    <w:rsid w:val="00E41574"/>
    <w:rsid w:val="00E4210A"/>
    <w:rsid w:val="00E44C18"/>
    <w:rsid w:val="00E462DB"/>
    <w:rsid w:val="00E47703"/>
    <w:rsid w:val="00E50940"/>
    <w:rsid w:val="00E562AA"/>
    <w:rsid w:val="00E5663A"/>
    <w:rsid w:val="00E576CB"/>
    <w:rsid w:val="00E5770F"/>
    <w:rsid w:val="00E60FE0"/>
    <w:rsid w:val="00E61B42"/>
    <w:rsid w:val="00E74E45"/>
    <w:rsid w:val="00E763D5"/>
    <w:rsid w:val="00E80890"/>
    <w:rsid w:val="00E80F40"/>
    <w:rsid w:val="00E81F14"/>
    <w:rsid w:val="00E8486F"/>
    <w:rsid w:val="00E919DE"/>
    <w:rsid w:val="00E91BFA"/>
    <w:rsid w:val="00E93421"/>
    <w:rsid w:val="00E946A5"/>
    <w:rsid w:val="00EA25B2"/>
    <w:rsid w:val="00EA5128"/>
    <w:rsid w:val="00EA6EFD"/>
    <w:rsid w:val="00EA7B19"/>
    <w:rsid w:val="00EB21A1"/>
    <w:rsid w:val="00EB25E8"/>
    <w:rsid w:val="00EB35E3"/>
    <w:rsid w:val="00EB54FC"/>
    <w:rsid w:val="00EC3328"/>
    <w:rsid w:val="00EC348B"/>
    <w:rsid w:val="00EC47E6"/>
    <w:rsid w:val="00ED1F73"/>
    <w:rsid w:val="00ED2546"/>
    <w:rsid w:val="00ED6E83"/>
    <w:rsid w:val="00ED7E21"/>
    <w:rsid w:val="00EE06FF"/>
    <w:rsid w:val="00EE20D0"/>
    <w:rsid w:val="00EE241E"/>
    <w:rsid w:val="00EE71D1"/>
    <w:rsid w:val="00EF4CAD"/>
    <w:rsid w:val="00EF50F5"/>
    <w:rsid w:val="00EF5EA3"/>
    <w:rsid w:val="00EF6FD7"/>
    <w:rsid w:val="00EF7293"/>
    <w:rsid w:val="00EF7377"/>
    <w:rsid w:val="00EF7C6C"/>
    <w:rsid w:val="00F0321C"/>
    <w:rsid w:val="00F03BAB"/>
    <w:rsid w:val="00F05A5C"/>
    <w:rsid w:val="00F07F29"/>
    <w:rsid w:val="00F1237A"/>
    <w:rsid w:val="00F1543F"/>
    <w:rsid w:val="00F17B40"/>
    <w:rsid w:val="00F2194B"/>
    <w:rsid w:val="00F248A9"/>
    <w:rsid w:val="00F24D9F"/>
    <w:rsid w:val="00F24F96"/>
    <w:rsid w:val="00F25544"/>
    <w:rsid w:val="00F300A8"/>
    <w:rsid w:val="00F31290"/>
    <w:rsid w:val="00F33F0F"/>
    <w:rsid w:val="00F35E3B"/>
    <w:rsid w:val="00F374FF"/>
    <w:rsid w:val="00F40805"/>
    <w:rsid w:val="00F4402C"/>
    <w:rsid w:val="00F47F4E"/>
    <w:rsid w:val="00F50A25"/>
    <w:rsid w:val="00F50D5F"/>
    <w:rsid w:val="00F50F48"/>
    <w:rsid w:val="00F5176E"/>
    <w:rsid w:val="00F53234"/>
    <w:rsid w:val="00F54A33"/>
    <w:rsid w:val="00F56F79"/>
    <w:rsid w:val="00F62ACB"/>
    <w:rsid w:val="00F62E36"/>
    <w:rsid w:val="00F6618B"/>
    <w:rsid w:val="00F67E61"/>
    <w:rsid w:val="00F7287E"/>
    <w:rsid w:val="00F758BF"/>
    <w:rsid w:val="00F7772D"/>
    <w:rsid w:val="00F82854"/>
    <w:rsid w:val="00F829A0"/>
    <w:rsid w:val="00F830EF"/>
    <w:rsid w:val="00F83385"/>
    <w:rsid w:val="00F83DEB"/>
    <w:rsid w:val="00F849DD"/>
    <w:rsid w:val="00F854A6"/>
    <w:rsid w:val="00F85F2D"/>
    <w:rsid w:val="00F919A6"/>
    <w:rsid w:val="00F92B6C"/>
    <w:rsid w:val="00F95CB6"/>
    <w:rsid w:val="00F9649A"/>
    <w:rsid w:val="00F969F0"/>
    <w:rsid w:val="00FA049D"/>
    <w:rsid w:val="00FA13B7"/>
    <w:rsid w:val="00FA148F"/>
    <w:rsid w:val="00FA39CD"/>
    <w:rsid w:val="00FA6971"/>
    <w:rsid w:val="00FB3107"/>
    <w:rsid w:val="00FB500F"/>
    <w:rsid w:val="00FB6E35"/>
    <w:rsid w:val="00FC0211"/>
    <w:rsid w:val="00FC2C11"/>
    <w:rsid w:val="00FD7D50"/>
    <w:rsid w:val="00FE079F"/>
    <w:rsid w:val="00FE20DD"/>
    <w:rsid w:val="00FE62C3"/>
    <w:rsid w:val="00FE7C52"/>
    <w:rsid w:val="00FF1AF9"/>
    <w:rsid w:val="00FF1E4E"/>
    <w:rsid w:val="00FF3A0C"/>
    <w:rsid w:val="00FF62F2"/>
    <w:rsid w:val="00FF6A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6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024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216C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AB"/>
    <w:rPr>
      <w:color w:val="808080"/>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34"/>
    <w:qFormat/>
    <w:rsid w:val="00035531"/>
    <w:pPr>
      <w:ind w:left="720"/>
      <w:contextualSpacing/>
    </w:pPr>
  </w:style>
  <w:style w:type="paragraph" w:customStyle="1" w:styleId="Default">
    <w:name w:val="Default"/>
    <w:rsid w:val="00876F6A"/>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B6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56"/>
    <w:rPr>
      <w:rFonts w:ascii="Segoe UI" w:eastAsia="Times New Roman" w:hAnsi="Segoe UI" w:cs="Segoe UI"/>
      <w:sz w:val="18"/>
      <w:szCs w:val="18"/>
      <w:lang w:eastAsia="en-GB"/>
    </w:rPr>
  </w:style>
  <w:style w:type="character" w:styleId="Hyperlink">
    <w:name w:val="Hyperlink"/>
    <w:basedOn w:val="DefaultParagraphFont"/>
    <w:uiPriority w:val="99"/>
    <w:unhideWhenUsed/>
    <w:rsid w:val="003A7A07"/>
    <w:rPr>
      <w:color w:val="0563C1" w:themeColor="hyperlink"/>
      <w:u w:val="single"/>
    </w:rPr>
  </w:style>
  <w:style w:type="character" w:customStyle="1" w:styleId="Heading1Char">
    <w:name w:val="Heading 1 Char"/>
    <w:basedOn w:val="DefaultParagraphFont"/>
    <w:link w:val="Heading1"/>
    <w:uiPriority w:val="9"/>
    <w:rsid w:val="00A0243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basedOn w:val="Normal"/>
    <w:link w:val="FootnoteTextChar"/>
    <w:uiPriority w:val="99"/>
    <w:semiHidden/>
    <w:unhideWhenUsed/>
    <w:rsid w:val="00DC41B2"/>
    <w:rPr>
      <w:sz w:val="20"/>
      <w:szCs w:val="20"/>
    </w:rPr>
  </w:style>
  <w:style w:type="character" w:customStyle="1" w:styleId="FootnoteTextChar">
    <w:name w:val="Footnote Text Char"/>
    <w:basedOn w:val="DefaultParagraphFont"/>
    <w:link w:val="FootnoteText"/>
    <w:uiPriority w:val="99"/>
    <w:semiHidden/>
    <w:rsid w:val="00DC41B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C41B2"/>
    <w:rPr>
      <w:vertAlign w:val="superscript"/>
    </w:rPr>
  </w:style>
  <w:style w:type="paragraph" w:styleId="NoSpacing">
    <w:name w:val="No Spacing"/>
    <w:link w:val="NoSpacingChar"/>
    <w:uiPriority w:val="1"/>
    <w:qFormat/>
    <w:rsid w:val="00F50A2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0A25"/>
    <w:rPr>
      <w:rFonts w:ascii="Calibri" w:eastAsia="Calibri" w:hAnsi="Calibri" w:cs="Times New Roman"/>
    </w:rPr>
  </w:style>
  <w:style w:type="paragraph" w:styleId="Header">
    <w:name w:val="header"/>
    <w:basedOn w:val="Normal"/>
    <w:link w:val="HeaderChar"/>
    <w:uiPriority w:val="99"/>
    <w:unhideWhenUsed/>
    <w:rsid w:val="00A5537B"/>
    <w:pPr>
      <w:tabs>
        <w:tab w:val="center" w:pos="4513"/>
        <w:tab w:val="right" w:pos="9026"/>
      </w:tabs>
    </w:pPr>
  </w:style>
  <w:style w:type="character" w:customStyle="1" w:styleId="HeaderChar">
    <w:name w:val="Header Char"/>
    <w:basedOn w:val="DefaultParagraphFont"/>
    <w:link w:val="Header"/>
    <w:uiPriority w:val="99"/>
    <w:rsid w:val="00A553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5537B"/>
    <w:pPr>
      <w:tabs>
        <w:tab w:val="center" w:pos="4513"/>
        <w:tab w:val="right" w:pos="9026"/>
      </w:tabs>
    </w:pPr>
  </w:style>
  <w:style w:type="character" w:customStyle="1" w:styleId="FooterChar">
    <w:name w:val="Footer Char"/>
    <w:basedOn w:val="DefaultParagraphFont"/>
    <w:link w:val="Footer"/>
    <w:uiPriority w:val="99"/>
    <w:rsid w:val="00A5537B"/>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730982"/>
    <w:pPr>
      <w:widowControl w:val="0"/>
      <w:autoSpaceDE w:val="0"/>
      <w:autoSpaceDN w:val="0"/>
    </w:pPr>
    <w:rPr>
      <w:sz w:val="19"/>
      <w:szCs w:val="19"/>
      <w:lang w:eastAsia="en-US"/>
    </w:rPr>
  </w:style>
  <w:style w:type="character" w:customStyle="1" w:styleId="BodyTextChar">
    <w:name w:val="Body Text Char"/>
    <w:basedOn w:val="DefaultParagraphFont"/>
    <w:link w:val="BodyText"/>
    <w:uiPriority w:val="1"/>
    <w:rsid w:val="00730982"/>
    <w:rPr>
      <w:rFonts w:ascii="Times New Roman" w:eastAsia="Times New Roman" w:hAnsi="Times New Roman" w:cs="Times New Roman"/>
      <w:sz w:val="19"/>
      <w:szCs w:val="19"/>
    </w:rPr>
  </w:style>
  <w:style w:type="paragraph" w:customStyle="1" w:styleId="TableParagraph">
    <w:name w:val="Table Paragraph"/>
    <w:basedOn w:val="Normal"/>
    <w:uiPriority w:val="1"/>
    <w:qFormat/>
    <w:rsid w:val="00730982"/>
    <w:pPr>
      <w:widowControl w:val="0"/>
      <w:autoSpaceDE w:val="0"/>
      <w:autoSpaceDN w:val="0"/>
    </w:pPr>
    <w:rPr>
      <w:sz w:val="22"/>
      <w:szCs w:val="22"/>
      <w:lang w:eastAsia="en-US"/>
    </w:rPr>
  </w:style>
  <w:style w:type="character" w:customStyle="1" w:styleId="Heading3Char">
    <w:name w:val="Heading 3 Char"/>
    <w:basedOn w:val="DefaultParagraphFont"/>
    <w:link w:val="Heading3"/>
    <w:uiPriority w:val="9"/>
    <w:semiHidden/>
    <w:rsid w:val="000216CB"/>
    <w:rPr>
      <w:rFonts w:asciiTheme="majorHAnsi" w:eastAsiaTheme="majorEastAsia" w:hAnsiTheme="majorHAnsi" w:cstheme="majorBidi"/>
      <w:color w:val="1F4D78" w:themeColor="accent1" w:themeShade="7F"/>
      <w:sz w:val="24"/>
      <w:szCs w:val="24"/>
      <w:lang w:eastAsia="en-GB"/>
    </w:rPr>
  </w:style>
  <w:style w:type="table" w:styleId="TableGrid">
    <w:name w:val="Table Grid"/>
    <w:basedOn w:val="TableNormal"/>
    <w:uiPriority w:val="39"/>
    <w:rsid w:val="00B52B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93FA0"/>
    <w:rPr>
      <w:sz w:val="16"/>
      <w:szCs w:val="16"/>
    </w:rPr>
  </w:style>
  <w:style w:type="paragraph" w:styleId="CommentText">
    <w:name w:val="annotation text"/>
    <w:basedOn w:val="Normal"/>
    <w:link w:val="CommentTextChar"/>
    <w:uiPriority w:val="99"/>
    <w:semiHidden/>
    <w:unhideWhenUsed/>
    <w:rsid w:val="00393FA0"/>
    <w:rPr>
      <w:sz w:val="20"/>
      <w:szCs w:val="20"/>
    </w:rPr>
  </w:style>
  <w:style w:type="character" w:customStyle="1" w:styleId="CommentTextChar">
    <w:name w:val="Comment Text Char"/>
    <w:basedOn w:val="DefaultParagraphFont"/>
    <w:link w:val="CommentText"/>
    <w:uiPriority w:val="99"/>
    <w:semiHidden/>
    <w:rsid w:val="00393FA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93FA0"/>
    <w:rPr>
      <w:b/>
      <w:bCs/>
    </w:rPr>
  </w:style>
  <w:style w:type="character" w:customStyle="1" w:styleId="CommentSubjectChar">
    <w:name w:val="Comment Subject Char"/>
    <w:basedOn w:val="CommentTextChar"/>
    <w:link w:val="CommentSubject"/>
    <w:uiPriority w:val="99"/>
    <w:semiHidden/>
    <w:rsid w:val="00393FA0"/>
    <w:rPr>
      <w:rFonts w:ascii="Times New Roman" w:eastAsia="Times New Roman" w:hAnsi="Times New Roman" w:cs="Times New Roman"/>
      <w:b/>
      <w:bCs/>
      <w:sz w:val="20"/>
      <w:szCs w:val="20"/>
      <w:lang w:eastAsia="en-GB"/>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016DB"/>
    <w:rPr>
      <w:rFonts w:ascii="Times New Roman" w:eastAsia="Times New Roman" w:hAnsi="Times New Roman" w:cs="Times New Roman"/>
      <w:sz w:val="24"/>
      <w:szCs w:val="24"/>
      <w:lang w:eastAsia="en-GB"/>
    </w:rPr>
  </w:style>
  <w:style w:type="paragraph" w:styleId="Title">
    <w:name w:val="Title"/>
    <w:basedOn w:val="Normal"/>
    <w:link w:val="TitleChar"/>
    <w:qFormat/>
    <w:rsid w:val="00EB25E8"/>
    <w:pPr>
      <w:jc w:val="center"/>
    </w:pPr>
    <w:rPr>
      <w:b/>
      <w:szCs w:val="20"/>
      <w:lang w:val="en-US" w:eastAsia="en-US"/>
    </w:rPr>
  </w:style>
  <w:style w:type="character" w:customStyle="1" w:styleId="TitleChar">
    <w:name w:val="Title Char"/>
    <w:basedOn w:val="DefaultParagraphFont"/>
    <w:link w:val="Title"/>
    <w:rsid w:val="00EB25E8"/>
    <w:rPr>
      <w:rFonts w:ascii="Times New Roman" w:eastAsia="Times New Roman" w:hAnsi="Times New Roman" w:cs="Times New Roman"/>
      <w:b/>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6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024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216C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AB"/>
    <w:rPr>
      <w:color w:val="808080"/>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34"/>
    <w:qFormat/>
    <w:rsid w:val="00035531"/>
    <w:pPr>
      <w:ind w:left="720"/>
      <w:contextualSpacing/>
    </w:pPr>
  </w:style>
  <w:style w:type="paragraph" w:customStyle="1" w:styleId="Default">
    <w:name w:val="Default"/>
    <w:rsid w:val="00876F6A"/>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B6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56"/>
    <w:rPr>
      <w:rFonts w:ascii="Segoe UI" w:eastAsia="Times New Roman" w:hAnsi="Segoe UI" w:cs="Segoe UI"/>
      <w:sz w:val="18"/>
      <w:szCs w:val="18"/>
      <w:lang w:eastAsia="en-GB"/>
    </w:rPr>
  </w:style>
  <w:style w:type="character" w:styleId="Hyperlink">
    <w:name w:val="Hyperlink"/>
    <w:basedOn w:val="DefaultParagraphFont"/>
    <w:uiPriority w:val="99"/>
    <w:unhideWhenUsed/>
    <w:rsid w:val="003A7A07"/>
    <w:rPr>
      <w:color w:val="0563C1" w:themeColor="hyperlink"/>
      <w:u w:val="single"/>
    </w:rPr>
  </w:style>
  <w:style w:type="character" w:customStyle="1" w:styleId="Heading1Char">
    <w:name w:val="Heading 1 Char"/>
    <w:basedOn w:val="DefaultParagraphFont"/>
    <w:link w:val="Heading1"/>
    <w:uiPriority w:val="9"/>
    <w:rsid w:val="00A0243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basedOn w:val="Normal"/>
    <w:link w:val="FootnoteTextChar"/>
    <w:uiPriority w:val="99"/>
    <w:semiHidden/>
    <w:unhideWhenUsed/>
    <w:rsid w:val="00DC41B2"/>
    <w:rPr>
      <w:sz w:val="20"/>
      <w:szCs w:val="20"/>
    </w:rPr>
  </w:style>
  <w:style w:type="character" w:customStyle="1" w:styleId="FootnoteTextChar">
    <w:name w:val="Footnote Text Char"/>
    <w:basedOn w:val="DefaultParagraphFont"/>
    <w:link w:val="FootnoteText"/>
    <w:uiPriority w:val="99"/>
    <w:semiHidden/>
    <w:rsid w:val="00DC41B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C41B2"/>
    <w:rPr>
      <w:vertAlign w:val="superscript"/>
    </w:rPr>
  </w:style>
  <w:style w:type="paragraph" w:styleId="NoSpacing">
    <w:name w:val="No Spacing"/>
    <w:link w:val="NoSpacingChar"/>
    <w:uiPriority w:val="1"/>
    <w:qFormat/>
    <w:rsid w:val="00F50A2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0A25"/>
    <w:rPr>
      <w:rFonts w:ascii="Calibri" w:eastAsia="Calibri" w:hAnsi="Calibri" w:cs="Times New Roman"/>
    </w:rPr>
  </w:style>
  <w:style w:type="paragraph" w:styleId="Header">
    <w:name w:val="header"/>
    <w:basedOn w:val="Normal"/>
    <w:link w:val="HeaderChar"/>
    <w:uiPriority w:val="99"/>
    <w:unhideWhenUsed/>
    <w:rsid w:val="00A5537B"/>
    <w:pPr>
      <w:tabs>
        <w:tab w:val="center" w:pos="4513"/>
        <w:tab w:val="right" w:pos="9026"/>
      </w:tabs>
    </w:pPr>
  </w:style>
  <w:style w:type="character" w:customStyle="1" w:styleId="HeaderChar">
    <w:name w:val="Header Char"/>
    <w:basedOn w:val="DefaultParagraphFont"/>
    <w:link w:val="Header"/>
    <w:uiPriority w:val="99"/>
    <w:rsid w:val="00A553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5537B"/>
    <w:pPr>
      <w:tabs>
        <w:tab w:val="center" w:pos="4513"/>
        <w:tab w:val="right" w:pos="9026"/>
      </w:tabs>
    </w:pPr>
  </w:style>
  <w:style w:type="character" w:customStyle="1" w:styleId="FooterChar">
    <w:name w:val="Footer Char"/>
    <w:basedOn w:val="DefaultParagraphFont"/>
    <w:link w:val="Footer"/>
    <w:uiPriority w:val="99"/>
    <w:rsid w:val="00A5537B"/>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730982"/>
    <w:pPr>
      <w:widowControl w:val="0"/>
      <w:autoSpaceDE w:val="0"/>
      <w:autoSpaceDN w:val="0"/>
    </w:pPr>
    <w:rPr>
      <w:sz w:val="19"/>
      <w:szCs w:val="19"/>
      <w:lang w:eastAsia="en-US"/>
    </w:rPr>
  </w:style>
  <w:style w:type="character" w:customStyle="1" w:styleId="BodyTextChar">
    <w:name w:val="Body Text Char"/>
    <w:basedOn w:val="DefaultParagraphFont"/>
    <w:link w:val="BodyText"/>
    <w:uiPriority w:val="1"/>
    <w:rsid w:val="00730982"/>
    <w:rPr>
      <w:rFonts w:ascii="Times New Roman" w:eastAsia="Times New Roman" w:hAnsi="Times New Roman" w:cs="Times New Roman"/>
      <w:sz w:val="19"/>
      <w:szCs w:val="19"/>
    </w:rPr>
  </w:style>
  <w:style w:type="paragraph" w:customStyle="1" w:styleId="TableParagraph">
    <w:name w:val="Table Paragraph"/>
    <w:basedOn w:val="Normal"/>
    <w:uiPriority w:val="1"/>
    <w:qFormat/>
    <w:rsid w:val="00730982"/>
    <w:pPr>
      <w:widowControl w:val="0"/>
      <w:autoSpaceDE w:val="0"/>
      <w:autoSpaceDN w:val="0"/>
    </w:pPr>
    <w:rPr>
      <w:sz w:val="22"/>
      <w:szCs w:val="22"/>
      <w:lang w:eastAsia="en-US"/>
    </w:rPr>
  </w:style>
  <w:style w:type="character" w:customStyle="1" w:styleId="Heading3Char">
    <w:name w:val="Heading 3 Char"/>
    <w:basedOn w:val="DefaultParagraphFont"/>
    <w:link w:val="Heading3"/>
    <w:uiPriority w:val="9"/>
    <w:semiHidden/>
    <w:rsid w:val="000216CB"/>
    <w:rPr>
      <w:rFonts w:asciiTheme="majorHAnsi" w:eastAsiaTheme="majorEastAsia" w:hAnsiTheme="majorHAnsi" w:cstheme="majorBidi"/>
      <w:color w:val="1F4D78" w:themeColor="accent1" w:themeShade="7F"/>
      <w:sz w:val="24"/>
      <w:szCs w:val="24"/>
      <w:lang w:eastAsia="en-GB"/>
    </w:rPr>
  </w:style>
  <w:style w:type="table" w:styleId="TableGrid">
    <w:name w:val="Table Grid"/>
    <w:basedOn w:val="TableNormal"/>
    <w:uiPriority w:val="39"/>
    <w:rsid w:val="00B52B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93FA0"/>
    <w:rPr>
      <w:sz w:val="16"/>
      <w:szCs w:val="16"/>
    </w:rPr>
  </w:style>
  <w:style w:type="paragraph" w:styleId="CommentText">
    <w:name w:val="annotation text"/>
    <w:basedOn w:val="Normal"/>
    <w:link w:val="CommentTextChar"/>
    <w:uiPriority w:val="99"/>
    <w:semiHidden/>
    <w:unhideWhenUsed/>
    <w:rsid w:val="00393FA0"/>
    <w:rPr>
      <w:sz w:val="20"/>
      <w:szCs w:val="20"/>
    </w:rPr>
  </w:style>
  <w:style w:type="character" w:customStyle="1" w:styleId="CommentTextChar">
    <w:name w:val="Comment Text Char"/>
    <w:basedOn w:val="DefaultParagraphFont"/>
    <w:link w:val="CommentText"/>
    <w:uiPriority w:val="99"/>
    <w:semiHidden/>
    <w:rsid w:val="00393FA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93FA0"/>
    <w:rPr>
      <w:b/>
      <w:bCs/>
    </w:rPr>
  </w:style>
  <w:style w:type="character" w:customStyle="1" w:styleId="CommentSubjectChar">
    <w:name w:val="Comment Subject Char"/>
    <w:basedOn w:val="CommentTextChar"/>
    <w:link w:val="CommentSubject"/>
    <w:uiPriority w:val="99"/>
    <w:semiHidden/>
    <w:rsid w:val="00393FA0"/>
    <w:rPr>
      <w:rFonts w:ascii="Times New Roman" w:eastAsia="Times New Roman" w:hAnsi="Times New Roman" w:cs="Times New Roman"/>
      <w:b/>
      <w:bCs/>
      <w:sz w:val="20"/>
      <w:szCs w:val="20"/>
      <w:lang w:eastAsia="en-GB"/>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016DB"/>
    <w:rPr>
      <w:rFonts w:ascii="Times New Roman" w:eastAsia="Times New Roman" w:hAnsi="Times New Roman" w:cs="Times New Roman"/>
      <w:sz w:val="24"/>
      <w:szCs w:val="24"/>
      <w:lang w:eastAsia="en-GB"/>
    </w:rPr>
  </w:style>
  <w:style w:type="paragraph" w:styleId="Title">
    <w:name w:val="Title"/>
    <w:basedOn w:val="Normal"/>
    <w:link w:val="TitleChar"/>
    <w:qFormat/>
    <w:rsid w:val="00EB25E8"/>
    <w:pPr>
      <w:jc w:val="center"/>
    </w:pPr>
    <w:rPr>
      <w:b/>
      <w:szCs w:val="20"/>
      <w:lang w:val="en-US" w:eastAsia="en-US"/>
    </w:rPr>
  </w:style>
  <w:style w:type="character" w:customStyle="1" w:styleId="TitleChar">
    <w:name w:val="Title Char"/>
    <w:basedOn w:val="DefaultParagraphFont"/>
    <w:link w:val="Title"/>
    <w:rsid w:val="00EB25E8"/>
    <w:rPr>
      <w:rFonts w:ascii="Times New Roman" w:eastAsia="Times New Roman" w:hAnsi="Times New Roman" w:cs="Times New Roman"/>
      <w:b/>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572971">
      <w:bodyDiv w:val="1"/>
      <w:marLeft w:val="0"/>
      <w:marRight w:val="0"/>
      <w:marTop w:val="0"/>
      <w:marBottom w:val="0"/>
      <w:divBdr>
        <w:top w:val="none" w:sz="0" w:space="0" w:color="auto"/>
        <w:left w:val="none" w:sz="0" w:space="0" w:color="auto"/>
        <w:bottom w:val="none" w:sz="0" w:space="0" w:color="auto"/>
        <w:right w:val="none" w:sz="0" w:space="0" w:color="auto"/>
      </w:divBdr>
    </w:div>
    <w:div w:id="709840573">
      <w:bodyDiv w:val="1"/>
      <w:marLeft w:val="0"/>
      <w:marRight w:val="0"/>
      <w:marTop w:val="0"/>
      <w:marBottom w:val="0"/>
      <w:divBdr>
        <w:top w:val="none" w:sz="0" w:space="0" w:color="auto"/>
        <w:left w:val="none" w:sz="0" w:space="0" w:color="auto"/>
        <w:bottom w:val="none" w:sz="0" w:space="0" w:color="auto"/>
        <w:right w:val="none" w:sz="0" w:space="0" w:color="auto"/>
      </w:divBdr>
    </w:div>
    <w:div w:id="785007495">
      <w:bodyDiv w:val="1"/>
      <w:marLeft w:val="0"/>
      <w:marRight w:val="0"/>
      <w:marTop w:val="0"/>
      <w:marBottom w:val="0"/>
      <w:divBdr>
        <w:top w:val="none" w:sz="0" w:space="0" w:color="auto"/>
        <w:left w:val="none" w:sz="0" w:space="0" w:color="auto"/>
        <w:bottom w:val="none" w:sz="0" w:space="0" w:color="auto"/>
        <w:right w:val="none" w:sz="0" w:space="0" w:color="auto"/>
      </w:divBdr>
    </w:div>
    <w:div w:id="1179199900">
      <w:bodyDiv w:val="1"/>
      <w:marLeft w:val="0"/>
      <w:marRight w:val="0"/>
      <w:marTop w:val="0"/>
      <w:marBottom w:val="0"/>
      <w:divBdr>
        <w:top w:val="none" w:sz="0" w:space="0" w:color="auto"/>
        <w:left w:val="none" w:sz="0" w:space="0" w:color="auto"/>
        <w:bottom w:val="none" w:sz="0" w:space="0" w:color="auto"/>
        <w:right w:val="none" w:sz="0" w:space="0" w:color="auto"/>
      </w:divBdr>
    </w:div>
    <w:div w:id="126873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3C8D60830114708A8B93874658A5A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2024-07-25T13:12:49Z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rregullat mbi masat e veçanta të kontrollit për çrrënjosjen dhe parandalimin e përhapjes së kancerit të patates "SYNCHYTRIUM ENDOBIOTICUM" (SCHILBERSKY) PERCIVAL</Titulli>
    <Modifikuesi xmlns="0e656187-b300-4fb0-8bf4-3a50f872073c">nevila.samarxhi</Modifikuesi>
    <Nr_x002e__x0020_prot_x0020_QBZ xmlns="0e656187-b300-4fb0-8bf4-3a50f872073c">1322/2</Nr_x002e__x0020_prot_x0020_QBZ>
    <Data_x0020_e_x0020_Modifikimit xmlns="0e656187-b300-4fb0-8bf4-3a50f872073c">2024-07-26T10:20:30Z</Data_x0020_e_x0020_Modifikimit>
    <Dekretuar xmlns="0e656187-b300-4fb0-8bf4-3a50f872073c">false</Dekretuar>
    <Data xmlns="0e656187-b300-4fb0-8bf4-3a50f872073c">2024-07-18T00:00:00Z</Data>
    <Nr_x002e__x0020_protokolli_x0020_i_x0020_aktit xmlns="0e656187-b300-4fb0-8bf4-3a50f872073c">4924/1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3C8D60830114708A8B93874658A5A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8D615-4DC8-4907-BE91-4BBFCFF0C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F34A748-263A-4A6C-85F9-0E137747D0B5}">
  <ds:schemaRefs>
    <ds:schemaRef ds:uri="http://schemas.microsoft.com/sharepoint/v3/contenttype/forms"/>
  </ds:schemaRefs>
</ds:datastoreItem>
</file>

<file path=customXml/itemProps3.xml><?xml version="1.0" encoding="utf-8"?>
<ds:datastoreItem xmlns:ds="http://schemas.openxmlformats.org/officeDocument/2006/customXml" ds:itemID="{F5D221E4-494F-4CA9-BBBB-8C69C1AEBBBE}">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5003725-CE59-46A0-A4E5-3E7C3D29E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8D19290-138D-44EF-8066-0998DAD486D7}">
  <ds:schemaRefs>
    <ds:schemaRef ds:uri="http://schemas.microsoft.com/sharepoint/v3/contenttype/forms"/>
  </ds:schemaRefs>
</ds:datastoreItem>
</file>

<file path=customXml/itemProps6.xml><?xml version="1.0" encoding="utf-8"?>
<ds:datastoreItem xmlns:ds="http://schemas.openxmlformats.org/officeDocument/2006/customXml" ds:itemID="{8B9F7F58-02F3-4579-A9F1-67EFE8B67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4554</Words>
  <Characters>25960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Për rregullat mbi masat e veçanta të kontrollit për çrrënjosjen dhe parandalimin e përhapjes së kancerit të patates "SYNCHYTRIUM ENDOBIOTICUM" (SCHILBERSKY) PERCIVAL</vt:lpstr>
    </vt:vector>
  </TitlesOfParts>
  <Company/>
  <LinksUpToDate>false</LinksUpToDate>
  <CharactersWithSpaces>30454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mbi masat e veçanta të kontrollit për çrrënjosjen dhe parandalimin e përhapjes së kancerit të patates "SYNCHYTRIUM ENDOBIOTICUM" (SCHILBERSKY) PERCIVAL</dc:title>
  <dc:creator>Imir Alla</dc:creator>
  <cp:lastModifiedBy>Marsela Xhepa</cp:lastModifiedBy>
  <cp:revision>11</cp:revision>
  <cp:lastPrinted>2022-10-14T12:11:00Z</cp:lastPrinted>
  <dcterms:created xsi:type="dcterms:W3CDTF">2025-03-27T14:17:00Z</dcterms:created>
  <dcterms:modified xsi:type="dcterms:W3CDTF">2025-03-27T14:25:00Z</dcterms:modified>
</cp:coreProperties>
</file>