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B56D9B" w14:textId="5F51B2AF" w:rsidR="007402C1" w:rsidRPr="00180F73" w:rsidRDefault="007402C1" w:rsidP="00785787">
      <w:pPr>
        <w:ind w:firstLine="284"/>
        <w:jc w:val="center"/>
        <w:rPr>
          <w:rFonts w:ascii="Garamond" w:hAnsi="Garamond"/>
          <w:b/>
        </w:rPr>
      </w:pPr>
      <w:r w:rsidRPr="00180F73">
        <w:rPr>
          <w:rFonts w:ascii="Garamond" w:hAnsi="Garamond"/>
          <w:b/>
        </w:rPr>
        <w:t>UDHËZIM</w:t>
      </w:r>
    </w:p>
    <w:p w14:paraId="65DC1B04" w14:textId="58AAA2B0" w:rsidR="007402C1" w:rsidRPr="00180F73" w:rsidRDefault="007402C1" w:rsidP="00785787">
      <w:pPr>
        <w:ind w:firstLine="284"/>
        <w:jc w:val="center"/>
        <w:rPr>
          <w:rFonts w:ascii="Garamond" w:hAnsi="Garamond"/>
          <w:b/>
        </w:rPr>
      </w:pPr>
      <w:r w:rsidRPr="00180F73">
        <w:rPr>
          <w:rFonts w:ascii="Garamond" w:hAnsi="Garamond"/>
          <w:b/>
        </w:rPr>
        <w:t>Nr. 24, datë 20.9.2024</w:t>
      </w:r>
    </w:p>
    <w:p w14:paraId="480546A3" w14:textId="77777777" w:rsidR="007402C1" w:rsidRPr="00180F73" w:rsidRDefault="007402C1" w:rsidP="00785787">
      <w:pPr>
        <w:ind w:firstLine="284"/>
        <w:jc w:val="center"/>
        <w:rPr>
          <w:rFonts w:ascii="Garamond" w:hAnsi="Garamond"/>
          <w:b/>
        </w:rPr>
      </w:pPr>
    </w:p>
    <w:p w14:paraId="2CCFF66C" w14:textId="46EE3C22" w:rsidR="007402C1" w:rsidRPr="00180F73" w:rsidRDefault="007402C1" w:rsidP="00785787">
      <w:pPr>
        <w:ind w:firstLine="284"/>
        <w:jc w:val="center"/>
        <w:rPr>
          <w:rFonts w:ascii="Garamond" w:hAnsi="Garamond"/>
          <w:b/>
        </w:rPr>
      </w:pPr>
      <w:r w:rsidRPr="00180F73">
        <w:rPr>
          <w:rFonts w:ascii="Garamond" w:hAnsi="Garamond"/>
          <w:b/>
        </w:rPr>
        <w:t xml:space="preserve">PËR RREGULLAT PËR MASAT E VEÇANTA TË KONTROLLIT PËR ÇRRËNJOSJEN DHE </w:t>
      </w:r>
      <w:r w:rsidR="00FA0C71">
        <w:rPr>
          <w:rFonts w:ascii="Garamond" w:hAnsi="Garamond"/>
          <w:b/>
        </w:rPr>
        <w:t xml:space="preserve">PËR </w:t>
      </w:r>
      <w:r w:rsidRPr="00180F73">
        <w:rPr>
          <w:rFonts w:ascii="Garamond" w:hAnsi="Garamond"/>
          <w:b/>
        </w:rPr>
        <w:t xml:space="preserve">PARANDALIMIN E PËRHAPJES BRENDA VENDIT TË KALBËZIMIT KAF </w:t>
      </w:r>
      <w:proofErr w:type="spellStart"/>
      <w:r w:rsidRPr="007C5E8B">
        <w:rPr>
          <w:rFonts w:ascii="Garamond" w:hAnsi="Garamond"/>
          <w:b/>
          <w:i/>
        </w:rPr>
        <w:t>RALSTONIA</w:t>
      </w:r>
      <w:proofErr w:type="spellEnd"/>
      <w:r w:rsidRPr="007C5E8B">
        <w:rPr>
          <w:rFonts w:ascii="Garamond" w:hAnsi="Garamond"/>
          <w:b/>
          <w:i/>
        </w:rPr>
        <w:t xml:space="preserve"> </w:t>
      </w:r>
      <w:proofErr w:type="spellStart"/>
      <w:r w:rsidRPr="007C5E8B">
        <w:rPr>
          <w:rFonts w:ascii="Garamond" w:hAnsi="Garamond"/>
          <w:b/>
          <w:i/>
        </w:rPr>
        <w:t>SOLANACEARUM</w:t>
      </w:r>
      <w:proofErr w:type="spellEnd"/>
      <w:r w:rsidRPr="00180F73">
        <w:rPr>
          <w:rFonts w:ascii="Garamond" w:hAnsi="Garamond"/>
          <w:b/>
        </w:rPr>
        <w:t xml:space="preserve"> (SMITH 1896) YABUUCHI ET AL. 1996 EMEND SAFNI ET AL. 2014 </w:t>
      </w:r>
      <w:r w:rsidRPr="00721658">
        <w:rPr>
          <w:rFonts w:ascii="Garamond" w:hAnsi="Garamond"/>
          <w:b/>
          <w:vertAlign w:val="superscript"/>
        </w:rPr>
        <w:footnoteReference w:id="2"/>
      </w:r>
    </w:p>
    <w:p w14:paraId="412D4AD3" w14:textId="77777777" w:rsidR="007402C1" w:rsidRPr="00180F73" w:rsidRDefault="007402C1" w:rsidP="007402C1">
      <w:pPr>
        <w:ind w:firstLine="284"/>
        <w:jc w:val="both"/>
        <w:rPr>
          <w:rFonts w:ascii="Garamond" w:hAnsi="Garamond"/>
        </w:rPr>
      </w:pPr>
    </w:p>
    <w:p w14:paraId="019C6656" w14:textId="1C2ED3FC" w:rsidR="007402C1" w:rsidRPr="00180F73" w:rsidRDefault="007402C1" w:rsidP="007402C1">
      <w:pPr>
        <w:ind w:firstLine="284"/>
        <w:jc w:val="both"/>
        <w:rPr>
          <w:rFonts w:ascii="Garamond" w:hAnsi="Garamond"/>
        </w:rPr>
      </w:pPr>
      <w:r w:rsidRPr="00180F73">
        <w:rPr>
          <w:rFonts w:ascii="Garamond" w:hAnsi="Garamond"/>
        </w:rPr>
        <w:t>Në zbatim të pikës 4, të nenit 102, të Kushtetutës të Republikës së Shqipërisë</w:t>
      </w:r>
      <w:r w:rsidR="00FA0C71">
        <w:rPr>
          <w:rFonts w:ascii="Garamond" w:hAnsi="Garamond"/>
        </w:rPr>
        <w:t>,</w:t>
      </w:r>
      <w:r w:rsidRPr="00180F73">
        <w:rPr>
          <w:rFonts w:ascii="Garamond" w:hAnsi="Garamond"/>
        </w:rPr>
        <w:t xml:space="preserve"> dhe mbështetur në pikën 3, të nenit 8, të </w:t>
      </w:r>
      <w:r w:rsidR="00FA0C71" w:rsidRPr="00180F73">
        <w:rPr>
          <w:rFonts w:ascii="Garamond" w:hAnsi="Garamond"/>
        </w:rPr>
        <w:t xml:space="preserve">ligjit nr. </w:t>
      </w:r>
      <w:r w:rsidRPr="00180F73">
        <w:rPr>
          <w:rFonts w:ascii="Garamond" w:hAnsi="Garamond"/>
        </w:rPr>
        <w:t>105/2016</w:t>
      </w:r>
      <w:r w:rsidR="00FA0C71">
        <w:rPr>
          <w:rFonts w:ascii="Garamond" w:hAnsi="Garamond"/>
        </w:rPr>
        <w:t>,</w:t>
      </w:r>
      <w:r w:rsidRPr="00180F73">
        <w:rPr>
          <w:rFonts w:ascii="Garamond" w:hAnsi="Garamond"/>
        </w:rPr>
        <w:t xml:space="preserve"> “Për mbrojtjen e bimëve”, të ndryshuar, </w:t>
      </w:r>
    </w:p>
    <w:p w14:paraId="680E9102" w14:textId="77777777" w:rsidR="007402C1" w:rsidRPr="00180F73" w:rsidRDefault="007402C1" w:rsidP="007402C1">
      <w:pPr>
        <w:ind w:firstLine="284"/>
        <w:jc w:val="both"/>
        <w:rPr>
          <w:rFonts w:ascii="Garamond" w:eastAsiaTheme="minorHAnsi" w:hAnsi="Garamond"/>
        </w:rPr>
      </w:pPr>
    </w:p>
    <w:p w14:paraId="0BE0FB91" w14:textId="385AF92B"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UDHËZOJ:</w:t>
      </w:r>
    </w:p>
    <w:p w14:paraId="511F9A14" w14:textId="77777777" w:rsidR="007402C1" w:rsidRPr="00180F73" w:rsidRDefault="007402C1" w:rsidP="00785787">
      <w:pPr>
        <w:ind w:firstLine="284"/>
        <w:jc w:val="center"/>
        <w:rPr>
          <w:rFonts w:ascii="Garamond" w:eastAsiaTheme="minorHAnsi" w:hAnsi="Garamond"/>
        </w:rPr>
      </w:pPr>
    </w:p>
    <w:p w14:paraId="4466D824"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KREU I</w:t>
      </w:r>
    </w:p>
    <w:p w14:paraId="387EC5FB"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DISPOZITA TË PËRGJITHSHME</w:t>
      </w:r>
    </w:p>
    <w:p w14:paraId="727DED0C" w14:textId="77777777" w:rsidR="007402C1" w:rsidRPr="00180F73" w:rsidRDefault="007402C1" w:rsidP="00785787">
      <w:pPr>
        <w:ind w:firstLine="284"/>
        <w:jc w:val="center"/>
        <w:rPr>
          <w:rFonts w:ascii="Garamond" w:eastAsiaTheme="minorHAnsi" w:hAnsi="Garamond"/>
        </w:rPr>
      </w:pPr>
    </w:p>
    <w:p w14:paraId="63FBCE68"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Neni 1</w:t>
      </w:r>
    </w:p>
    <w:p w14:paraId="4E2A5F18" w14:textId="1515C077" w:rsidR="007402C1" w:rsidRPr="00180F73" w:rsidRDefault="007402C1" w:rsidP="00785787">
      <w:pPr>
        <w:ind w:firstLine="284"/>
        <w:jc w:val="center"/>
        <w:rPr>
          <w:rFonts w:ascii="Garamond" w:eastAsiaTheme="minorHAnsi" w:hAnsi="Garamond"/>
          <w:b/>
        </w:rPr>
      </w:pPr>
      <w:r w:rsidRPr="00180F73">
        <w:rPr>
          <w:rFonts w:ascii="Garamond" w:eastAsiaTheme="minorHAnsi" w:hAnsi="Garamond"/>
          <w:b/>
        </w:rPr>
        <w:t>Qëllimi</w:t>
      </w:r>
    </w:p>
    <w:p w14:paraId="4A8F0A76" w14:textId="77777777" w:rsidR="007402C1" w:rsidRPr="00180F73" w:rsidRDefault="007402C1" w:rsidP="007402C1">
      <w:pPr>
        <w:ind w:firstLine="284"/>
        <w:jc w:val="both"/>
        <w:rPr>
          <w:rFonts w:ascii="Garamond" w:eastAsiaTheme="minorHAnsi" w:hAnsi="Garamond"/>
        </w:rPr>
      </w:pPr>
    </w:p>
    <w:p w14:paraId="6C913C89" w14:textId="731F93D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Qëllimi i këtij udhëzimi është të përcaktoj</w:t>
      </w:r>
      <w:r w:rsidR="00FA0C71">
        <w:rPr>
          <w:rFonts w:ascii="Garamond" w:eastAsiaTheme="minorHAnsi" w:hAnsi="Garamond"/>
        </w:rPr>
        <w:t>ë</w:t>
      </w:r>
      <w:r w:rsidRPr="00180F73">
        <w:rPr>
          <w:rFonts w:ascii="Garamond" w:eastAsiaTheme="minorHAnsi" w:hAnsi="Garamond"/>
        </w:rPr>
        <w:t xml:space="preserve"> masat për të çrrënjosur dhe </w:t>
      </w:r>
      <w:r w:rsidR="00FA0C71">
        <w:rPr>
          <w:rFonts w:ascii="Garamond" w:eastAsiaTheme="minorHAnsi" w:hAnsi="Garamond"/>
        </w:rPr>
        <w:t xml:space="preserve">për </w:t>
      </w:r>
      <w:r w:rsidR="00EC4F9D">
        <w:rPr>
          <w:rFonts w:ascii="Garamond" w:eastAsiaTheme="minorHAnsi" w:hAnsi="Garamond"/>
        </w:rPr>
        <w:t xml:space="preserve">të </w:t>
      </w:r>
      <w:r w:rsidRPr="00180F73">
        <w:rPr>
          <w:rFonts w:ascii="Garamond" w:eastAsiaTheme="minorHAnsi" w:hAnsi="Garamond"/>
        </w:rPr>
        <w:t xml:space="preserve">parandaluar përhapjen e </w:t>
      </w:r>
      <w:bookmarkStart w:id="0" w:name="_GoBack"/>
      <w:r w:rsidRPr="00282B23">
        <w:rPr>
          <w:rFonts w:ascii="Garamond" w:eastAsiaTheme="minorHAnsi" w:hAnsi="Garamond"/>
          <w:i/>
          <w:iCs/>
        </w:rPr>
        <w:t>Ralstonia</w:t>
      </w:r>
      <w:bookmarkEnd w:id="0"/>
      <w:r w:rsidRPr="00282B23">
        <w:rPr>
          <w:rFonts w:ascii="Garamond" w:eastAsiaTheme="minorHAnsi" w:hAnsi="Garamond"/>
          <w:i/>
          <w:iCs/>
        </w:rPr>
        <w:t xml:space="preserve"> solanacearum</w:t>
      </w:r>
      <w:r w:rsidRPr="00180F73">
        <w:rPr>
          <w:rFonts w:ascii="Garamond" w:eastAsiaTheme="minorHAnsi" w:hAnsi="Garamond"/>
        </w:rPr>
        <w:t xml:space="preserve"> (Smith 1896) Yabuuchi </w:t>
      </w:r>
      <w:r w:rsidRPr="00282B23">
        <w:rPr>
          <w:rFonts w:ascii="Garamond" w:eastAsiaTheme="minorHAnsi" w:hAnsi="Garamond"/>
          <w:i/>
          <w:iCs/>
        </w:rPr>
        <w:t>et al.</w:t>
      </w:r>
      <w:r w:rsidRPr="00180F73">
        <w:rPr>
          <w:rFonts w:ascii="Garamond" w:eastAsiaTheme="minorHAnsi" w:hAnsi="Garamond"/>
        </w:rPr>
        <w:t xml:space="preserve"> 1996 emend. Safni </w:t>
      </w:r>
      <w:r w:rsidRPr="00282B23">
        <w:rPr>
          <w:rFonts w:ascii="Garamond" w:eastAsiaTheme="minorHAnsi" w:hAnsi="Garamond"/>
          <w:i/>
          <w:iCs/>
        </w:rPr>
        <w:t>et al.</w:t>
      </w:r>
      <w:r w:rsidRPr="00180F73">
        <w:rPr>
          <w:rFonts w:ascii="Garamond" w:eastAsiaTheme="minorHAnsi" w:hAnsi="Garamond"/>
        </w:rPr>
        <w:t xml:space="preserve"> 2014, brenda territorit të Republikës së Shqipërisë, si shkaktari i kalbëzimit kaf t</w:t>
      </w:r>
      <w:r w:rsidRPr="00180F73">
        <w:rPr>
          <w:rFonts w:ascii="Garamond" w:hAnsi="Garamond"/>
        </w:rPr>
        <w:t>ë</w:t>
      </w:r>
      <w:r w:rsidRPr="00180F73">
        <w:rPr>
          <w:rFonts w:ascii="Garamond" w:eastAsiaTheme="minorHAnsi" w:hAnsi="Garamond"/>
        </w:rPr>
        <w:t xml:space="preserve"> patates.</w:t>
      </w:r>
    </w:p>
    <w:p w14:paraId="1ACC54A6" w14:textId="77777777" w:rsidR="007402C1" w:rsidRPr="00180F73" w:rsidRDefault="007402C1" w:rsidP="007402C1">
      <w:pPr>
        <w:ind w:firstLine="284"/>
        <w:jc w:val="both"/>
        <w:rPr>
          <w:rFonts w:ascii="Garamond" w:eastAsiaTheme="minorHAnsi" w:hAnsi="Garamond"/>
        </w:rPr>
      </w:pPr>
    </w:p>
    <w:p w14:paraId="2BD827F7" w14:textId="77777777" w:rsidR="007402C1" w:rsidRPr="00180F73" w:rsidRDefault="007402C1" w:rsidP="00785787">
      <w:pPr>
        <w:ind w:firstLine="284"/>
        <w:jc w:val="center"/>
        <w:rPr>
          <w:rFonts w:ascii="Garamond" w:eastAsiaTheme="minorHAnsi" w:hAnsi="Garamond"/>
        </w:rPr>
      </w:pPr>
      <w:r w:rsidRPr="00180F73">
        <w:rPr>
          <w:rFonts w:ascii="Garamond" w:eastAsiaTheme="minorHAnsi" w:hAnsi="Garamond"/>
        </w:rPr>
        <w:t>Neni 2</w:t>
      </w:r>
    </w:p>
    <w:p w14:paraId="1E820965" w14:textId="77777777" w:rsidR="007402C1" w:rsidRPr="00180F73" w:rsidRDefault="007402C1" w:rsidP="00377147">
      <w:pPr>
        <w:ind w:firstLine="284"/>
        <w:jc w:val="center"/>
        <w:rPr>
          <w:rFonts w:ascii="Garamond" w:eastAsiaTheme="minorHAnsi" w:hAnsi="Garamond"/>
          <w:b/>
        </w:rPr>
      </w:pPr>
      <w:r w:rsidRPr="00180F73">
        <w:rPr>
          <w:rFonts w:ascii="Garamond" w:eastAsiaTheme="minorHAnsi" w:hAnsi="Garamond"/>
          <w:b/>
        </w:rPr>
        <w:t>Përkufizimet</w:t>
      </w:r>
    </w:p>
    <w:p w14:paraId="7DAF3949" w14:textId="77777777" w:rsidR="007402C1" w:rsidRPr="00180F73" w:rsidRDefault="007402C1" w:rsidP="007402C1">
      <w:pPr>
        <w:ind w:firstLine="284"/>
        <w:jc w:val="both"/>
        <w:rPr>
          <w:rFonts w:ascii="Garamond" w:eastAsiaTheme="minorHAnsi" w:hAnsi="Garamond"/>
        </w:rPr>
      </w:pPr>
    </w:p>
    <w:p w14:paraId="46359E4E" w14:textId="1F1020D4"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Për qëllim të këtij udhëzimi, termat e përcaktuar në nenin 2, të </w:t>
      </w:r>
      <w:r w:rsidR="003E2F67" w:rsidRPr="00180F73">
        <w:rPr>
          <w:rFonts w:ascii="Garamond" w:eastAsiaTheme="minorHAnsi" w:hAnsi="Garamond"/>
        </w:rPr>
        <w:t>ligjit n</w:t>
      </w:r>
      <w:r w:rsidRPr="00180F73">
        <w:rPr>
          <w:rFonts w:ascii="Garamond" w:eastAsiaTheme="minorHAnsi" w:hAnsi="Garamond"/>
        </w:rPr>
        <w:t xml:space="preserve">r. 105/2016, “Për mbrojtjen e bimëve”, të ndryshuar, dhe në nenin 2, të </w:t>
      </w:r>
      <w:r w:rsidR="00C14BC7" w:rsidRPr="00180F73">
        <w:rPr>
          <w:rFonts w:ascii="Garamond" w:eastAsiaTheme="minorHAnsi" w:hAnsi="Garamond"/>
        </w:rPr>
        <w:t>urdhrit nr.</w:t>
      </w:r>
      <w:r w:rsidRPr="00180F73">
        <w:rPr>
          <w:rFonts w:ascii="Garamond" w:eastAsiaTheme="minorHAnsi" w:hAnsi="Garamond"/>
        </w:rPr>
        <w:t xml:space="preserve"> 113, datë 15.3.2022, “Për miratimin e rregullores </w:t>
      </w:r>
      <w:r w:rsidR="00C14BC7">
        <w:rPr>
          <w:rFonts w:ascii="Garamond" w:eastAsiaTheme="minorHAnsi" w:hAnsi="Garamond"/>
        </w:rPr>
        <w:t>‘</w:t>
      </w:r>
      <w:r w:rsidRPr="00180F73">
        <w:rPr>
          <w:rFonts w:ascii="Garamond" w:eastAsiaTheme="minorHAnsi" w:hAnsi="Garamond"/>
        </w:rPr>
        <w:t>Për masat mbrojtëse kundër dëmtuesve të bimëve</w:t>
      </w:r>
      <w:r w:rsidR="00C14BC7">
        <w:rPr>
          <w:rFonts w:ascii="Garamond" w:eastAsiaTheme="minorHAnsi" w:hAnsi="Garamond"/>
        </w:rPr>
        <w:t>’</w:t>
      </w:r>
      <w:r w:rsidRPr="00180F73">
        <w:rPr>
          <w:rFonts w:ascii="Garamond" w:eastAsiaTheme="minorHAnsi" w:hAnsi="Garamond"/>
        </w:rPr>
        <w:t xml:space="preserve">”, të ndryshuar, kanë të njëjtin kuptim. </w:t>
      </w:r>
    </w:p>
    <w:p w14:paraId="1206E8AF"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Ndërsa termat e mëposhtëm kanë këto kuptime:</w:t>
      </w:r>
    </w:p>
    <w:p w14:paraId="2E194CF4"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1. “Dëmtues i specifikuar” është kalbëzimi kaf </w:t>
      </w:r>
      <w:r w:rsidRPr="006557B0">
        <w:rPr>
          <w:rFonts w:ascii="Garamond" w:eastAsiaTheme="minorHAnsi" w:hAnsi="Garamond"/>
          <w:i/>
          <w:iCs/>
        </w:rPr>
        <w:t>Ralstonia solanacearum</w:t>
      </w:r>
      <w:r w:rsidRPr="00180F73">
        <w:rPr>
          <w:rFonts w:ascii="Garamond" w:eastAsiaTheme="minorHAnsi" w:hAnsi="Garamond"/>
        </w:rPr>
        <w:t xml:space="preserve"> (Smith 1896) Yabuuchi </w:t>
      </w:r>
      <w:r w:rsidRPr="006557B0">
        <w:rPr>
          <w:rFonts w:ascii="Garamond" w:eastAsiaTheme="minorHAnsi" w:hAnsi="Garamond"/>
          <w:i/>
          <w:iCs/>
        </w:rPr>
        <w:t>et al.</w:t>
      </w:r>
      <w:r w:rsidRPr="00180F73">
        <w:rPr>
          <w:rFonts w:ascii="Garamond" w:eastAsiaTheme="minorHAnsi" w:hAnsi="Garamond"/>
        </w:rPr>
        <w:t xml:space="preserve"> 1996 emend. Safni </w:t>
      </w:r>
      <w:r w:rsidRPr="006557B0">
        <w:rPr>
          <w:rFonts w:ascii="Garamond" w:eastAsiaTheme="minorHAnsi" w:hAnsi="Garamond"/>
          <w:i/>
          <w:iCs/>
        </w:rPr>
        <w:t>et al.</w:t>
      </w:r>
      <w:r w:rsidRPr="00180F73">
        <w:rPr>
          <w:rFonts w:ascii="Garamond" w:eastAsiaTheme="minorHAnsi" w:hAnsi="Garamond"/>
        </w:rPr>
        <w:t xml:space="preserve"> 2014;</w:t>
      </w:r>
    </w:p>
    <w:p w14:paraId="1BA9FC24"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2. “Bimë të specifikuara” është bima e </w:t>
      </w:r>
      <w:r w:rsidRPr="003A46DF">
        <w:rPr>
          <w:rFonts w:ascii="Garamond" w:eastAsiaTheme="minorHAnsi" w:hAnsi="Garamond"/>
          <w:i/>
          <w:iCs/>
        </w:rPr>
        <w:t xml:space="preserve">Solanum tuberosum </w:t>
      </w:r>
      <w:r w:rsidRPr="003A46DF">
        <w:rPr>
          <w:rFonts w:ascii="Garamond" w:eastAsiaTheme="minorHAnsi" w:hAnsi="Garamond"/>
        </w:rPr>
        <w:t>L.</w:t>
      </w:r>
      <w:r w:rsidRPr="00180F73">
        <w:rPr>
          <w:rFonts w:ascii="Garamond" w:eastAsiaTheme="minorHAnsi" w:hAnsi="Garamond"/>
        </w:rPr>
        <w:t xml:space="preserve"> (patate), përveç farave dhe bimëve, përveç frutave dhe farave të </w:t>
      </w:r>
      <w:r w:rsidRPr="003A46DF">
        <w:rPr>
          <w:rFonts w:ascii="Garamond" w:eastAsiaTheme="minorHAnsi" w:hAnsi="Garamond"/>
          <w:i/>
          <w:iCs/>
        </w:rPr>
        <w:t>Solanum lycopersicum</w:t>
      </w:r>
      <w:r w:rsidRPr="00180F73">
        <w:rPr>
          <w:rFonts w:ascii="Garamond" w:eastAsiaTheme="minorHAnsi" w:hAnsi="Garamond"/>
        </w:rPr>
        <w:t xml:space="preserve"> (L.) </w:t>
      </w:r>
      <w:r w:rsidRPr="003A46DF">
        <w:rPr>
          <w:rFonts w:ascii="Garamond" w:eastAsiaTheme="minorHAnsi" w:hAnsi="Garamond"/>
          <w:i/>
          <w:iCs/>
        </w:rPr>
        <w:t>Karsten ex Farw</w:t>
      </w:r>
      <w:r w:rsidRPr="00180F73">
        <w:rPr>
          <w:rFonts w:ascii="Garamond" w:eastAsiaTheme="minorHAnsi" w:hAnsi="Garamond"/>
        </w:rPr>
        <w:t xml:space="preserve"> (domate);</w:t>
      </w:r>
    </w:p>
    <w:p w14:paraId="633AC033" w14:textId="225A6B0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3. “Bimë bujtëse </w:t>
      </w:r>
      <w:r w:rsidRPr="00180F73">
        <w:rPr>
          <w:rFonts w:ascii="Garamond" w:hAnsi="Garamond"/>
        </w:rPr>
        <w:t>të pakultivuara</w:t>
      </w:r>
      <w:r w:rsidRPr="00180F73">
        <w:rPr>
          <w:rFonts w:ascii="Garamond" w:eastAsiaTheme="minorHAnsi" w:hAnsi="Garamond"/>
        </w:rPr>
        <w:t>” janë bimët e egra dhe të kultivuara të Solanaceae;</w:t>
      </w:r>
    </w:p>
    <w:p w14:paraId="5FEC5D89" w14:textId="5B3128F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“Bimë të specifikuara të pakultivuara” është bima e specifikuar që shfaqet në vendet e prodhimit pa u mbjellë;</w:t>
      </w:r>
    </w:p>
    <w:p w14:paraId="09CD3806"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5. “Zhardhokët e destinuar për t’u mbjellë në vendin e tyre të prodhimit” janë zhardhokët e prodhuar në një vend të caktuar prodhimi, të cilët synohen të qëndrojnë përgjithmonë në atë vend dhe nuk synohen të certifikohen.</w:t>
      </w:r>
    </w:p>
    <w:p w14:paraId="20EAFD32" w14:textId="77777777" w:rsidR="007402C1" w:rsidRPr="00180F73" w:rsidRDefault="007402C1" w:rsidP="007402C1">
      <w:pPr>
        <w:ind w:firstLine="284"/>
        <w:jc w:val="both"/>
        <w:rPr>
          <w:rFonts w:ascii="Garamond" w:eastAsiaTheme="minorHAnsi" w:hAnsi="Garamond"/>
        </w:rPr>
      </w:pPr>
    </w:p>
    <w:p w14:paraId="4A7E4FBF" w14:textId="77777777" w:rsidR="00917640" w:rsidRDefault="00917640" w:rsidP="00377147">
      <w:pPr>
        <w:ind w:firstLine="284"/>
        <w:jc w:val="center"/>
        <w:rPr>
          <w:rFonts w:ascii="Garamond" w:eastAsiaTheme="minorHAnsi" w:hAnsi="Garamond"/>
        </w:rPr>
      </w:pPr>
    </w:p>
    <w:p w14:paraId="519E0798" w14:textId="77777777" w:rsidR="00917640" w:rsidRDefault="00917640" w:rsidP="00377147">
      <w:pPr>
        <w:ind w:firstLine="284"/>
        <w:jc w:val="center"/>
        <w:rPr>
          <w:rFonts w:ascii="Garamond" w:eastAsiaTheme="minorHAnsi" w:hAnsi="Garamond"/>
        </w:rPr>
      </w:pPr>
    </w:p>
    <w:p w14:paraId="38C65CE6" w14:textId="77777777" w:rsidR="00917640" w:rsidRDefault="00917640" w:rsidP="00377147">
      <w:pPr>
        <w:ind w:firstLine="284"/>
        <w:jc w:val="center"/>
        <w:rPr>
          <w:rFonts w:ascii="Garamond" w:eastAsiaTheme="minorHAnsi" w:hAnsi="Garamond"/>
        </w:rPr>
      </w:pPr>
    </w:p>
    <w:p w14:paraId="2B869728" w14:textId="77777777" w:rsidR="00917640" w:rsidRDefault="00917640" w:rsidP="00377147">
      <w:pPr>
        <w:ind w:firstLine="284"/>
        <w:jc w:val="center"/>
        <w:rPr>
          <w:rFonts w:ascii="Garamond" w:eastAsiaTheme="minorHAnsi" w:hAnsi="Garamond"/>
        </w:rPr>
      </w:pPr>
    </w:p>
    <w:p w14:paraId="720037C9" w14:textId="2CE6C0FE" w:rsidR="007402C1" w:rsidRPr="00180F73" w:rsidRDefault="007402C1" w:rsidP="00377147">
      <w:pPr>
        <w:ind w:firstLine="284"/>
        <w:jc w:val="center"/>
        <w:rPr>
          <w:rFonts w:ascii="Garamond" w:eastAsiaTheme="minorHAnsi" w:hAnsi="Garamond"/>
        </w:rPr>
      </w:pPr>
      <w:r w:rsidRPr="00180F73">
        <w:rPr>
          <w:rFonts w:ascii="Garamond" w:eastAsiaTheme="minorHAnsi" w:hAnsi="Garamond"/>
        </w:rPr>
        <w:lastRenderedPageBreak/>
        <w:t>Neni 3</w:t>
      </w:r>
    </w:p>
    <w:p w14:paraId="0D6904F2" w14:textId="77777777" w:rsidR="007402C1" w:rsidRPr="00180F73" w:rsidRDefault="007402C1" w:rsidP="00377147">
      <w:pPr>
        <w:ind w:firstLine="284"/>
        <w:jc w:val="center"/>
        <w:rPr>
          <w:rFonts w:ascii="Garamond" w:eastAsiaTheme="minorHAnsi" w:hAnsi="Garamond"/>
          <w:b/>
        </w:rPr>
      </w:pPr>
      <w:r w:rsidRPr="00180F73">
        <w:rPr>
          <w:rFonts w:ascii="Garamond" w:eastAsiaTheme="minorHAnsi" w:hAnsi="Garamond"/>
          <w:b/>
        </w:rPr>
        <w:t>Vrojtime vjetore</w:t>
      </w:r>
    </w:p>
    <w:p w14:paraId="10EF732F" w14:textId="77777777" w:rsidR="007402C1" w:rsidRPr="00180F73" w:rsidRDefault="007402C1" w:rsidP="007402C1">
      <w:pPr>
        <w:ind w:firstLine="284"/>
        <w:jc w:val="both"/>
        <w:rPr>
          <w:rFonts w:ascii="Garamond" w:eastAsiaTheme="minorHAnsi" w:hAnsi="Garamond"/>
        </w:rPr>
      </w:pPr>
    </w:p>
    <w:p w14:paraId="4D229F8D"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Autoriteti Kombëtar i Veterinarisë dhe Mbrojtjes së Bimëve (AKVMB) kryen vrojtime vjetore për praninë e dëmtuesit të specifikuar në bimët e specifikuara brenda territorit të vendit, në ujërat sipërfaqësore që përdoren për ujitjen e bimëve të specifikuara dhe në mbetje të lëngshme, në përputhje me kërkesat e mëposhtme:</w:t>
      </w:r>
    </w:p>
    <w:p w14:paraId="444FB705" w14:textId="33604F5C"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për zhardhokët të ndryshëm nga ato për mbjellje, vrojtimet duhet të përfshijnë:</w:t>
      </w:r>
    </w:p>
    <w:p w14:paraId="412D09A4" w14:textId="07FD79E1"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180F73">
        <w:rPr>
          <w:rFonts w:ascii="Garamond" w:eastAsiaTheme="minorHAnsi" w:hAnsi="Garamond"/>
        </w:rPr>
        <w:t>.</w:t>
      </w:r>
      <w:r w:rsidRPr="00180F73">
        <w:rPr>
          <w:rFonts w:ascii="Garamond" w:eastAsiaTheme="minorHAnsi" w:hAnsi="Garamond"/>
        </w:rPr>
        <w:t xml:space="preserve"> marrja e mostrave nga lotet e zhardhokëve në magazinë ose nga kultura në rritje, sa më vonë që të jetë e mundur ndërmjet tharjes së kërce</w:t>
      </w:r>
      <w:r w:rsidR="00E72A61">
        <w:rPr>
          <w:rFonts w:ascii="Garamond" w:eastAsiaTheme="minorHAnsi" w:hAnsi="Garamond"/>
        </w:rPr>
        <w:t>j</w:t>
      </w:r>
      <w:r w:rsidRPr="00180F73">
        <w:rPr>
          <w:rFonts w:ascii="Garamond" w:eastAsiaTheme="minorHAnsi" w:hAnsi="Garamond"/>
        </w:rPr>
        <w:t>ve dhe vjeljes;</w:t>
      </w:r>
    </w:p>
    <w:p w14:paraId="77D7B5B6" w14:textId="223960A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ii</w:t>
      </w:r>
      <w:r w:rsidR="00180F73">
        <w:rPr>
          <w:rFonts w:ascii="Garamond" w:eastAsiaTheme="minorHAnsi" w:hAnsi="Garamond"/>
        </w:rPr>
        <w:t>.</w:t>
      </w:r>
      <w:r w:rsidRPr="00180F73">
        <w:rPr>
          <w:rFonts w:ascii="Garamond" w:eastAsiaTheme="minorHAnsi" w:hAnsi="Garamond"/>
        </w:rPr>
        <w:t xml:space="preserve"> inspektimi vizual i kulturës në rritje, ku është e mundur të identifikohen vizualisht simptomat e dëmtuesit të specifikuar dhe inspektimi vizual i zhardhokëve të prerë</w:t>
      </w:r>
      <w:r w:rsidR="0055586F">
        <w:rPr>
          <w:rFonts w:ascii="Garamond" w:eastAsiaTheme="minorHAnsi" w:hAnsi="Garamond"/>
        </w:rPr>
        <w:t>,</w:t>
      </w:r>
      <w:r w:rsidRPr="00180F73">
        <w:rPr>
          <w:rFonts w:ascii="Garamond" w:eastAsiaTheme="minorHAnsi" w:hAnsi="Garamond"/>
        </w:rPr>
        <w:t xml:space="preserve"> në rastet kur ky inspektim është i përshtatshëm për të zbuluar simptomat e dëmtuesit të specifikuar;</w:t>
      </w:r>
    </w:p>
    <w:p w14:paraId="2962FEDB" w14:textId="0E3E2EE1"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b) për zhardhokët për mbjellje, përveç atyre që synohen të mbillen në vendin e tyre të prodhimit, vrojtimet duhet të përfshijnë në mënyrë sistematike inspektimin vizual të kulturave në rritje dhe të loteve në magazinë, marrjen e mostrave në magazinë ose marrjen e mostrave nga kulturat në rritje sa më vonë që të jetë e mundur ndërmjet tharjes së </w:t>
      </w:r>
      <w:r w:rsidR="00E72A61" w:rsidRPr="00180F73">
        <w:rPr>
          <w:rFonts w:ascii="Garamond" w:eastAsiaTheme="minorHAnsi" w:hAnsi="Garamond"/>
        </w:rPr>
        <w:t>kërce</w:t>
      </w:r>
      <w:r w:rsidR="00E72A61">
        <w:rPr>
          <w:rFonts w:ascii="Garamond" w:eastAsiaTheme="minorHAnsi" w:hAnsi="Garamond"/>
        </w:rPr>
        <w:t>jv</w:t>
      </w:r>
      <w:r w:rsidR="00E72A61" w:rsidRPr="00180F73">
        <w:rPr>
          <w:rFonts w:ascii="Garamond" w:eastAsiaTheme="minorHAnsi" w:hAnsi="Garamond"/>
        </w:rPr>
        <w:t>e</w:t>
      </w:r>
      <w:r w:rsidRPr="00180F73">
        <w:rPr>
          <w:rFonts w:ascii="Garamond" w:eastAsiaTheme="minorHAnsi" w:hAnsi="Garamond"/>
        </w:rPr>
        <w:t xml:space="preserve"> dhe vjeljes;</w:t>
      </w:r>
    </w:p>
    <w:p w14:paraId="55D7D539" w14:textId="02992E6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për zhardhokët që synohen të mbillen në vendin e tyre të prodhimit, vrojtimet kryhen në bazë të riskut të identifikuar</w:t>
      </w:r>
      <w:r w:rsidR="0055586F">
        <w:rPr>
          <w:rFonts w:ascii="Garamond" w:eastAsiaTheme="minorHAnsi" w:hAnsi="Garamond"/>
        </w:rPr>
        <w:t>,</w:t>
      </w:r>
      <w:r w:rsidRPr="00180F73">
        <w:rPr>
          <w:rFonts w:ascii="Garamond" w:eastAsiaTheme="minorHAnsi" w:hAnsi="Garamond"/>
        </w:rPr>
        <w:t xml:space="preserve"> në lidhje me praninë e dëmtuesit të specifikuar dhe përfshijnë:</w:t>
      </w:r>
    </w:p>
    <w:p w14:paraId="541BD85A" w14:textId="001F400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180F73">
        <w:rPr>
          <w:rFonts w:ascii="Garamond" w:eastAsiaTheme="minorHAnsi" w:hAnsi="Garamond"/>
        </w:rPr>
        <w:t xml:space="preserve">. </w:t>
      </w:r>
      <w:r w:rsidRPr="00180F73">
        <w:rPr>
          <w:rFonts w:ascii="Garamond" w:eastAsiaTheme="minorHAnsi" w:hAnsi="Garamond"/>
        </w:rPr>
        <w:t xml:space="preserve">marrja e mostrave nga lote e zhardhokëve në magazinë ose nga kultura në rritje, sa më vonë që të jetë e mundur ndërmjet tharjes së kërcellit dhe </w:t>
      </w:r>
      <w:r w:rsidR="0055586F">
        <w:rPr>
          <w:rFonts w:ascii="Garamond" w:eastAsiaTheme="minorHAnsi" w:hAnsi="Garamond"/>
        </w:rPr>
        <w:t xml:space="preserve">të </w:t>
      </w:r>
      <w:r w:rsidRPr="00180F73">
        <w:rPr>
          <w:rFonts w:ascii="Garamond" w:eastAsiaTheme="minorHAnsi" w:hAnsi="Garamond"/>
        </w:rPr>
        <w:t xml:space="preserve">vjeljes; </w:t>
      </w:r>
    </w:p>
    <w:p w14:paraId="4B47DD12" w14:textId="4DACE61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ii</w:t>
      </w:r>
      <w:r w:rsidR="00180F73">
        <w:rPr>
          <w:rFonts w:ascii="Garamond" w:eastAsiaTheme="minorHAnsi" w:hAnsi="Garamond"/>
        </w:rPr>
        <w:t>.</w:t>
      </w:r>
      <w:r w:rsidRPr="00180F73">
        <w:rPr>
          <w:rFonts w:ascii="Garamond" w:eastAsiaTheme="minorHAnsi" w:hAnsi="Garamond"/>
        </w:rPr>
        <w:t xml:space="preserve"> inspektimi vizual i kulturës në rritje ku është e mundur të identifikohen vizualisht simptomat e dëmtuesit të specifikuar dhe inspektimi vizual i zhardhokëve të prerë</w:t>
      </w:r>
      <w:r w:rsidR="00374AE2">
        <w:rPr>
          <w:rFonts w:ascii="Garamond" w:eastAsiaTheme="minorHAnsi" w:hAnsi="Garamond"/>
        </w:rPr>
        <w:t>,</w:t>
      </w:r>
      <w:r w:rsidRPr="00180F73">
        <w:rPr>
          <w:rFonts w:ascii="Garamond" w:eastAsiaTheme="minorHAnsi" w:hAnsi="Garamond"/>
        </w:rPr>
        <w:t xml:space="preserve"> në rastet kur ky inspektim është i përshtatshëm për të zbuluar simptomat e dëmtuesit të specifikuar;</w:t>
      </w:r>
    </w:p>
    <w:p w14:paraId="1EF8D65B" w14:textId="13836F1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ç) për sa </w:t>
      </w:r>
      <w:r w:rsidR="00374AE2">
        <w:rPr>
          <w:rFonts w:ascii="Garamond" w:eastAsiaTheme="minorHAnsi" w:hAnsi="Garamond"/>
        </w:rPr>
        <w:t xml:space="preserve">u </w:t>
      </w:r>
      <w:r w:rsidRPr="00180F73">
        <w:rPr>
          <w:rFonts w:ascii="Garamond" w:eastAsiaTheme="minorHAnsi" w:hAnsi="Garamond"/>
        </w:rPr>
        <w:t>përket bimëve të domates, vrojtimet duhet të përfshijnë inspektimin vizual, në momentet e duhura, të paktën kulturave në rritje në vendin e prodhimit të bimëve të destinuara për rimbjellje;</w:t>
      </w:r>
    </w:p>
    <w:p w14:paraId="4B441A3B" w14:textId="46663540"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d) për bimët bujtëse solanaceaous, të ndryshme nga bimët e specifikuara dhe ujërave sipërfaqësore dhe mbetjeve të lëngshme, vrojtimet kryhen në përputhje me metodat e duhura dhe sipas rastit, merren mostra.</w:t>
      </w:r>
    </w:p>
    <w:p w14:paraId="0EAF139E" w14:textId="383A4D2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2. Numri, origjina dhe koha e mbledhjes së mostrave bazohen në parime të shëndosha shkencore dhe statistikore dhe në biologjinë e dëmtuesve të specifikuar, duke marrë parasysh sistemet e veçanta të prodhimit të patates dhe </w:t>
      </w:r>
      <w:r w:rsidR="00374AE2">
        <w:rPr>
          <w:rFonts w:ascii="Garamond" w:eastAsiaTheme="minorHAnsi" w:hAnsi="Garamond"/>
        </w:rPr>
        <w:t xml:space="preserve">të </w:t>
      </w:r>
      <w:r w:rsidRPr="00180F73">
        <w:rPr>
          <w:rFonts w:ascii="Garamond" w:eastAsiaTheme="minorHAnsi" w:hAnsi="Garamond"/>
        </w:rPr>
        <w:t>domates, të rajonit në fjalë.</w:t>
      </w:r>
    </w:p>
    <w:p w14:paraId="6D904121" w14:textId="0D973C9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3. AKVMB</w:t>
      </w:r>
      <w:r w:rsidR="005F07D2">
        <w:rPr>
          <w:rFonts w:ascii="Garamond" w:eastAsiaTheme="minorHAnsi" w:hAnsi="Garamond"/>
        </w:rPr>
        <w:t>-ja</w:t>
      </w:r>
      <w:r w:rsidRPr="00180F73">
        <w:rPr>
          <w:rFonts w:ascii="Garamond" w:eastAsiaTheme="minorHAnsi" w:hAnsi="Garamond"/>
        </w:rPr>
        <w:t xml:space="preserve"> i raporton </w:t>
      </w:r>
      <w:r w:rsidRPr="00180F73">
        <w:rPr>
          <w:rFonts w:ascii="Garamond" w:hAnsi="Garamond"/>
        </w:rPr>
        <w:t>Strukturës Përgjegjëse të Mbrojtjes së Bimëve (SPMB</w:t>
      </w:r>
      <w:r w:rsidRPr="00180F73">
        <w:rPr>
          <w:rFonts w:ascii="Garamond" w:eastAsiaTheme="minorHAnsi" w:hAnsi="Garamond"/>
        </w:rPr>
        <w:t>-së</w:t>
      </w:r>
      <w:r w:rsidRPr="00180F73">
        <w:rPr>
          <w:rFonts w:ascii="Garamond" w:hAnsi="Garamond"/>
        </w:rPr>
        <w:t>)</w:t>
      </w:r>
      <w:r w:rsidRPr="00180F73">
        <w:rPr>
          <w:rFonts w:ascii="Garamond" w:eastAsiaTheme="minorHAnsi" w:hAnsi="Garamond"/>
        </w:rPr>
        <w:t xml:space="preserve">, brenda datës 30 prill të çdo viti, rezultatet e vrojtimeve vjetore të kryera gjatë vitit kalendarik paraardhës. Raportimi i rezultateve të vrojtimeve do </w:t>
      </w:r>
      <w:r w:rsidR="00487598">
        <w:rPr>
          <w:rFonts w:ascii="Garamond" w:eastAsiaTheme="minorHAnsi" w:hAnsi="Garamond"/>
        </w:rPr>
        <w:t xml:space="preserve">të </w:t>
      </w:r>
      <w:r w:rsidRPr="00180F73">
        <w:rPr>
          <w:rFonts w:ascii="Garamond" w:eastAsiaTheme="minorHAnsi" w:hAnsi="Garamond"/>
        </w:rPr>
        <w:t>bëhet në përputhje me formatin e përcaktuar në aneksin II, bashkëlidhur këtij udhëzimi.</w:t>
      </w:r>
    </w:p>
    <w:p w14:paraId="521F79AF" w14:textId="77777777" w:rsidR="007402C1" w:rsidRPr="00180F73" w:rsidRDefault="007402C1" w:rsidP="007402C1">
      <w:pPr>
        <w:ind w:firstLine="284"/>
        <w:jc w:val="both"/>
        <w:rPr>
          <w:rFonts w:ascii="Garamond" w:eastAsiaTheme="minorHAnsi" w:hAnsi="Garamond"/>
        </w:rPr>
      </w:pPr>
    </w:p>
    <w:p w14:paraId="1C8C2197"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4</w:t>
      </w:r>
    </w:p>
    <w:p w14:paraId="46F170BA" w14:textId="6C64FEB3"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në rast dyshimi për pranin</w:t>
      </w:r>
      <w:r w:rsidR="00B11ABC">
        <w:rPr>
          <w:rFonts w:ascii="Garamond" w:eastAsiaTheme="minorHAnsi" w:hAnsi="Garamond"/>
          <w:b/>
        </w:rPr>
        <w:t>ë</w:t>
      </w:r>
      <w:r w:rsidRPr="00180F73">
        <w:rPr>
          <w:rFonts w:ascii="Garamond" w:eastAsiaTheme="minorHAnsi" w:hAnsi="Garamond"/>
          <w:b/>
        </w:rPr>
        <w:t xml:space="preserve"> e dëmtuesit të specifikuar</w:t>
      </w:r>
    </w:p>
    <w:p w14:paraId="377E655D" w14:textId="77777777" w:rsidR="007402C1" w:rsidRPr="00180F73" w:rsidRDefault="007402C1" w:rsidP="008D07FA">
      <w:pPr>
        <w:ind w:firstLine="284"/>
        <w:jc w:val="center"/>
        <w:rPr>
          <w:rFonts w:ascii="Garamond" w:eastAsiaTheme="minorHAnsi" w:hAnsi="Garamond"/>
        </w:rPr>
      </w:pPr>
    </w:p>
    <w:p w14:paraId="070379CE" w14:textId="0E54C25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AKVMB</w:t>
      </w:r>
      <w:r w:rsidR="008E7C7B">
        <w:rPr>
          <w:rFonts w:ascii="Garamond" w:eastAsiaTheme="minorHAnsi" w:hAnsi="Garamond"/>
        </w:rPr>
        <w:t>-ja</w:t>
      </w:r>
      <w:r w:rsidRPr="00180F73">
        <w:rPr>
          <w:rFonts w:ascii="Garamond" w:eastAsiaTheme="minorHAnsi" w:hAnsi="Garamond"/>
        </w:rPr>
        <w:t xml:space="preserve"> garanton që mostrat e marra për qëllime vrojtimi </w:t>
      </w:r>
      <w:r w:rsidR="00B11ABC">
        <w:rPr>
          <w:rFonts w:ascii="Garamond" w:eastAsiaTheme="minorHAnsi" w:hAnsi="Garamond"/>
        </w:rPr>
        <w:t>u</w:t>
      </w:r>
      <w:r w:rsidRPr="00180F73">
        <w:rPr>
          <w:rFonts w:ascii="Garamond" w:eastAsiaTheme="minorHAnsi" w:hAnsi="Garamond"/>
        </w:rPr>
        <w:t xml:space="preserve"> nënshtrohen testeve të zbulimit të përmendura në pikën 2.1, të aneksit I, bashkëlidhur këtij udhëzimi.</w:t>
      </w:r>
    </w:p>
    <w:p w14:paraId="2B647F39" w14:textId="2FED22C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Në pritje të rezultateve të testeve të zbulimit, AKVMB</w:t>
      </w:r>
      <w:r w:rsidR="00AD40D0">
        <w:rPr>
          <w:rFonts w:ascii="Garamond" w:eastAsiaTheme="minorHAnsi" w:hAnsi="Garamond"/>
        </w:rPr>
        <w:t>-ja</w:t>
      </w:r>
      <w:r w:rsidRPr="00180F73">
        <w:rPr>
          <w:rFonts w:ascii="Garamond" w:eastAsiaTheme="minorHAnsi" w:hAnsi="Garamond"/>
        </w:rPr>
        <w:t xml:space="preserve"> duhet të:</w:t>
      </w:r>
    </w:p>
    <w:p w14:paraId="497167B4" w14:textId="434371BC"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ndaloj</w:t>
      </w:r>
      <w:r w:rsidR="003364D4">
        <w:rPr>
          <w:rFonts w:ascii="Garamond" w:eastAsiaTheme="minorHAnsi" w:hAnsi="Garamond"/>
        </w:rPr>
        <w:t>ë</w:t>
      </w:r>
      <w:r w:rsidRPr="00180F73">
        <w:rPr>
          <w:rFonts w:ascii="Garamond" w:eastAsiaTheme="minorHAnsi" w:hAnsi="Garamond"/>
        </w:rPr>
        <w:t xml:space="preserve"> lëvizjen e bimëve të specifikuara nga të gjitha kulturat, lotet ose ngarkesat nga të cilat janë marrë mostrat, përveç bimëve të specifikuara nën kontrollin e tij, për të cilat është vërtetuar se nuk ka risk të identifikueshëm të përhapjes së dëmtuesve të specifikuar;</w:t>
      </w:r>
    </w:p>
    <w:p w14:paraId="1EA42E7F" w14:textId="6004E8C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gjurmojnë origjinën e pranisë së dyshuar;</w:t>
      </w:r>
    </w:p>
    <w:p w14:paraId="1B988A44" w14:textId="5FF26CB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lastRenderedPageBreak/>
        <w:t>c) kryej</w:t>
      </w:r>
      <w:r w:rsidR="00674928">
        <w:rPr>
          <w:rFonts w:ascii="Garamond" w:eastAsiaTheme="minorHAnsi" w:hAnsi="Garamond"/>
        </w:rPr>
        <w:t>ë</w:t>
      </w:r>
      <w:r w:rsidRPr="00180F73">
        <w:rPr>
          <w:rFonts w:ascii="Garamond" w:eastAsiaTheme="minorHAnsi" w:hAnsi="Garamond"/>
        </w:rPr>
        <w:t xml:space="preserve"> kontrolle zyrtare të lëvizjes të çdo bime të specifikuar, përveç atyre të përmendura në shkronjën </w:t>
      </w:r>
      <w:r w:rsidR="00674928">
        <w:rPr>
          <w:rFonts w:ascii="Garamond" w:eastAsiaTheme="minorHAnsi" w:hAnsi="Garamond"/>
        </w:rPr>
        <w:t>“</w:t>
      </w:r>
      <w:r w:rsidRPr="00180F73">
        <w:rPr>
          <w:rFonts w:ascii="Garamond" w:eastAsiaTheme="minorHAnsi" w:hAnsi="Garamond"/>
        </w:rPr>
        <w:t>a</w:t>
      </w:r>
      <w:r w:rsidR="00674928">
        <w:rPr>
          <w:rFonts w:ascii="Garamond" w:eastAsiaTheme="minorHAnsi" w:hAnsi="Garamond"/>
        </w:rPr>
        <w:t>”</w:t>
      </w:r>
      <w:r w:rsidRPr="00180F73">
        <w:rPr>
          <w:rFonts w:ascii="Garamond" w:eastAsiaTheme="minorHAnsi" w:hAnsi="Garamond"/>
        </w:rPr>
        <w:t xml:space="preserve">, të prodhuara në vendin e prodhimit nga i cili janë marrë mostrat e përmendura në shkronjën </w:t>
      </w:r>
      <w:r w:rsidR="00674928">
        <w:rPr>
          <w:rFonts w:ascii="Garamond" w:eastAsiaTheme="minorHAnsi" w:hAnsi="Garamond"/>
        </w:rPr>
        <w:t>“</w:t>
      </w:r>
      <w:r w:rsidRPr="00180F73">
        <w:rPr>
          <w:rFonts w:ascii="Garamond" w:eastAsiaTheme="minorHAnsi" w:hAnsi="Garamond"/>
        </w:rPr>
        <w:t>a</w:t>
      </w:r>
      <w:r w:rsidR="00674928">
        <w:rPr>
          <w:rFonts w:ascii="Garamond" w:eastAsiaTheme="minorHAnsi" w:hAnsi="Garamond"/>
        </w:rPr>
        <w:t>”</w:t>
      </w:r>
      <w:r w:rsidRPr="00180F73">
        <w:rPr>
          <w:rFonts w:ascii="Garamond" w:eastAsiaTheme="minorHAnsi" w:hAnsi="Garamond"/>
        </w:rPr>
        <w:t>;</w:t>
      </w:r>
    </w:p>
    <w:p w14:paraId="45FD1B29" w14:textId="1817348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ç) ndaloj</w:t>
      </w:r>
      <w:r w:rsidR="00674928">
        <w:rPr>
          <w:rFonts w:ascii="Garamond" w:eastAsiaTheme="minorHAnsi" w:hAnsi="Garamond"/>
        </w:rPr>
        <w:t>ë</w:t>
      </w:r>
      <w:r w:rsidRPr="00180F73">
        <w:rPr>
          <w:rFonts w:ascii="Garamond" w:eastAsiaTheme="minorHAnsi" w:hAnsi="Garamond"/>
        </w:rPr>
        <w:t xml:space="preserve"> përdorimin e ujit sipërfaqësor në bimët e specifikuara dhe në bimët të tjera të kultivuara bujtëse </w:t>
      </w:r>
      <w:r w:rsidRPr="00180F73">
        <w:rPr>
          <w:rFonts w:ascii="Garamond" w:hAnsi="Garamond"/>
        </w:rPr>
        <w:t>solanaceous</w:t>
      </w:r>
      <w:r w:rsidRPr="00180F73">
        <w:rPr>
          <w:rFonts w:ascii="Garamond" w:eastAsiaTheme="minorHAnsi" w:hAnsi="Garamond"/>
        </w:rPr>
        <w:t xml:space="preserve"> deri në konfirmimin ose hedhjen poshtë të pranisë së dëmtuesit të specifikuar në ujërat sipërfaqësore, përveç rasteve kur lejon përdorimin e ujit sipërfaqësor në domate dhe bimë bujtëse të tjera </w:t>
      </w:r>
      <w:r w:rsidRPr="00180F73">
        <w:rPr>
          <w:rFonts w:ascii="Garamond" w:hAnsi="Garamond"/>
        </w:rPr>
        <w:t>solanaceous</w:t>
      </w:r>
      <w:r w:rsidRPr="00180F73">
        <w:rPr>
          <w:rFonts w:ascii="Garamond" w:eastAsiaTheme="minorHAnsi" w:hAnsi="Garamond"/>
        </w:rPr>
        <w:t xml:space="preserve"> të kultivuara të rritura në sera, me kusht që uji dezinfektohet me metoda përkatëse të miratuar nga AKVMB</w:t>
      </w:r>
      <w:r w:rsidR="00D90D45">
        <w:rPr>
          <w:rFonts w:ascii="Garamond" w:eastAsiaTheme="minorHAnsi" w:hAnsi="Garamond"/>
        </w:rPr>
        <w:t>-ja</w:t>
      </w:r>
      <w:r w:rsidRPr="00180F73">
        <w:rPr>
          <w:rFonts w:ascii="Garamond" w:eastAsiaTheme="minorHAnsi" w:hAnsi="Garamond"/>
        </w:rPr>
        <w:t>.</w:t>
      </w:r>
    </w:p>
    <w:p w14:paraId="1A07C02D" w14:textId="6AF7106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3. Në pritje të rezultateve të testeve të zbulimit,</w:t>
      </w:r>
      <w:r w:rsidR="00180F73">
        <w:rPr>
          <w:rFonts w:ascii="Garamond" w:eastAsiaTheme="minorHAnsi" w:hAnsi="Garamond"/>
        </w:rPr>
        <w:t xml:space="preserve"> </w:t>
      </w:r>
      <w:r w:rsidRPr="00180F73">
        <w:rPr>
          <w:rFonts w:ascii="Garamond" w:eastAsiaTheme="minorHAnsi" w:hAnsi="Garamond"/>
        </w:rPr>
        <w:t>Instituti i Sigurisë Ushqimore dhe Veterinare (ISUV), në bashkëpunim me AKVMB-në garanton që të gjith</w:t>
      </w:r>
      <w:r w:rsidR="00CB1BE2">
        <w:rPr>
          <w:rFonts w:ascii="Garamond" w:eastAsiaTheme="minorHAnsi" w:hAnsi="Garamond"/>
        </w:rPr>
        <w:t>a</w:t>
      </w:r>
      <w:r w:rsidRPr="00180F73">
        <w:rPr>
          <w:rFonts w:ascii="Garamond" w:eastAsiaTheme="minorHAnsi" w:hAnsi="Garamond"/>
        </w:rPr>
        <w:t xml:space="preserve"> element</w:t>
      </w:r>
      <w:r w:rsidR="00CB1BE2">
        <w:rPr>
          <w:rFonts w:ascii="Garamond" w:eastAsiaTheme="minorHAnsi" w:hAnsi="Garamond"/>
        </w:rPr>
        <w:t>e</w:t>
      </w:r>
      <w:r w:rsidRPr="00180F73">
        <w:rPr>
          <w:rFonts w:ascii="Garamond" w:eastAsiaTheme="minorHAnsi" w:hAnsi="Garamond"/>
        </w:rPr>
        <w:t>t e mëposht</w:t>
      </w:r>
      <w:r w:rsidR="00CB1BE2">
        <w:rPr>
          <w:rFonts w:ascii="Garamond" w:eastAsiaTheme="minorHAnsi" w:hAnsi="Garamond"/>
        </w:rPr>
        <w:t>me</w:t>
      </w:r>
      <w:r w:rsidRPr="00180F73">
        <w:rPr>
          <w:rFonts w:ascii="Garamond" w:eastAsiaTheme="minorHAnsi" w:hAnsi="Garamond"/>
        </w:rPr>
        <w:t xml:space="preserve"> të ruhen dhe ar</w:t>
      </w:r>
      <w:r w:rsidR="00CB1BE2">
        <w:rPr>
          <w:rFonts w:ascii="Garamond" w:eastAsiaTheme="minorHAnsi" w:hAnsi="Garamond"/>
        </w:rPr>
        <w:t>k</w:t>
      </w:r>
      <w:r w:rsidRPr="00180F73">
        <w:rPr>
          <w:rFonts w:ascii="Garamond" w:eastAsiaTheme="minorHAnsi" w:hAnsi="Garamond"/>
        </w:rPr>
        <w:t>ivohen në mënyrë të përshtatshme:</w:t>
      </w:r>
      <w:r w:rsidRPr="00180F73">
        <w:rPr>
          <w:rFonts w:ascii="Garamond" w:hAnsi="Garamond"/>
        </w:rPr>
        <w:t xml:space="preserve"> </w:t>
      </w:r>
    </w:p>
    <w:p w14:paraId="36642E61" w14:textId="796018D9"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të gjitha zhardhokët e mbetur të mostrave dhe aty ku është e mundur, të gjitha bimët e mbetura të mostrave;</w:t>
      </w:r>
    </w:p>
    <w:p w14:paraId="3C540346" w14:textId="76A63C4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ekstraktet e mbetura të bimës të specifikuar, ekstraktet e ADN-së dhe materialet shtesë të përgatitura për testim;</w:t>
      </w:r>
    </w:p>
    <w:p w14:paraId="7E0E6B91" w14:textId="6263954F"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kulturën e pastër, kur është e përshtatshme;</w:t>
      </w:r>
    </w:p>
    <w:p w14:paraId="0A41A366" w14:textId="2163DAF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ç) të gjithë dokumentacionin përkatës.</w:t>
      </w:r>
    </w:p>
    <w:p w14:paraId="13262E23" w14:textId="6944713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Kur dyshimi për praninë e dëmtuesit të specifikuar konfirmohet në përputhje me pikën 1.1, të aneksit I, bashkëlidhur këtij udhëzimi. AKVMB</w:t>
      </w:r>
      <w:r w:rsidR="003C4810">
        <w:rPr>
          <w:rFonts w:ascii="Garamond" w:eastAsiaTheme="minorHAnsi" w:hAnsi="Garamond"/>
        </w:rPr>
        <w:t>-ja</w:t>
      </w:r>
      <w:r w:rsidRPr="00180F73">
        <w:rPr>
          <w:rFonts w:ascii="Garamond" w:eastAsiaTheme="minorHAnsi" w:hAnsi="Garamond"/>
        </w:rPr>
        <w:t xml:space="preserve"> garanton që testet e përmendura në aneksin I të këtij udhëzimi të kryhen nga ISUV</w:t>
      </w:r>
      <w:r w:rsidR="00F03CC6">
        <w:rPr>
          <w:rFonts w:ascii="Garamond" w:eastAsiaTheme="minorHAnsi" w:hAnsi="Garamond"/>
        </w:rPr>
        <w:t>-ja</w:t>
      </w:r>
      <w:r w:rsidRPr="00180F73">
        <w:rPr>
          <w:rFonts w:ascii="Garamond" w:eastAsiaTheme="minorHAnsi" w:hAnsi="Garamond"/>
        </w:rPr>
        <w:t xml:space="preserve">, në mostrat e marra për qëllime të vrojtimeve për të konfirmuar ose </w:t>
      </w:r>
      <w:r w:rsidR="00674928">
        <w:rPr>
          <w:rFonts w:ascii="Garamond" w:eastAsiaTheme="minorHAnsi" w:hAnsi="Garamond"/>
        </w:rPr>
        <w:t xml:space="preserve">për të </w:t>
      </w:r>
      <w:r w:rsidRPr="00180F73">
        <w:rPr>
          <w:rFonts w:ascii="Garamond" w:eastAsiaTheme="minorHAnsi" w:hAnsi="Garamond"/>
        </w:rPr>
        <w:t>refuzuar prezencën e dëmtuesit të specifikuar.</w:t>
      </w:r>
    </w:p>
    <w:p w14:paraId="3AC4C364" w14:textId="77777777" w:rsidR="007402C1" w:rsidRPr="00180F73" w:rsidRDefault="007402C1" w:rsidP="007402C1">
      <w:pPr>
        <w:ind w:firstLine="284"/>
        <w:jc w:val="both"/>
        <w:rPr>
          <w:rFonts w:ascii="Garamond" w:eastAsiaTheme="minorHAnsi" w:hAnsi="Garamond"/>
        </w:rPr>
      </w:pPr>
    </w:p>
    <w:p w14:paraId="2988A287"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5</w:t>
      </w:r>
    </w:p>
    <w:p w14:paraId="79CFEEA7" w14:textId="77777777"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në rast konfirmimi të pranisë së dëmtuesit të specifikuar</w:t>
      </w:r>
    </w:p>
    <w:p w14:paraId="3903862A" w14:textId="77777777" w:rsidR="007402C1" w:rsidRPr="00180F73" w:rsidRDefault="007402C1" w:rsidP="007402C1">
      <w:pPr>
        <w:ind w:firstLine="284"/>
        <w:jc w:val="both"/>
        <w:rPr>
          <w:rFonts w:ascii="Garamond" w:eastAsiaTheme="minorHAnsi" w:hAnsi="Garamond"/>
        </w:rPr>
      </w:pPr>
    </w:p>
    <w:p w14:paraId="573EB8B9" w14:textId="016D502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Kur prania e dëmtuesit të specifikuar konfirmohet zyrtarisht nga ISUV</w:t>
      </w:r>
      <w:r w:rsidR="003A3981">
        <w:rPr>
          <w:rFonts w:ascii="Garamond" w:eastAsiaTheme="minorHAnsi" w:hAnsi="Garamond"/>
        </w:rPr>
        <w:t>-ja</w:t>
      </w:r>
      <w:r w:rsidRPr="00180F73">
        <w:rPr>
          <w:rFonts w:ascii="Garamond" w:eastAsiaTheme="minorHAnsi" w:hAnsi="Garamond"/>
        </w:rPr>
        <w:t>, në përputhje me pikën 1.2, të aneksit I, bashkëlidhur këtij udhëzimi, zbatohen pikat 2 deri në 6 të këtij neni.</w:t>
      </w:r>
    </w:p>
    <w:p w14:paraId="1C416547" w14:textId="334E34E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Kur prania e dëmtuesit të specifikuar konfirmohet në bimë të specifikuara, AKVMB</w:t>
      </w:r>
      <w:r w:rsidR="00192A31">
        <w:rPr>
          <w:rFonts w:ascii="Garamond" w:eastAsiaTheme="minorHAnsi" w:hAnsi="Garamond"/>
        </w:rPr>
        <w:t>-ja</w:t>
      </w:r>
      <w:r w:rsidRPr="00180F73">
        <w:rPr>
          <w:rFonts w:ascii="Garamond" w:eastAsiaTheme="minorHAnsi" w:hAnsi="Garamond"/>
        </w:rPr>
        <w:t xml:space="preserve"> merr menjëherë të gjitha masat e mëposhtme:</w:t>
      </w:r>
    </w:p>
    <w:p w14:paraId="13D726FE" w14:textId="0ED49C8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kryen një hulumtim për të përcaktuar shtrirjen dhe burimin fillestar të infeksionit në përputhje me aneksin III bashkëlidhur këtij udhëzimi, me teste të mëtejshme në përputhje me pikën 1, të nenit 4, të paktën në të gjitha rezervat klonike të zhardhokëve për mbjellje;</w:t>
      </w:r>
    </w:p>
    <w:p w14:paraId="3FFF9BB7" w14:textId="47AA5B9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shpallja e zonës së shënuar, e cila do të përbëhet nga një zonë e infektuar që përmban të gjith</w:t>
      </w:r>
      <w:r w:rsidR="00CB1BE2">
        <w:rPr>
          <w:rFonts w:ascii="Garamond" w:eastAsiaTheme="minorHAnsi" w:hAnsi="Garamond"/>
        </w:rPr>
        <w:t>a</w:t>
      </w:r>
      <w:r w:rsidRPr="00180F73">
        <w:rPr>
          <w:rFonts w:ascii="Garamond" w:eastAsiaTheme="minorHAnsi" w:hAnsi="Garamond"/>
        </w:rPr>
        <w:t xml:space="preserve"> element</w:t>
      </w:r>
      <w:r w:rsidR="00CB1BE2">
        <w:rPr>
          <w:rFonts w:ascii="Garamond" w:eastAsiaTheme="minorHAnsi" w:hAnsi="Garamond"/>
        </w:rPr>
        <w:t>e</w:t>
      </w:r>
      <w:r w:rsidRPr="00180F73">
        <w:rPr>
          <w:rFonts w:ascii="Garamond" w:eastAsiaTheme="minorHAnsi" w:hAnsi="Garamond"/>
        </w:rPr>
        <w:t>t e mëposht</w:t>
      </w:r>
      <w:r w:rsidR="00CB1BE2">
        <w:rPr>
          <w:rFonts w:ascii="Garamond" w:eastAsiaTheme="minorHAnsi" w:hAnsi="Garamond"/>
        </w:rPr>
        <w:t>me</w:t>
      </w:r>
      <w:r w:rsidRPr="00180F73">
        <w:rPr>
          <w:rFonts w:ascii="Garamond" w:eastAsiaTheme="minorHAnsi" w:hAnsi="Garamond"/>
        </w:rPr>
        <w:t>:</w:t>
      </w:r>
    </w:p>
    <w:p w14:paraId="4C059339" w14:textId="76104A3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B0780B">
        <w:rPr>
          <w:rFonts w:ascii="Garamond" w:eastAsiaTheme="minorHAnsi" w:hAnsi="Garamond"/>
        </w:rPr>
        <w:t>.</w:t>
      </w:r>
      <w:r w:rsidRPr="00180F73">
        <w:rPr>
          <w:rFonts w:ascii="Garamond" w:eastAsiaTheme="minorHAnsi" w:hAnsi="Garamond"/>
        </w:rPr>
        <w:t xml:space="preserve"> bimët e specifikuara, ngarkesat dhe/ose lotet, automjetet, anijet, magazinat ose njësitë e tyre</w:t>
      </w:r>
      <w:r w:rsidR="00145488">
        <w:rPr>
          <w:rFonts w:ascii="Garamond" w:eastAsiaTheme="minorHAnsi" w:hAnsi="Garamond"/>
        </w:rPr>
        <w:t>,</w:t>
      </w:r>
      <w:r w:rsidRPr="00180F73">
        <w:rPr>
          <w:rFonts w:ascii="Garamond" w:eastAsiaTheme="minorHAnsi" w:hAnsi="Garamond"/>
        </w:rPr>
        <w:t xml:space="preserve"> nga të cilat është marrë një mostër bime e specifikuar e infektuar, çdo objekt tjetër duke përfshirë materialin e ambalazhimit dhe makinerinë e përdorur në prodhimin, transportin ose ruajtjen e bimëve të specifikuara dhe sipas rastit, vendin e prodhimit ose vendin e prodhimit ku bimët e specifikuara janë rritur ose vjel</w:t>
      </w:r>
      <w:r w:rsidR="00145488">
        <w:rPr>
          <w:rFonts w:ascii="Garamond" w:eastAsiaTheme="minorHAnsi" w:hAnsi="Garamond"/>
        </w:rPr>
        <w:t>ë</w:t>
      </w:r>
      <w:r w:rsidRPr="00180F73">
        <w:rPr>
          <w:rFonts w:ascii="Garamond" w:eastAsiaTheme="minorHAnsi" w:hAnsi="Garamond"/>
        </w:rPr>
        <w:t>;</w:t>
      </w:r>
    </w:p>
    <w:p w14:paraId="0CEDC016" w14:textId="4482134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ii</w:t>
      </w:r>
      <w:r w:rsidR="00B0780B">
        <w:rPr>
          <w:rFonts w:ascii="Garamond" w:eastAsiaTheme="minorHAnsi" w:hAnsi="Garamond"/>
        </w:rPr>
        <w:t>.</w:t>
      </w:r>
      <w:r w:rsidRPr="00180F73">
        <w:rPr>
          <w:rFonts w:ascii="Garamond" w:eastAsiaTheme="minorHAnsi" w:hAnsi="Garamond"/>
        </w:rPr>
        <w:t xml:space="preserve"> të gjitha kriteret të renditura në shkronjën </w:t>
      </w:r>
      <w:r w:rsidR="00145488">
        <w:rPr>
          <w:rFonts w:ascii="Garamond" w:eastAsiaTheme="minorHAnsi" w:hAnsi="Garamond"/>
        </w:rPr>
        <w:t>“</w:t>
      </w:r>
      <w:r w:rsidRPr="00180F73">
        <w:rPr>
          <w:rFonts w:ascii="Garamond" w:eastAsiaTheme="minorHAnsi" w:hAnsi="Garamond"/>
        </w:rPr>
        <w:t>i</w:t>
      </w:r>
      <w:r w:rsidR="00145488">
        <w:rPr>
          <w:rFonts w:ascii="Garamond" w:eastAsiaTheme="minorHAnsi" w:hAnsi="Garamond"/>
        </w:rPr>
        <w:t>”</w:t>
      </w:r>
      <w:r w:rsidRPr="00180F73">
        <w:rPr>
          <w:rFonts w:ascii="Garamond" w:eastAsiaTheme="minorHAnsi" w:hAnsi="Garamond"/>
        </w:rPr>
        <w:t xml:space="preserve"> të përcaktuara se mund të jenë të infektuar nga dëmtuesi i specifikuar, nëpërmjet kontaktit para ose pas vjeljes ose nëpërmjet prodhimit, ujitjes ose spërkatjes së njëkohshme me bimët e specifikuara të infektuara dhe duke marrë parasysh element</w:t>
      </w:r>
      <w:r w:rsidR="00A05C51">
        <w:rPr>
          <w:rFonts w:ascii="Garamond" w:eastAsiaTheme="minorHAnsi" w:hAnsi="Garamond"/>
        </w:rPr>
        <w:t>e</w:t>
      </w:r>
      <w:r w:rsidRPr="00180F73">
        <w:rPr>
          <w:rFonts w:ascii="Garamond" w:eastAsiaTheme="minorHAnsi" w:hAnsi="Garamond"/>
        </w:rPr>
        <w:t>t e renditur</w:t>
      </w:r>
      <w:r w:rsidR="00A05C51">
        <w:rPr>
          <w:rFonts w:ascii="Garamond" w:eastAsiaTheme="minorHAnsi" w:hAnsi="Garamond"/>
        </w:rPr>
        <w:t>a</w:t>
      </w:r>
      <w:r w:rsidRPr="00180F73">
        <w:rPr>
          <w:rFonts w:ascii="Garamond" w:eastAsiaTheme="minorHAnsi" w:hAnsi="Garamond"/>
        </w:rPr>
        <w:t xml:space="preserve"> në pikën 1, të aneksit IV, bashkëlidhur këtij udhëzimi;</w:t>
      </w:r>
    </w:p>
    <w:p w14:paraId="17EEBF52" w14:textId="347E9FC9"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vendos kur është e nevojshme për të adresuar riskun fitosanitar, një zonë sigurie rreth zonës së infektuar duke marrë parasysh element</w:t>
      </w:r>
      <w:r w:rsidR="00A05C51">
        <w:rPr>
          <w:rFonts w:ascii="Garamond" w:eastAsiaTheme="minorHAnsi" w:hAnsi="Garamond"/>
        </w:rPr>
        <w:t>e</w:t>
      </w:r>
      <w:r w:rsidRPr="00180F73">
        <w:rPr>
          <w:rFonts w:ascii="Garamond" w:eastAsiaTheme="minorHAnsi" w:hAnsi="Garamond"/>
        </w:rPr>
        <w:t>t e një përhapje</w:t>
      </w:r>
      <w:r w:rsidR="00A05C51">
        <w:rPr>
          <w:rFonts w:ascii="Garamond" w:eastAsiaTheme="minorHAnsi" w:hAnsi="Garamond"/>
        </w:rPr>
        <w:t xml:space="preserve">je </w:t>
      </w:r>
      <w:r w:rsidRPr="00180F73">
        <w:rPr>
          <w:rFonts w:ascii="Garamond" w:eastAsiaTheme="minorHAnsi" w:hAnsi="Garamond"/>
        </w:rPr>
        <w:t>të mundshme të dëmtuesit të specifikuar, siç referohet në pikën 2, të aneksit IV të këtij udhëzimi;</w:t>
      </w:r>
    </w:p>
    <w:p w14:paraId="3D2E7086" w14:textId="358AE6D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ç) përcakton:</w:t>
      </w:r>
    </w:p>
    <w:p w14:paraId="399FA650" w14:textId="52176FEB"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i</w:t>
      </w:r>
      <w:r w:rsidR="00D25756">
        <w:rPr>
          <w:rFonts w:ascii="Garamond" w:eastAsiaTheme="minorHAnsi" w:hAnsi="Garamond"/>
        </w:rPr>
        <w:t xml:space="preserve">. </w:t>
      </w:r>
      <w:r w:rsidRPr="00180F73">
        <w:rPr>
          <w:rFonts w:ascii="Garamond" w:eastAsiaTheme="minorHAnsi" w:hAnsi="Garamond"/>
        </w:rPr>
        <w:t>kriteret e cituar në shkronjën “i”, “b”</w:t>
      </w:r>
      <w:r w:rsidR="009728E0">
        <w:rPr>
          <w:rFonts w:ascii="Garamond" w:eastAsiaTheme="minorHAnsi" w:hAnsi="Garamond"/>
        </w:rPr>
        <w:t>,</w:t>
      </w:r>
      <w:r w:rsidRPr="00180F73">
        <w:rPr>
          <w:rFonts w:ascii="Garamond" w:eastAsiaTheme="minorHAnsi" w:hAnsi="Garamond"/>
        </w:rPr>
        <w:t xml:space="preserve"> si të infektuar;</w:t>
      </w:r>
    </w:p>
    <w:p w14:paraId="3CBC188A" w14:textId="2546A3C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lastRenderedPageBreak/>
        <w:t>ii</w:t>
      </w:r>
      <w:r w:rsidR="00D25756">
        <w:rPr>
          <w:rFonts w:ascii="Garamond" w:eastAsiaTheme="minorHAnsi" w:hAnsi="Garamond"/>
        </w:rPr>
        <w:t>.</w:t>
      </w:r>
      <w:r w:rsidRPr="00180F73">
        <w:rPr>
          <w:rFonts w:ascii="Garamond" w:eastAsiaTheme="minorHAnsi" w:hAnsi="Garamond"/>
        </w:rPr>
        <w:t xml:space="preserve"> kriteret e cituar në shkronjën “ii”, </w:t>
      </w:r>
      <w:r w:rsidR="00036FA4">
        <w:rPr>
          <w:rFonts w:ascii="Garamond" w:eastAsiaTheme="minorHAnsi" w:hAnsi="Garamond"/>
        </w:rPr>
        <w:t>“</w:t>
      </w:r>
      <w:r w:rsidRPr="00180F73">
        <w:rPr>
          <w:rFonts w:ascii="Garamond" w:eastAsiaTheme="minorHAnsi" w:hAnsi="Garamond"/>
        </w:rPr>
        <w:t>b</w:t>
      </w:r>
      <w:r w:rsidR="00036FA4">
        <w:rPr>
          <w:rFonts w:ascii="Garamond" w:eastAsiaTheme="minorHAnsi" w:hAnsi="Garamond"/>
        </w:rPr>
        <w:t>”</w:t>
      </w:r>
      <w:r w:rsidRPr="00180F73">
        <w:rPr>
          <w:rFonts w:ascii="Garamond" w:eastAsiaTheme="minorHAnsi" w:hAnsi="Garamond"/>
        </w:rPr>
        <w:t>, si potencialisht të infektuar.</w:t>
      </w:r>
    </w:p>
    <w:p w14:paraId="170638EE" w14:textId="11A2887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3. Kur prania e dëmtuesit të specifikuar konfirmohet në kulturat e bimëve bujtëse solanaceaous të ndryshme nga bimët e specifikuara dhe kur prodhimi i bimëve të specifikuara identifikohet me risk, AKVMB</w:t>
      </w:r>
      <w:r w:rsidR="00B717A3">
        <w:rPr>
          <w:rFonts w:ascii="Garamond" w:eastAsiaTheme="minorHAnsi" w:hAnsi="Garamond"/>
        </w:rPr>
        <w:t>-ja</w:t>
      </w:r>
      <w:r w:rsidRPr="00180F73">
        <w:rPr>
          <w:rFonts w:ascii="Garamond" w:eastAsiaTheme="minorHAnsi" w:hAnsi="Garamond"/>
        </w:rPr>
        <w:t xml:space="preserve"> merr masat e mëposhtme:</w:t>
      </w:r>
    </w:p>
    <w:p w14:paraId="64C2D149" w14:textId="01A176B0"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nisë hulumtim për të përcaktuar shtrirjen dhe burimin fillestar të infeksionit në përputhje me aneksin III, bashkëlidhur këtij udhëzimi, me teste të mëtejshme në përputhje me pikën 1, të nenit 4, të paktën në të gjitha rezervat klonike të zhardhokëve për mbjellje</w:t>
      </w:r>
      <w:r w:rsidR="00A86FE9">
        <w:rPr>
          <w:rFonts w:ascii="Garamond" w:eastAsiaTheme="minorHAnsi" w:hAnsi="Garamond"/>
        </w:rPr>
        <w:t>;</w:t>
      </w:r>
      <w:r w:rsidRPr="00180F73">
        <w:rPr>
          <w:rFonts w:ascii="Garamond" w:eastAsiaTheme="minorHAnsi" w:hAnsi="Garamond"/>
        </w:rPr>
        <w:t xml:space="preserve"> dhe</w:t>
      </w:r>
    </w:p>
    <w:p w14:paraId="20E3BAA8" w14:textId="513CB3B3"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të shpallin një zonë të shënuar, e cila do të përbëhet nga një zonë e infektuar.</w:t>
      </w:r>
    </w:p>
    <w:p w14:paraId="54BCA34C"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Zona e infektuar duhet të përmbajë, si vijon:</w:t>
      </w:r>
    </w:p>
    <w:p w14:paraId="63D17951" w14:textId="20C6BB36"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bimët bujtëse nga të cilat është marrë mostra e infektuar;</w:t>
      </w:r>
    </w:p>
    <w:p w14:paraId="7628090A" w14:textId="0308D0A6"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b) bimët bujtëse që mund të infektohen nga dëmtuesi i specifikuar dhe të përcaktuara si të infektuara potencialisht, nëpërmjet kontaktit para ose pas vjeljes ose nëpërmjet prodhimit të njëkohshëm, ujitjes ose fazave të spërkatjes me bimët bujtëse të infektuara. </w:t>
      </w:r>
    </w:p>
    <w:p w14:paraId="2167B72E" w14:textId="7AEA0A8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AKVMB</w:t>
      </w:r>
      <w:r w:rsidR="00B717A3">
        <w:rPr>
          <w:rFonts w:ascii="Garamond" w:eastAsiaTheme="minorHAnsi" w:hAnsi="Garamond"/>
        </w:rPr>
        <w:t>-ja</w:t>
      </w:r>
      <w:r w:rsidRPr="00180F73">
        <w:rPr>
          <w:rFonts w:ascii="Garamond" w:eastAsiaTheme="minorHAnsi" w:hAnsi="Garamond"/>
        </w:rPr>
        <w:t xml:space="preserve"> përcakton:</w:t>
      </w:r>
    </w:p>
    <w:p w14:paraId="22EB1463" w14:textId="2CC737F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bimët bujtëse të referuara në shkronjën “a” të pikës 2 të këtij neni, si të infektuara;</w:t>
      </w:r>
    </w:p>
    <w:p w14:paraId="2F79E80B" w14:textId="71BB322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bimët bujtëse të referuara në shkronjën “b” të pikës 2 të këtij neni, si potencialisht të infektuara.</w:t>
      </w:r>
    </w:p>
    <w:p w14:paraId="72C7ABCF" w14:textId="466E0E4C"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Kur prania e dëmtuesit të specifikuar konfirmohet në ujërat sipërfaqësore, në shkarkimet e mbeturinave të lëngshme nga përpunimi industrial ose nga ambientet e ambalazhimit që trajtojnë bimë të specifikuara ose në bimë bujtëse të egra të lidhura dhe ku prodhimi i bimëve të specifikuara identifikohet me risk nëpërmjet ujitjes, spërkatjes ose përmbytjes me ujë sipërfaqësor, AKVMB</w:t>
      </w:r>
      <w:r w:rsidR="00E72A61">
        <w:rPr>
          <w:rFonts w:ascii="Garamond" w:eastAsiaTheme="minorHAnsi" w:hAnsi="Garamond"/>
        </w:rPr>
        <w:t>-ja</w:t>
      </w:r>
      <w:r w:rsidRPr="00180F73">
        <w:rPr>
          <w:rFonts w:ascii="Garamond" w:eastAsiaTheme="minorHAnsi" w:hAnsi="Garamond"/>
        </w:rPr>
        <w:t xml:space="preserve"> merr masat e mëposhtme:</w:t>
      </w:r>
    </w:p>
    <w:p w14:paraId="71171EC7" w14:textId="7F6A84E0"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a) nisë një hulumtim në përputhje me aneksin III, bashkëlidhur këtij udhëzimi, duke përfshirë një vrojtim në kohë të përshtatshme mbi mostrat e ujërave sipërfaqësore dhe mbetjeve të lëngshme dhe mbi bimët bujtëse të egra </w:t>
      </w:r>
      <w:r w:rsidRPr="00180F73">
        <w:rPr>
          <w:rFonts w:ascii="Garamond" w:hAnsi="Garamond"/>
        </w:rPr>
        <w:t>solanaceous</w:t>
      </w:r>
      <w:r w:rsidRPr="00180F73">
        <w:rPr>
          <w:rFonts w:ascii="Garamond" w:eastAsiaTheme="minorHAnsi" w:hAnsi="Garamond"/>
        </w:rPr>
        <w:t>, nëse janë të pranishme, në mënyrë që të përcaktohet shtrirja e infeksionit</w:t>
      </w:r>
      <w:r w:rsidR="00A86FE9">
        <w:rPr>
          <w:rFonts w:ascii="Garamond" w:eastAsiaTheme="minorHAnsi" w:hAnsi="Garamond"/>
        </w:rPr>
        <w:t>;</w:t>
      </w:r>
      <w:r w:rsidRPr="00180F73">
        <w:rPr>
          <w:rFonts w:ascii="Garamond" w:eastAsiaTheme="minorHAnsi" w:hAnsi="Garamond"/>
        </w:rPr>
        <w:t xml:space="preserve"> dhe</w:t>
      </w:r>
    </w:p>
    <w:p w14:paraId="1F04BECB" w14:textId="7DB65C8E"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vendos një zonë të shënuar që përmban një zonë të infektuar duke marrë parasysh element</w:t>
      </w:r>
      <w:r w:rsidR="00A154F1">
        <w:rPr>
          <w:rFonts w:ascii="Garamond" w:eastAsiaTheme="minorHAnsi" w:hAnsi="Garamond"/>
        </w:rPr>
        <w:t>e</w:t>
      </w:r>
      <w:r w:rsidRPr="00180F73">
        <w:rPr>
          <w:rFonts w:ascii="Garamond" w:eastAsiaTheme="minorHAnsi" w:hAnsi="Garamond"/>
        </w:rPr>
        <w:t>t e një përhapjeje të mundshme të dëmtuesit të specifikuar</w:t>
      </w:r>
      <w:r w:rsidR="00597C29">
        <w:rPr>
          <w:rFonts w:ascii="Garamond" w:eastAsiaTheme="minorHAnsi" w:hAnsi="Garamond"/>
        </w:rPr>
        <w:t>,</w:t>
      </w:r>
      <w:r w:rsidRPr="00180F73">
        <w:rPr>
          <w:rFonts w:ascii="Garamond" w:eastAsiaTheme="minorHAnsi" w:hAnsi="Garamond"/>
        </w:rPr>
        <w:t xml:space="preserve"> siç përcaktohet në pikën 2, të aneksit IV bashkëlidhur këtij udhëzimi.</w:t>
      </w:r>
    </w:p>
    <w:p w14:paraId="7D9DCA46"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Zona e infektuar duhet të përmbajë, si vijon:</w:t>
      </w:r>
    </w:p>
    <w:p w14:paraId="4021653A" w14:textId="77777777" w:rsidR="008D07FA" w:rsidRPr="00180F73" w:rsidRDefault="007402C1" w:rsidP="008D07FA">
      <w:pPr>
        <w:ind w:firstLine="284"/>
        <w:jc w:val="both"/>
        <w:rPr>
          <w:rFonts w:ascii="Garamond" w:eastAsiaTheme="minorHAnsi" w:hAnsi="Garamond"/>
        </w:rPr>
      </w:pPr>
      <w:r w:rsidRPr="00180F73">
        <w:rPr>
          <w:rFonts w:ascii="Garamond" w:eastAsiaTheme="minorHAnsi" w:hAnsi="Garamond"/>
        </w:rPr>
        <w:t>a) ujin sipërfaqësor nga i cili është marrë mostra e infektuar;</w:t>
      </w:r>
    </w:p>
    <w:p w14:paraId="40DD02A8" w14:textId="5B7A5C7C" w:rsidR="007402C1" w:rsidRPr="00180F73" w:rsidRDefault="007402C1" w:rsidP="008D07FA">
      <w:pPr>
        <w:ind w:firstLine="284"/>
        <w:jc w:val="both"/>
        <w:rPr>
          <w:rFonts w:ascii="Garamond" w:eastAsiaTheme="minorHAnsi" w:hAnsi="Garamond"/>
        </w:rPr>
      </w:pPr>
      <w:r w:rsidRPr="00180F73">
        <w:rPr>
          <w:rFonts w:ascii="Garamond" w:eastAsiaTheme="minorHAnsi" w:hAnsi="Garamond"/>
        </w:rPr>
        <w:t>b) ujin sipërfaqësor që mund të infektohet, duke marrë parasysh element</w:t>
      </w:r>
      <w:r w:rsidR="00A154F1">
        <w:rPr>
          <w:rFonts w:ascii="Garamond" w:eastAsiaTheme="minorHAnsi" w:hAnsi="Garamond"/>
        </w:rPr>
        <w:t>e</w:t>
      </w:r>
      <w:r w:rsidRPr="00180F73">
        <w:rPr>
          <w:rFonts w:ascii="Garamond" w:eastAsiaTheme="minorHAnsi" w:hAnsi="Garamond"/>
        </w:rPr>
        <w:t>t e renditur</w:t>
      </w:r>
      <w:r w:rsidR="00A154F1">
        <w:rPr>
          <w:rFonts w:ascii="Garamond" w:eastAsiaTheme="minorHAnsi" w:hAnsi="Garamond"/>
        </w:rPr>
        <w:t>a</w:t>
      </w:r>
      <w:r w:rsidRPr="00180F73">
        <w:rPr>
          <w:rFonts w:ascii="Garamond" w:eastAsiaTheme="minorHAnsi" w:hAnsi="Garamond"/>
        </w:rPr>
        <w:t xml:space="preserve"> në pikën 1, të aneksit IV, bashkëlidhur këtij udhëzimi.</w:t>
      </w:r>
    </w:p>
    <w:p w14:paraId="30A6F66C" w14:textId="1571EA15"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AKVMB</w:t>
      </w:r>
      <w:r w:rsidR="00B717A3">
        <w:rPr>
          <w:rFonts w:ascii="Garamond" w:eastAsiaTheme="minorHAnsi" w:hAnsi="Garamond"/>
        </w:rPr>
        <w:t>-ja</w:t>
      </w:r>
      <w:r w:rsidRPr="00180F73">
        <w:rPr>
          <w:rFonts w:ascii="Garamond" w:eastAsiaTheme="minorHAnsi" w:hAnsi="Garamond"/>
        </w:rPr>
        <w:t xml:space="preserve"> përcakton:</w:t>
      </w:r>
    </w:p>
    <w:p w14:paraId="10484ECD" w14:textId="068B2669"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uji sipërfaqësor i përmendur në shkronjën “a”</w:t>
      </w:r>
      <w:r w:rsidR="00597C29">
        <w:rPr>
          <w:rFonts w:ascii="Garamond" w:eastAsiaTheme="minorHAnsi" w:hAnsi="Garamond"/>
        </w:rPr>
        <w:t>,</w:t>
      </w:r>
      <w:r w:rsidRPr="00180F73">
        <w:rPr>
          <w:rFonts w:ascii="Garamond" w:eastAsiaTheme="minorHAnsi" w:hAnsi="Garamond"/>
        </w:rPr>
        <w:t xml:space="preserve"> të pikës 2</w:t>
      </w:r>
      <w:r w:rsidR="00597C29">
        <w:rPr>
          <w:rFonts w:ascii="Garamond" w:eastAsiaTheme="minorHAnsi" w:hAnsi="Garamond"/>
        </w:rPr>
        <w:t>,</w:t>
      </w:r>
      <w:r w:rsidRPr="00180F73">
        <w:rPr>
          <w:rFonts w:ascii="Garamond" w:eastAsiaTheme="minorHAnsi" w:hAnsi="Garamond"/>
        </w:rPr>
        <w:t xml:space="preserve"> të këtij neni, si i infektuar;</w:t>
      </w:r>
    </w:p>
    <w:p w14:paraId="4103BF7A" w14:textId="01B5666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ujin sipërfaqësor të përmendur në shkronjën “a” të pikës 2 të këtij neni, si potencialisht e infektuar.</w:t>
      </w:r>
    </w:p>
    <w:p w14:paraId="47D57D37" w14:textId="383CD59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 xml:space="preserve">5. Kur një Drejtori Rajonale të Veterinarisë dhe Mbrojtjes së Bimëve (DRVMB) pranë AKVMB-së kanë konfirmuar zyrtarisht praninë e këtij dëmtuesi, DRVMB-ja që kufizohet, do të përcaktojnë shtrirjen potenciale të infeksionit dhe do </w:t>
      </w:r>
      <w:r w:rsidR="00597C29">
        <w:rPr>
          <w:rFonts w:ascii="Garamond" w:eastAsiaTheme="minorHAnsi" w:hAnsi="Garamond"/>
        </w:rPr>
        <w:t xml:space="preserve">të </w:t>
      </w:r>
      <w:r w:rsidRPr="00180F73">
        <w:rPr>
          <w:rFonts w:ascii="Garamond" w:eastAsiaTheme="minorHAnsi" w:hAnsi="Garamond"/>
        </w:rPr>
        <w:t>krijoj</w:t>
      </w:r>
      <w:r w:rsidR="00597C29">
        <w:rPr>
          <w:rFonts w:ascii="Garamond" w:eastAsiaTheme="minorHAnsi" w:hAnsi="Garamond"/>
        </w:rPr>
        <w:t>ë</w:t>
      </w:r>
      <w:r w:rsidRPr="00180F73">
        <w:rPr>
          <w:rFonts w:ascii="Garamond" w:eastAsiaTheme="minorHAnsi" w:hAnsi="Garamond"/>
        </w:rPr>
        <w:t xml:space="preserve"> një zonë të shënuar</w:t>
      </w:r>
      <w:r w:rsidR="00597C29">
        <w:rPr>
          <w:rFonts w:ascii="Garamond" w:eastAsiaTheme="minorHAnsi" w:hAnsi="Garamond"/>
        </w:rPr>
        <w:t>,</w:t>
      </w:r>
      <w:r w:rsidRPr="00180F73">
        <w:rPr>
          <w:rFonts w:ascii="Garamond" w:eastAsiaTheme="minorHAnsi" w:hAnsi="Garamond"/>
        </w:rPr>
        <w:t xml:space="preserve"> në përputhje me pikat 2, 3 dhe 4. Në rast shpërthimi në ujërat sipërfaqësore, nuk kërkohet njoftim s</w:t>
      </w:r>
      <w:r w:rsidRPr="00180F73">
        <w:rPr>
          <w:rFonts w:ascii="Garamond" w:hAnsi="Garamond"/>
        </w:rPr>
        <w:t xml:space="preserve">ipas nenit 15, të </w:t>
      </w:r>
      <w:r w:rsidR="00B524B7" w:rsidRPr="00180F73">
        <w:rPr>
          <w:rFonts w:ascii="Garamond" w:hAnsi="Garamond"/>
        </w:rPr>
        <w:t>ligjit</w:t>
      </w:r>
      <w:r w:rsidR="00B524B7">
        <w:rPr>
          <w:rFonts w:ascii="Garamond" w:hAnsi="Garamond"/>
        </w:rPr>
        <w:t xml:space="preserve"> nr.</w:t>
      </w:r>
      <w:r w:rsidR="00B524B7" w:rsidRPr="00180F73">
        <w:rPr>
          <w:rFonts w:ascii="Garamond" w:hAnsi="Garamond"/>
        </w:rPr>
        <w:t xml:space="preserve"> </w:t>
      </w:r>
      <w:r w:rsidRPr="00180F73">
        <w:rPr>
          <w:rFonts w:ascii="Garamond" w:hAnsi="Garamond"/>
        </w:rPr>
        <w:t xml:space="preserve">105/2016 “Për mbrojtjen e bimëve”, të ndryshuar, </w:t>
      </w:r>
      <w:r w:rsidRPr="00180F73">
        <w:rPr>
          <w:rFonts w:ascii="Garamond" w:eastAsiaTheme="minorHAnsi" w:hAnsi="Garamond"/>
        </w:rPr>
        <w:t>për ujërat sipërfaqësore të infektuara që janë në zonën e shënuar.</w:t>
      </w:r>
    </w:p>
    <w:p w14:paraId="64319546" w14:textId="4CF749F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6. ISUV</w:t>
      </w:r>
      <w:r w:rsidR="005B6CE3">
        <w:rPr>
          <w:rFonts w:ascii="Garamond" w:eastAsiaTheme="minorHAnsi" w:hAnsi="Garamond"/>
        </w:rPr>
        <w:t>-ja</w:t>
      </w:r>
      <w:r w:rsidRPr="00180F73">
        <w:rPr>
          <w:rFonts w:ascii="Garamond" w:eastAsiaTheme="minorHAnsi" w:hAnsi="Garamond"/>
        </w:rPr>
        <w:t xml:space="preserve"> garanton që të gjith</w:t>
      </w:r>
      <w:r w:rsidR="00A154F1">
        <w:rPr>
          <w:rFonts w:ascii="Garamond" w:eastAsiaTheme="minorHAnsi" w:hAnsi="Garamond"/>
        </w:rPr>
        <w:t>a</w:t>
      </w:r>
      <w:r w:rsidRPr="00180F73">
        <w:rPr>
          <w:rFonts w:ascii="Garamond" w:eastAsiaTheme="minorHAnsi" w:hAnsi="Garamond"/>
        </w:rPr>
        <w:t xml:space="preserve"> element</w:t>
      </w:r>
      <w:r w:rsidR="00A154F1">
        <w:rPr>
          <w:rFonts w:ascii="Garamond" w:eastAsiaTheme="minorHAnsi" w:hAnsi="Garamond"/>
        </w:rPr>
        <w:t>e</w:t>
      </w:r>
      <w:r w:rsidRPr="00180F73">
        <w:rPr>
          <w:rFonts w:ascii="Garamond" w:eastAsiaTheme="minorHAnsi" w:hAnsi="Garamond"/>
        </w:rPr>
        <w:t>t e mëposht</w:t>
      </w:r>
      <w:r w:rsidR="00A154F1">
        <w:rPr>
          <w:rFonts w:ascii="Garamond" w:eastAsiaTheme="minorHAnsi" w:hAnsi="Garamond"/>
        </w:rPr>
        <w:t>me</w:t>
      </w:r>
      <w:r w:rsidRPr="00180F73">
        <w:rPr>
          <w:rFonts w:ascii="Garamond" w:eastAsiaTheme="minorHAnsi" w:hAnsi="Garamond"/>
        </w:rPr>
        <w:t xml:space="preserve"> të ruhen dhe të konservohen siç duhet:</w:t>
      </w:r>
    </w:p>
    <w:p w14:paraId="5D3886A7" w14:textId="272653A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a) materialin e specifikuar në pikën 3, të nenit 4 deri të paktën deri në përfundimin e të gjitha testeve;</w:t>
      </w:r>
    </w:p>
    <w:p w14:paraId="5C92A7E8" w14:textId="046456DD"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b) materialin që lidhet me testin e dytë të zbulimit dhe me testet e identifikimit kur është e përshtatshme, deri në përfundimin e të gjitha testeve;</w:t>
      </w:r>
    </w:p>
    <w:p w14:paraId="01405710" w14:textId="10DAEBE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c) nëse është e aplikueshme, kultura e pastër e dëmtuesit të specifikuar deri të paktën një muaj pas njoftimit.</w:t>
      </w:r>
    </w:p>
    <w:p w14:paraId="1C58A3E2" w14:textId="77777777" w:rsidR="007402C1" w:rsidRPr="00180F73" w:rsidRDefault="007402C1" w:rsidP="007402C1">
      <w:pPr>
        <w:ind w:firstLine="284"/>
        <w:jc w:val="both"/>
        <w:rPr>
          <w:rFonts w:ascii="Garamond" w:eastAsiaTheme="minorHAnsi" w:hAnsi="Garamond"/>
        </w:rPr>
      </w:pPr>
    </w:p>
    <w:p w14:paraId="0F93C8E2"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6</w:t>
      </w:r>
    </w:p>
    <w:p w14:paraId="338E326C" w14:textId="77777777"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për çrrënjosjen e dëmtuesve të specifikuar</w:t>
      </w:r>
    </w:p>
    <w:p w14:paraId="713130C9" w14:textId="77777777" w:rsidR="007402C1" w:rsidRPr="00180F73" w:rsidRDefault="007402C1" w:rsidP="007402C1">
      <w:pPr>
        <w:ind w:firstLine="284"/>
        <w:jc w:val="both"/>
        <w:rPr>
          <w:rFonts w:ascii="Garamond" w:eastAsiaTheme="minorHAnsi" w:hAnsi="Garamond"/>
        </w:rPr>
      </w:pPr>
    </w:p>
    <w:p w14:paraId="07298586" w14:textId="682D6662"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Bimët e specifikuara të përcaktuara si të infektuara nga dëmtues i specifikuar</w:t>
      </w:r>
      <w:r w:rsidR="009728E0">
        <w:rPr>
          <w:rFonts w:ascii="Garamond" w:eastAsiaTheme="minorHAnsi" w:hAnsi="Garamond"/>
        </w:rPr>
        <w:t>,</w:t>
      </w:r>
      <w:r w:rsidRPr="00180F73">
        <w:rPr>
          <w:rFonts w:ascii="Garamond" w:eastAsiaTheme="minorHAnsi" w:hAnsi="Garamond"/>
        </w:rPr>
        <w:t xml:space="preserve"> në përputhje me shkronjën “i”, “ç” të pikës 2, të nenit 5, nuk do të mbillen. AKVMB</w:t>
      </w:r>
      <w:r w:rsidR="00A411C6">
        <w:rPr>
          <w:rFonts w:ascii="Garamond" w:eastAsiaTheme="minorHAnsi" w:hAnsi="Garamond"/>
        </w:rPr>
        <w:t>-ja</w:t>
      </w:r>
      <w:r w:rsidRPr="00180F73">
        <w:rPr>
          <w:rFonts w:ascii="Garamond" w:eastAsiaTheme="minorHAnsi" w:hAnsi="Garamond"/>
        </w:rPr>
        <w:t xml:space="preserve"> garanton që bimët e specifikuara të infektuara të shkatërrohen ose të asgjësohen ndryshe në një mënyrë tjetër, në përputhje me pikën 1, të aneksit V, bashkëlidhur këtij udhëzimi, me kusht që të vërtetohet se nuk ka risk të identifikueshëm për përhapjen e dëmtuesve të specifikuar.</w:t>
      </w:r>
    </w:p>
    <w:p w14:paraId="5EF4102A" w14:textId="30BD998A"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Kur bimët e specifikuara janë mbjellë përpara se të përcaktohen si të infektuara, materiali i mbjellë do të shkatërrohet menjëherë ose do të asgjësohet në një mënyrë tjetër</w:t>
      </w:r>
      <w:r w:rsidR="009728E0">
        <w:rPr>
          <w:rFonts w:ascii="Garamond" w:eastAsiaTheme="minorHAnsi" w:hAnsi="Garamond"/>
        </w:rPr>
        <w:t>,</w:t>
      </w:r>
      <w:r w:rsidRPr="00180F73">
        <w:rPr>
          <w:rFonts w:ascii="Garamond" w:eastAsiaTheme="minorHAnsi" w:hAnsi="Garamond"/>
        </w:rPr>
        <w:t xml:space="preserve"> në përputhje me pikën 1, të aneksit V, bashkëlidhur këtij udhëzimi. Vendndodhja e prodhimit ku janë mbjellë bimët e specifikuara të infektuara duhet të cilësohen si të infektuar. Një zonë e shënuar do të vendoset në përputhje me shkronjën “b” të pikës 2, të nenit 5.</w:t>
      </w:r>
    </w:p>
    <w:p w14:paraId="541CF4B9" w14:textId="315BDFE4"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Bimët e specifikuara të përcaktuara si të mundshme të infektuara</w:t>
      </w:r>
      <w:r w:rsidR="009728E0">
        <w:rPr>
          <w:rFonts w:ascii="Garamond" w:eastAsiaTheme="minorHAnsi" w:hAnsi="Garamond"/>
        </w:rPr>
        <w:t>,</w:t>
      </w:r>
      <w:r w:rsidRPr="00180F73">
        <w:rPr>
          <w:rFonts w:ascii="Garamond" w:eastAsiaTheme="minorHAnsi" w:hAnsi="Garamond"/>
        </w:rPr>
        <w:t xml:space="preserve"> sipas </w:t>
      </w:r>
      <w:r w:rsidRPr="00036FA4">
        <w:rPr>
          <w:rFonts w:ascii="Garamond" w:eastAsiaTheme="minorHAnsi" w:hAnsi="Garamond"/>
        </w:rPr>
        <w:t>shkronjës “ii”, “b”</w:t>
      </w:r>
      <w:r w:rsidR="009728E0" w:rsidRPr="00036FA4">
        <w:rPr>
          <w:rFonts w:ascii="Garamond" w:eastAsiaTheme="minorHAnsi" w:hAnsi="Garamond"/>
        </w:rPr>
        <w:t>,</w:t>
      </w:r>
      <w:r w:rsidRPr="00036FA4">
        <w:rPr>
          <w:rFonts w:ascii="Garamond" w:eastAsiaTheme="minorHAnsi" w:hAnsi="Garamond"/>
        </w:rPr>
        <w:t xml:space="preserve"> të</w:t>
      </w:r>
      <w:r w:rsidRPr="00180F73">
        <w:rPr>
          <w:rFonts w:ascii="Garamond" w:eastAsiaTheme="minorHAnsi" w:hAnsi="Garamond"/>
        </w:rPr>
        <w:t xml:space="preserve"> pikës 2, të nenit 5 dhe bimët e specifikuara për të cilat është identifikuar një risk</w:t>
      </w:r>
      <w:r w:rsidR="009728E0">
        <w:rPr>
          <w:rFonts w:ascii="Garamond" w:eastAsiaTheme="minorHAnsi" w:hAnsi="Garamond"/>
        </w:rPr>
        <w:t>,</w:t>
      </w:r>
      <w:r w:rsidRPr="00180F73">
        <w:rPr>
          <w:rFonts w:ascii="Garamond" w:eastAsiaTheme="minorHAnsi" w:hAnsi="Garamond"/>
        </w:rPr>
        <w:t xml:space="preserve"> sipas pikës 4 të nenit 5, nuk do të mbillen dhe </w:t>
      </w:r>
      <w:r w:rsidRPr="00180F73">
        <w:rPr>
          <w:rFonts w:ascii="Garamond" w:hAnsi="Garamond"/>
        </w:rPr>
        <w:t>n</w:t>
      </w:r>
      <w:r w:rsidRPr="00180F73">
        <w:rPr>
          <w:rFonts w:ascii="Garamond" w:eastAsiaTheme="minorHAnsi" w:hAnsi="Garamond"/>
        </w:rPr>
        <w:t>ë</w:t>
      </w:r>
      <w:r w:rsidRPr="00180F73">
        <w:rPr>
          <w:rFonts w:ascii="Garamond" w:hAnsi="Garamond"/>
        </w:rPr>
        <w:t>n</w:t>
      </w:r>
      <w:r w:rsidRPr="00180F73">
        <w:rPr>
          <w:rFonts w:ascii="Garamond" w:eastAsiaTheme="minorHAnsi" w:hAnsi="Garamond"/>
        </w:rPr>
        <w:t xml:space="preserve"> kontrolli</w:t>
      </w:r>
      <w:r w:rsidRPr="00180F73">
        <w:rPr>
          <w:rFonts w:ascii="Garamond" w:hAnsi="Garamond"/>
        </w:rPr>
        <w:t xml:space="preserve">n e </w:t>
      </w:r>
      <w:r w:rsidRPr="00180F73">
        <w:rPr>
          <w:rFonts w:ascii="Garamond" w:eastAsiaTheme="minorHAnsi" w:hAnsi="Garamond"/>
        </w:rPr>
        <w:t>AKVMB</w:t>
      </w:r>
      <w:r w:rsidRPr="00180F73">
        <w:rPr>
          <w:rFonts w:ascii="Garamond" w:hAnsi="Garamond"/>
        </w:rPr>
        <w:t>-s</w:t>
      </w:r>
      <w:r w:rsidRPr="00180F73">
        <w:rPr>
          <w:rFonts w:ascii="Garamond" w:eastAsiaTheme="minorHAnsi" w:hAnsi="Garamond"/>
        </w:rPr>
        <w:t>ë, të vihet në përdorimin ose asgjësimin e duhur</w:t>
      </w:r>
      <w:r w:rsidR="009728E0">
        <w:rPr>
          <w:rFonts w:ascii="Garamond" w:eastAsiaTheme="minorHAnsi" w:hAnsi="Garamond"/>
        </w:rPr>
        <w:t>,</w:t>
      </w:r>
      <w:r w:rsidRPr="00180F73">
        <w:rPr>
          <w:rFonts w:ascii="Garamond" w:eastAsiaTheme="minorHAnsi" w:hAnsi="Garamond"/>
        </w:rPr>
        <w:t xml:space="preserve"> siç përcaktohet në pikën 2, të aneksit V, bashkëlidhur këtij udhëzimi, me kusht që të vërtetohet se nuk ka risk të identifikueshëm për përhapjen e dëmtuesit të specifikuar. </w:t>
      </w:r>
    </w:p>
    <w:p w14:paraId="74CB610C"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Kur bimët e specifikuara janë mbjellë përpara se të përcaktohen si të mundshme të infektuara, materiali i mbjellë do të shkatërrohet menjëherë ose do të zbatohen masat e specifikuara në pikën 2, të aneksit VI, bashkëlidhur këtij udhëzimi. Vendndodhja e prodhimit ku janë mbjellë bimët e specifikuara potencialisht të infektuara duhet të përcaktohen si të infektuara potencialisht. Një zonë e shënuar do të krijohet në përputhje me shkronjën “b” të pikës 2, të nenit 5.</w:t>
      </w:r>
    </w:p>
    <w:p w14:paraId="3956FC13" w14:textId="222E6319"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3. Çdo makineri, mjet, anije, magazinë ose njësi të tyre, dhe çdo objekt tjetër, duke përfshirë materialin e ambalazhit, të përcaktuar si të infektuar në bazë të shkronjës “i”, “ç” të pikës 2, të nenit 5 ose ndoshta të infektuar sipas shkronjës “ii”, “ç” të pikës 2 të nenit 5, dhe shkronja “b” e nënparagrafit të tretë të pikës “4” e nenit 5, do të shkatërrohen ose</w:t>
      </w:r>
      <w:r w:rsidR="009728E0">
        <w:rPr>
          <w:rFonts w:ascii="Garamond" w:eastAsiaTheme="minorHAnsi" w:hAnsi="Garamond"/>
        </w:rPr>
        <w:t xml:space="preserve"> do të </w:t>
      </w:r>
      <w:r w:rsidRPr="00180F73">
        <w:rPr>
          <w:rFonts w:ascii="Garamond" w:eastAsiaTheme="minorHAnsi" w:hAnsi="Garamond"/>
        </w:rPr>
        <w:t>pastrohen dhe dezinfektohen</w:t>
      </w:r>
      <w:r w:rsidR="003C4195">
        <w:rPr>
          <w:rFonts w:ascii="Garamond" w:eastAsiaTheme="minorHAnsi" w:hAnsi="Garamond"/>
        </w:rPr>
        <w:t>,</w:t>
      </w:r>
      <w:r w:rsidRPr="00180F73">
        <w:rPr>
          <w:rFonts w:ascii="Garamond" w:eastAsiaTheme="minorHAnsi" w:hAnsi="Garamond"/>
        </w:rPr>
        <w:t xml:space="preserve"> duke përdorur metodat e specifikuara në pikën 3, të aneksit V, bashkëlidhur këtij udhëzimi.</w:t>
      </w:r>
    </w:p>
    <w:p w14:paraId="59114256"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4. Përveç masave të parashikuara në pikat 1, 2 dhe 3, masat e përcaktuara në pikën 4, të aneksit V, bashkëlidhur këtij udhëzimi zbatohen në zonat e përcaktuara.</w:t>
      </w:r>
    </w:p>
    <w:p w14:paraId="062ACA7E" w14:textId="77777777" w:rsidR="007402C1" w:rsidRPr="00180F73" w:rsidRDefault="007402C1" w:rsidP="007402C1">
      <w:pPr>
        <w:ind w:firstLine="284"/>
        <w:jc w:val="both"/>
        <w:rPr>
          <w:rFonts w:ascii="Garamond" w:eastAsiaTheme="minorHAnsi" w:hAnsi="Garamond"/>
        </w:rPr>
      </w:pPr>
    </w:p>
    <w:p w14:paraId="32A6F0CE" w14:textId="77777777"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t>Neni 7</w:t>
      </w:r>
    </w:p>
    <w:p w14:paraId="4970EF0B" w14:textId="77777777" w:rsidR="007402C1" w:rsidRPr="00180F73" w:rsidRDefault="007402C1" w:rsidP="008D07FA">
      <w:pPr>
        <w:ind w:firstLine="284"/>
        <w:jc w:val="center"/>
        <w:rPr>
          <w:rFonts w:ascii="Garamond" w:eastAsiaTheme="minorHAnsi" w:hAnsi="Garamond"/>
          <w:b/>
        </w:rPr>
      </w:pPr>
      <w:r w:rsidRPr="00180F73">
        <w:rPr>
          <w:rFonts w:ascii="Garamond" w:eastAsiaTheme="minorHAnsi" w:hAnsi="Garamond"/>
          <w:b/>
        </w:rPr>
        <w:t>Masat specifike të testimit për zhardhokët për mbjellje</w:t>
      </w:r>
    </w:p>
    <w:p w14:paraId="0C8F5B88" w14:textId="77777777" w:rsidR="007402C1" w:rsidRPr="00180F73" w:rsidRDefault="007402C1" w:rsidP="007402C1">
      <w:pPr>
        <w:ind w:firstLine="284"/>
        <w:jc w:val="both"/>
        <w:rPr>
          <w:rFonts w:ascii="Garamond" w:eastAsiaTheme="minorHAnsi" w:hAnsi="Garamond"/>
        </w:rPr>
      </w:pPr>
    </w:p>
    <w:p w14:paraId="72B71E69" w14:textId="0CE3A5D6"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1. Kur prania e dëmtuesit të specifikuar është konfirmuar zyrtarisht nga ISUV</w:t>
      </w:r>
      <w:r w:rsidR="00B717A3">
        <w:rPr>
          <w:rFonts w:ascii="Garamond" w:eastAsiaTheme="minorHAnsi" w:hAnsi="Garamond"/>
        </w:rPr>
        <w:t>-ja</w:t>
      </w:r>
      <w:r w:rsidRPr="00180F73">
        <w:rPr>
          <w:rFonts w:ascii="Garamond" w:eastAsiaTheme="minorHAnsi" w:hAnsi="Garamond"/>
        </w:rPr>
        <w:t>, në një vendndodhje prodhimi të zhardhokëve për mbjellje, AKVMB</w:t>
      </w:r>
      <w:r w:rsidR="00A411C6">
        <w:rPr>
          <w:rFonts w:ascii="Garamond" w:eastAsiaTheme="minorHAnsi" w:hAnsi="Garamond"/>
        </w:rPr>
        <w:t>-ja</w:t>
      </w:r>
      <w:r w:rsidRPr="00180F73">
        <w:rPr>
          <w:rFonts w:ascii="Garamond" w:eastAsiaTheme="minorHAnsi" w:hAnsi="Garamond"/>
        </w:rPr>
        <w:t xml:space="preserve"> duhet të garantojnë që testet e përmendura në aneksin I, bashkëlidhur këtij udhëzimi, të kryhen në linjat e lidhura klonisht të loteve të </w:t>
      </w:r>
      <w:r w:rsidRPr="00E76DC7">
        <w:rPr>
          <w:rFonts w:ascii="Garamond" w:eastAsiaTheme="minorHAnsi" w:hAnsi="Garamond"/>
        </w:rPr>
        <w:t>infektuara të zhardhokëve ose kur konstatohet mungesa e linjave të lidhura me klonim, në zhardhokët ose shumë zhardhokët që</w:t>
      </w:r>
      <w:r w:rsidRPr="00180F73">
        <w:rPr>
          <w:rFonts w:ascii="Garamond" w:eastAsiaTheme="minorHAnsi" w:hAnsi="Garamond"/>
        </w:rPr>
        <w:t xml:space="preserve"> kanë qenë në kontakt të drejtpërdrejtë ose të tërthortë me lotet e infektuara të zhardhokëve.</w:t>
      </w:r>
    </w:p>
    <w:p w14:paraId="76169036" w14:textId="3D7D9D38"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Kur prania e dëmtuesit të specifikuar është konfirmuar zyrtarisht nga ISUV</w:t>
      </w:r>
      <w:r w:rsidR="00B717A3">
        <w:rPr>
          <w:rFonts w:ascii="Garamond" w:eastAsiaTheme="minorHAnsi" w:hAnsi="Garamond"/>
        </w:rPr>
        <w:t>-ja</w:t>
      </w:r>
      <w:r w:rsidRPr="00180F73">
        <w:rPr>
          <w:rFonts w:ascii="Garamond" w:eastAsiaTheme="minorHAnsi" w:hAnsi="Garamond"/>
        </w:rPr>
        <w:t>, në vendndodhjet e prodhimit të zhardhokëve për mbjellje në një skemë certifikimi, testet e përmendura në aneksin I, bashkëlidhur këtij udhëzimi, do të kryhen ose në secilën bimë të përzgjedhjes klonale fillestare ose në mostrat përfaqësuese të farërave bazë të patateve.</w:t>
      </w:r>
    </w:p>
    <w:p w14:paraId="2147CB28" w14:textId="77777777" w:rsidR="007402C1" w:rsidRPr="00180F73" w:rsidRDefault="007402C1" w:rsidP="007402C1">
      <w:pPr>
        <w:ind w:firstLine="284"/>
        <w:jc w:val="both"/>
        <w:rPr>
          <w:rFonts w:ascii="Garamond" w:eastAsiaTheme="minorHAnsi" w:hAnsi="Garamond"/>
        </w:rPr>
      </w:pPr>
    </w:p>
    <w:p w14:paraId="6F33E04E" w14:textId="77777777" w:rsidR="00917640" w:rsidRDefault="00917640" w:rsidP="008D07FA">
      <w:pPr>
        <w:ind w:firstLine="284"/>
        <w:jc w:val="center"/>
        <w:rPr>
          <w:rFonts w:ascii="Garamond" w:eastAsiaTheme="minorHAnsi" w:hAnsi="Garamond"/>
        </w:rPr>
      </w:pPr>
    </w:p>
    <w:p w14:paraId="54E20317" w14:textId="77777777" w:rsidR="00917640" w:rsidRDefault="00917640" w:rsidP="008D07FA">
      <w:pPr>
        <w:ind w:firstLine="284"/>
        <w:jc w:val="center"/>
        <w:rPr>
          <w:rFonts w:ascii="Garamond" w:eastAsiaTheme="minorHAnsi" w:hAnsi="Garamond"/>
        </w:rPr>
      </w:pPr>
    </w:p>
    <w:p w14:paraId="5A49859C" w14:textId="3430F2DE" w:rsidR="007402C1" w:rsidRPr="00180F73" w:rsidRDefault="007402C1" w:rsidP="008D07FA">
      <w:pPr>
        <w:ind w:firstLine="284"/>
        <w:jc w:val="center"/>
        <w:rPr>
          <w:rFonts w:ascii="Garamond" w:eastAsiaTheme="minorHAnsi" w:hAnsi="Garamond"/>
        </w:rPr>
      </w:pPr>
      <w:r w:rsidRPr="00180F73">
        <w:rPr>
          <w:rFonts w:ascii="Garamond" w:eastAsiaTheme="minorHAnsi" w:hAnsi="Garamond"/>
        </w:rPr>
        <w:lastRenderedPageBreak/>
        <w:t>Neni 8</w:t>
      </w:r>
    </w:p>
    <w:p w14:paraId="5197A7D5" w14:textId="77777777" w:rsidR="007402C1" w:rsidRPr="00180F73" w:rsidRDefault="007402C1" w:rsidP="008D07FA">
      <w:pPr>
        <w:ind w:firstLine="284"/>
        <w:jc w:val="center"/>
        <w:rPr>
          <w:rFonts w:ascii="Garamond" w:eastAsiaTheme="minorHAnsi" w:hAnsi="Garamond"/>
          <w:b/>
        </w:rPr>
      </w:pPr>
      <w:r w:rsidRPr="00180F73">
        <w:rPr>
          <w:rFonts w:ascii="Garamond" w:eastAsia="MS Mincho" w:hAnsi="Garamond"/>
          <w:b/>
        </w:rPr>
        <w:t xml:space="preserve">Dispozitat përfundimtare dhe </w:t>
      </w:r>
      <w:r w:rsidRPr="00180F73">
        <w:rPr>
          <w:rFonts w:ascii="Garamond" w:eastAsiaTheme="minorHAnsi" w:hAnsi="Garamond"/>
          <w:b/>
        </w:rPr>
        <w:t>hyrja në fuqi</w:t>
      </w:r>
    </w:p>
    <w:p w14:paraId="420E8160" w14:textId="77777777" w:rsidR="007402C1" w:rsidRPr="00180F73" w:rsidRDefault="007402C1" w:rsidP="007402C1">
      <w:pPr>
        <w:ind w:firstLine="284"/>
        <w:jc w:val="both"/>
        <w:rPr>
          <w:rFonts w:ascii="Garamond" w:eastAsiaTheme="minorHAnsi" w:hAnsi="Garamond"/>
        </w:rPr>
      </w:pPr>
    </w:p>
    <w:p w14:paraId="41862866" w14:textId="77777777" w:rsidR="007402C1" w:rsidRPr="00180F73" w:rsidRDefault="007402C1" w:rsidP="002271C4">
      <w:pPr>
        <w:pStyle w:val="TEKSTI"/>
      </w:pPr>
      <w:r w:rsidRPr="00180F73">
        <w:t xml:space="preserve">1. Ngarkohen për zbatimin e këtij udhëzimi, </w:t>
      </w:r>
      <w:bookmarkStart w:id="1" w:name="_Hlk170845573"/>
      <w:r w:rsidRPr="00180F73">
        <w:t>Autoriteti Kombëtar i Veterinarisë dhe Mbrojtjes së Bimëve dhe Instituti i Sigurisë Ushqimore Veterinare.</w:t>
      </w:r>
      <w:bookmarkEnd w:id="1"/>
    </w:p>
    <w:p w14:paraId="798CEB20" w14:textId="77777777" w:rsidR="007402C1" w:rsidRPr="00180F73" w:rsidRDefault="007402C1" w:rsidP="007402C1">
      <w:pPr>
        <w:ind w:firstLine="284"/>
        <w:jc w:val="both"/>
        <w:rPr>
          <w:rFonts w:ascii="Garamond" w:eastAsiaTheme="minorHAnsi" w:hAnsi="Garamond"/>
        </w:rPr>
      </w:pPr>
      <w:r w:rsidRPr="00180F73">
        <w:rPr>
          <w:rFonts w:ascii="Garamond" w:eastAsiaTheme="minorHAnsi" w:hAnsi="Garamond"/>
        </w:rPr>
        <w:t>2. Ky udhëzim hyn në fuqi pas botimit në Fletoren Zyrtare dhe i shtrin efektet nga data 15 janar 2025.</w:t>
      </w:r>
    </w:p>
    <w:p w14:paraId="2E251BEB" w14:textId="77777777" w:rsidR="007402C1" w:rsidRPr="00180F73" w:rsidRDefault="007402C1" w:rsidP="007402C1">
      <w:pPr>
        <w:ind w:firstLine="284"/>
        <w:jc w:val="right"/>
        <w:rPr>
          <w:rFonts w:ascii="Garamond" w:eastAsiaTheme="minorHAnsi" w:hAnsi="Garamond"/>
        </w:rPr>
      </w:pPr>
    </w:p>
    <w:p w14:paraId="72C65963" w14:textId="34D03F5C" w:rsidR="007402C1" w:rsidRPr="00180F73" w:rsidRDefault="007402C1" w:rsidP="007402C1">
      <w:pPr>
        <w:ind w:firstLine="284"/>
        <w:jc w:val="right"/>
        <w:rPr>
          <w:rFonts w:ascii="Garamond" w:eastAsiaTheme="minorEastAsia" w:hAnsi="Garamond"/>
        </w:rPr>
      </w:pPr>
      <w:r w:rsidRPr="00180F73">
        <w:rPr>
          <w:rFonts w:ascii="Garamond" w:eastAsiaTheme="minorEastAsia" w:hAnsi="Garamond"/>
        </w:rPr>
        <w:t xml:space="preserve">MINISTËR I </w:t>
      </w:r>
      <w:r w:rsidRPr="00180F73">
        <w:rPr>
          <w:rFonts w:ascii="Garamond" w:hAnsi="Garamond"/>
          <w:color w:val="000000"/>
        </w:rPr>
        <w:t>BUJQËSISË DHE ZHVILLIMIT RURAL</w:t>
      </w:r>
    </w:p>
    <w:p w14:paraId="3E602759" w14:textId="77777777" w:rsidR="007402C1" w:rsidRPr="00180F73" w:rsidRDefault="007402C1" w:rsidP="007402C1">
      <w:pPr>
        <w:ind w:firstLine="284"/>
        <w:jc w:val="right"/>
        <w:rPr>
          <w:rFonts w:ascii="Garamond" w:eastAsiaTheme="minorEastAsia" w:hAnsi="Garamond"/>
          <w:b/>
        </w:rPr>
      </w:pPr>
      <w:r w:rsidRPr="00180F73">
        <w:rPr>
          <w:rFonts w:ascii="Garamond" w:eastAsiaTheme="minorEastAsia" w:hAnsi="Garamond"/>
          <w:b/>
        </w:rPr>
        <w:t>Anila Denaj</w:t>
      </w:r>
    </w:p>
    <w:p w14:paraId="247A7A3A" w14:textId="7C02FB69" w:rsidR="000F74B6" w:rsidRPr="00180F73" w:rsidRDefault="000F74B6" w:rsidP="007402C1">
      <w:pPr>
        <w:jc w:val="right"/>
        <w:rPr>
          <w:b/>
        </w:rPr>
      </w:pPr>
    </w:p>
    <w:p w14:paraId="1F251BCB" w14:textId="01B3AB3E" w:rsidR="002271C4" w:rsidRDefault="00B768D4" w:rsidP="002271C4">
      <w:pPr>
        <w:autoSpaceDE w:val="0"/>
        <w:autoSpaceDN w:val="0"/>
        <w:adjustRightInd w:val="0"/>
        <w:ind w:firstLine="284"/>
        <w:jc w:val="center"/>
        <w:rPr>
          <w:rFonts w:ascii="Garamond" w:eastAsiaTheme="minorHAnsi" w:hAnsi="Garamond"/>
          <w:lang w:eastAsia="en-US"/>
        </w:rPr>
      </w:pPr>
      <w:r w:rsidRPr="00B768D4">
        <w:rPr>
          <w:rFonts w:ascii="Garamond" w:eastAsiaTheme="minorHAnsi" w:hAnsi="Garamond"/>
          <w:lang w:eastAsia="en-US"/>
        </w:rPr>
        <w:t>ANEKSI I</w:t>
      </w:r>
    </w:p>
    <w:p w14:paraId="64BD107C" w14:textId="77777777" w:rsidR="003D0B46" w:rsidRPr="00B768D4" w:rsidRDefault="003D0B46" w:rsidP="002271C4">
      <w:pPr>
        <w:autoSpaceDE w:val="0"/>
        <w:autoSpaceDN w:val="0"/>
        <w:adjustRightInd w:val="0"/>
        <w:ind w:firstLine="284"/>
        <w:jc w:val="center"/>
        <w:rPr>
          <w:rFonts w:ascii="Garamond" w:eastAsiaTheme="minorHAnsi" w:hAnsi="Garamond"/>
          <w:lang w:eastAsia="en-US"/>
        </w:rPr>
      </w:pPr>
    </w:p>
    <w:p w14:paraId="5F900530" w14:textId="6590DE79" w:rsidR="002271C4" w:rsidRPr="003D0B46" w:rsidRDefault="003D0B46" w:rsidP="003D0B46">
      <w:pPr>
        <w:autoSpaceDE w:val="0"/>
        <w:autoSpaceDN w:val="0"/>
        <w:adjustRightInd w:val="0"/>
        <w:ind w:firstLine="284"/>
        <w:rPr>
          <w:rFonts w:ascii="Garamond" w:eastAsiaTheme="minorHAnsi" w:hAnsi="Garamond"/>
          <w:b/>
          <w:bCs/>
          <w:lang w:eastAsia="en-US"/>
        </w:rPr>
      </w:pPr>
      <w:r w:rsidRPr="003D0B46">
        <w:rPr>
          <w:rFonts w:ascii="Garamond" w:eastAsiaTheme="minorHAnsi" w:hAnsi="Garamond"/>
          <w:b/>
          <w:bCs/>
          <w:lang w:eastAsia="en-US"/>
        </w:rPr>
        <w:t>Skema për testet që do të kryhen në përputhje me nenet 3, 4, 5 dhe 7</w:t>
      </w:r>
    </w:p>
    <w:p w14:paraId="01F45F66" w14:textId="309DE2B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1. PARIMET E PËRGJITHSHME MBI </w:t>
      </w:r>
      <w:r w:rsidR="00786B58" w:rsidRPr="00180F73">
        <w:rPr>
          <w:rFonts w:ascii="Garamond" w:eastAsiaTheme="minorHAnsi" w:hAnsi="Garamond"/>
          <w:bCs/>
          <w:lang w:eastAsia="en-US"/>
        </w:rPr>
        <w:t>PRANIN</w:t>
      </w:r>
      <w:r w:rsidR="00786B58">
        <w:rPr>
          <w:rFonts w:ascii="Garamond" w:eastAsiaTheme="minorHAnsi" w:hAnsi="Garamond"/>
          <w:bCs/>
          <w:lang w:eastAsia="en-US"/>
        </w:rPr>
        <w:t>Ë</w:t>
      </w:r>
      <w:r w:rsidR="00786B58" w:rsidRPr="00180F73">
        <w:rPr>
          <w:rFonts w:ascii="Garamond" w:eastAsiaTheme="minorHAnsi" w:hAnsi="Garamond"/>
          <w:bCs/>
          <w:lang w:eastAsia="en-US"/>
        </w:rPr>
        <w:t xml:space="preserve"> </w:t>
      </w:r>
      <w:r w:rsidRPr="00180F73">
        <w:rPr>
          <w:rFonts w:ascii="Garamond" w:eastAsiaTheme="minorHAnsi" w:hAnsi="Garamond"/>
          <w:bCs/>
          <w:lang w:eastAsia="en-US"/>
        </w:rPr>
        <w:t>E DËMTUESIT TË SPECIFIKUAR</w:t>
      </w:r>
    </w:p>
    <w:p w14:paraId="7142043B"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1.1. Prania e dëmtuesit të specifikuar dyshohet kur merret një rezultat pozitiv në testin e parë të zbulimit të kryer në bimët e specifikuar ose në mostrat e ujit.</w:t>
      </w:r>
    </w:p>
    <w:p w14:paraId="546BADAF"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1.2. Prania e dëmtuesit të specifikuar konfirmohet në rastet e mëposhtme:</w:t>
      </w:r>
    </w:p>
    <w:p w14:paraId="2166F908" w14:textId="126A3F7A"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a) kur testi i parë ose i dytë i zbulimit është një izolim selektiv që rezulton në koloni me morfologji tipike dhe rezultatet pozitive merren në dy teste identifikimi të kryera në koloni;</w:t>
      </w:r>
    </w:p>
    <w:p w14:paraId="0A58BDF8" w14:textId="1111F115"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b) kur testi i parë dhe i dytë janë teste të ndryshme nga një izolim selektiv, dhe rezultatet pozitive merren në dy teste identifikimi pasi mostra i është nënshtruar izolimit selektiv që rezulton në koloni me morfologji tipike.</w:t>
      </w:r>
    </w:p>
    <w:p w14:paraId="0A6B7365" w14:textId="1A876B9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Një nga këto dy teste</w:t>
      </w:r>
      <w:r w:rsidR="00B625E6">
        <w:rPr>
          <w:rFonts w:ascii="Garamond" w:eastAsiaTheme="minorHAnsi" w:hAnsi="Garamond"/>
          <w:bCs/>
          <w:lang w:eastAsia="en-US"/>
        </w:rPr>
        <w:t>,</w:t>
      </w:r>
      <w:r w:rsidRPr="00180F73">
        <w:rPr>
          <w:rFonts w:ascii="Garamond" w:eastAsiaTheme="minorHAnsi" w:hAnsi="Garamond"/>
          <w:bCs/>
          <w:lang w:eastAsia="en-US"/>
        </w:rPr>
        <w:t xml:space="preserve"> identifikimi do të jetë një test i përmendur në shkronjat </w:t>
      </w:r>
      <w:r w:rsidR="00B625E6">
        <w:rPr>
          <w:rFonts w:ascii="Garamond" w:eastAsiaTheme="minorHAnsi" w:hAnsi="Garamond"/>
          <w:bCs/>
          <w:lang w:eastAsia="en-US"/>
        </w:rPr>
        <w:t>“</w:t>
      </w:r>
      <w:r w:rsidRPr="00180F73">
        <w:rPr>
          <w:rFonts w:ascii="Garamond" w:eastAsiaTheme="minorHAnsi" w:hAnsi="Garamond"/>
          <w:bCs/>
          <w:lang w:eastAsia="en-US"/>
        </w:rPr>
        <w:t>d</w:t>
      </w:r>
      <w:r w:rsidR="00B625E6">
        <w:rPr>
          <w:rFonts w:ascii="Garamond" w:eastAsiaTheme="minorHAnsi" w:hAnsi="Garamond"/>
          <w:bCs/>
          <w:lang w:eastAsia="en-US"/>
        </w:rPr>
        <w:t>”</w:t>
      </w:r>
      <w:r w:rsidRPr="00180F73">
        <w:rPr>
          <w:rFonts w:ascii="Garamond" w:eastAsiaTheme="minorHAnsi" w:hAnsi="Garamond"/>
          <w:bCs/>
          <w:lang w:eastAsia="en-US"/>
        </w:rPr>
        <w:t xml:space="preserve">, </w:t>
      </w:r>
      <w:r w:rsidR="00B625E6">
        <w:rPr>
          <w:rFonts w:ascii="Garamond" w:eastAsiaTheme="minorHAnsi" w:hAnsi="Garamond"/>
          <w:bCs/>
          <w:lang w:eastAsia="en-US"/>
        </w:rPr>
        <w:t>“</w:t>
      </w:r>
      <w:r w:rsidRPr="00180F73">
        <w:rPr>
          <w:rFonts w:ascii="Garamond" w:eastAsiaTheme="minorHAnsi" w:hAnsi="Garamond"/>
          <w:bCs/>
          <w:lang w:eastAsia="en-US"/>
        </w:rPr>
        <w:t>e</w:t>
      </w:r>
      <w:r w:rsidR="00B625E6">
        <w:rPr>
          <w:rFonts w:ascii="Garamond" w:eastAsiaTheme="minorHAnsi" w:hAnsi="Garamond"/>
          <w:bCs/>
          <w:lang w:eastAsia="en-US"/>
        </w:rPr>
        <w:t>”</w:t>
      </w:r>
      <w:r w:rsidRPr="00180F73">
        <w:rPr>
          <w:rFonts w:ascii="Garamond" w:eastAsiaTheme="minorHAnsi" w:hAnsi="Garamond"/>
          <w:bCs/>
          <w:lang w:eastAsia="en-US"/>
        </w:rPr>
        <w:t xml:space="preserve"> dhe </w:t>
      </w:r>
      <w:r w:rsidR="00B625E6">
        <w:rPr>
          <w:rFonts w:ascii="Garamond" w:eastAsiaTheme="minorHAnsi" w:hAnsi="Garamond"/>
          <w:bCs/>
          <w:lang w:eastAsia="en-US"/>
        </w:rPr>
        <w:t>“</w:t>
      </w:r>
      <w:r w:rsidRPr="00180F73">
        <w:rPr>
          <w:rFonts w:ascii="Garamond" w:eastAsiaTheme="minorHAnsi" w:hAnsi="Garamond"/>
          <w:bCs/>
          <w:lang w:eastAsia="en-US"/>
        </w:rPr>
        <w:t>ë</w:t>
      </w:r>
      <w:r w:rsidR="00B625E6">
        <w:rPr>
          <w:rFonts w:ascii="Garamond" w:eastAsiaTheme="minorHAnsi" w:hAnsi="Garamond"/>
          <w:bCs/>
          <w:lang w:eastAsia="en-US"/>
        </w:rPr>
        <w:t>”</w:t>
      </w:r>
      <w:r w:rsidRPr="00180F73">
        <w:rPr>
          <w:rFonts w:ascii="Garamond" w:eastAsiaTheme="minorHAnsi" w:hAnsi="Garamond"/>
          <w:bCs/>
          <w:lang w:eastAsia="en-US"/>
        </w:rPr>
        <w:t xml:space="preserve"> të pikës 2.2 të këtij aneksi.</w:t>
      </w:r>
    </w:p>
    <w:p w14:paraId="64C83156"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2. TESTET</w:t>
      </w:r>
    </w:p>
    <w:p w14:paraId="42D8AD88"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2.1. Testet e zbulimit</w:t>
      </w:r>
    </w:p>
    <w:p w14:paraId="6CFFB855" w14:textId="4936FE0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Testet e zbulimit duhet të jenë të tilla që të zbulojnë vazhdimisht të paktën 10</w:t>
      </w:r>
      <w:r w:rsidRPr="00180F73">
        <w:rPr>
          <w:rFonts w:ascii="Garamond" w:eastAsiaTheme="minorHAnsi" w:hAnsi="Garamond"/>
          <w:bCs/>
          <w:vertAlign w:val="superscript"/>
          <w:lang w:eastAsia="en-US"/>
        </w:rPr>
        <w:t>4</w:t>
      </w:r>
      <w:r w:rsidRPr="00180F73">
        <w:rPr>
          <w:rFonts w:ascii="Garamond" w:eastAsiaTheme="minorHAnsi" w:hAnsi="Garamond"/>
          <w:bCs/>
          <w:lang w:eastAsia="en-US"/>
        </w:rPr>
        <w:t xml:space="preserve"> </w:t>
      </w:r>
      <w:r w:rsidRPr="00180F73">
        <w:rPr>
          <w:rFonts w:ascii="Garamond" w:hAnsi="Garamond"/>
        </w:rPr>
        <w:t xml:space="preserve">cells/ml </w:t>
      </w:r>
      <w:r w:rsidRPr="00180F73">
        <w:rPr>
          <w:rFonts w:ascii="Garamond" w:eastAsiaTheme="minorHAnsi" w:hAnsi="Garamond"/>
          <w:bCs/>
          <w:lang w:eastAsia="en-US"/>
        </w:rPr>
        <w:t>pelet i</w:t>
      </w:r>
      <w:r w:rsidR="00180F73">
        <w:rPr>
          <w:rFonts w:ascii="Garamond" w:eastAsiaTheme="minorHAnsi" w:hAnsi="Garamond"/>
          <w:bCs/>
          <w:lang w:eastAsia="en-US"/>
        </w:rPr>
        <w:t xml:space="preserve"> </w:t>
      </w:r>
      <w:r w:rsidRPr="00180F73">
        <w:rPr>
          <w:rFonts w:ascii="Garamond" w:eastAsiaTheme="minorHAnsi" w:hAnsi="Garamond"/>
          <w:bCs/>
          <w:lang w:eastAsia="en-US"/>
        </w:rPr>
        <w:t>risuspenduar të marra nga mostrat asimptomatike.</w:t>
      </w:r>
    </w:p>
    <w:p w14:paraId="68544F35"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Testi i dytë i zbulimit duhet të bazohet në parime të ndryshme biologjike ose rajone të ndryshme nukleotide nga testi i parë i zbulimit.</w:t>
      </w:r>
    </w:p>
    <w:p w14:paraId="256420EE"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Testet e zbulimit janë si më poshtë:</w:t>
      </w:r>
    </w:p>
    <w:p w14:paraId="0D501398" w14:textId="5837F193"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a) testet e imunofluoreshencës</w:t>
      </w:r>
      <w:r w:rsidR="00B625E6">
        <w:rPr>
          <w:rFonts w:ascii="Garamond" w:eastAsiaTheme="minorHAnsi" w:hAnsi="Garamond"/>
          <w:bCs/>
          <w:lang w:eastAsia="en-US"/>
        </w:rPr>
        <w:t>,</w:t>
      </w:r>
      <w:r w:rsidRPr="00180F73">
        <w:rPr>
          <w:rFonts w:ascii="Garamond" w:eastAsiaTheme="minorHAnsi" w:hAnsi="Garamond"/>
          <w:bCs/>
          <w:lang w:eastAsia="en-US"/>
        </w:rPr>
        <w:t xml:space="preserve"> siç përshkruhet në standardet ndërkombëtare të diagnostikimit;</w:t>
      </w:r>
    </w:p>
    <w:p w14:paraId="540C6C7C" w14:textId="753B6D30"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b) izolimi i dëmtuesit të specifikuar në mjedisin gjysmëselektiv të rritjes </w:t>
      </w:r>
      <w:r w:rsidRPr="00E76DC7">
        <w:rPr>
          <w:rFonts w:ascii="Garamond" w:eastAsiaTheme="minorHAnsi" w:hAnsi="Garamond"/>
          <w:bCs/>
          <w:lang w:eastAsia="en-US"/>
        </w:rPr>
        <w:t>mSMSA,</w:t>
      </w:r>
      <w:r w:rsidRPr="00180F73">
        <w:rPr>
          <w:rFonts w:ascii="Garamond" w:eastAsiaTheme="minorHAnsi" w:hAnsi="Garamond"/>
          <w:bCs/>
          <w:lang w:eastAsia="en-US"/>
        </w:rPr>
        <w:t xml:space="preserve"> siç përshkruhet në standardet ndërkombëtare të diagnostikimit;</w:t>
      </w:r>
    </w:p>
    <w:p w14:paraId="7BAAA8B6" w14:textId="304A171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c) testi konvencional PCR</w:t>
      </w:r>
      <w:r w:rsidR="00B625E6">
        <w:rPr>
          <w:rFonts w:ascii="Garamond" w:eastAsiaTheme="minorHAnsi" w:hAnsi="Garamond"/>
          <w:bCs/>
          <w:lang w:eastAsia="en-US"/>
        </w:rPr>
        <w:t>,</w:t>
      </w:r>
      <w:r w:rsidRPr="00180F73">
        <w:rPr>
          <w:rFonts w:ascii="Garamond" w:eastAsiaTheme="minorHAnsi" w:hAnsi="Garamond"/>
          <w:bCs/>
          <w:lang w:eastAsia="en-US"/>
        </w:rPr>
        <w:t xml:space="preserve"> duke përdorur primerat e Pastrik </w:t>
      </w:r>
      <w:r w:rsidRPr="00180F73">
        <w:rPr>
          <w:rFonts w:ascii="Garamond" w:eastAsiaTheme="minorHAnsi" w:hAnsi="Garamond"/>
          <w:bCs/>
          <w:i/>
          <w:lang w:eastAsia="en-US"/>
        </w:rPr>
        <w:t>et al</w:t>
      </w:r>
      <w:r w:rsidRPr="00180F73">
        <w:rPr>
          <w:rFonts w:ascii="Garamond" w:eastAsiaTheme="minorHAnsi" w:hAnsi="Garamond"/>
          <w:bCs/>
          <w:lang w:eastAsia="en-US"/>
        </w:rPr>
        <w:t>., (2002)</w:t>
      </w:r>
      <w:r w:rsidRPr="00180F73">
        <w:rPr>
          <w:rStyle w:val="FootnoteReference"/>
          <w:rFonts w:ascii="Garamond" w:eastAsiaTheme="minorHAnsi" w:hAnsi="Garamond"/>
          <w:bCs/>
          <w:lang w:eastAsia="en-US"/>
        </w:rPr>
        <w:footnoteReference w:id="3"/>
      </w:r>
      <w:r w:rsidRPr="00180F73">
        <w:rPr>
          <w:rFonts w:ascii="Garamond" w:eastAsiaTheme="minorHAnsi" w:hAnsi="Garamond"/>
          <w:bCs/>
          <w:lang w:eastAsia="en-US"/>
        </w:rPr>
        <w:t>, siç përshkruhet në standardet ndërkombëtare të diagnostikimit;</w:t>
      </w:r>
    </w:p>
    <w:p w14:paraId="5D173BE3" w14:textId="19287A2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ç)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Testet Real-time PCR</w:t>
      </w:r>
      <w:r w:rsidR="00B625E6">
        <w:rPr>
          <w:rFonts w:ascii="Garamond" w:eastAsiaTheme="minorHAnsi" w:hAnsi="Garamond"/>
          <w:bCs/>
          <w:lang w:eastAsia="en-US"/>
        </w:rPr>
        <w:t>,</w:t>
      </w:r>
      <w:r w:rsidRPr="00180F73">
        <w:rPr>
          <w:rFonts w:ascii="Garamond" w:eastAsiaTheme="minorHAnsi" w:hAnsi="Garamond"/>
          <w:bCs/>
          <w:lang w:eastAsia="en-US"/>
        </w:rPr>
        <w:t xml:space="preserve"> duke përdorur primera dhe probe të:</w:t>
      </w:r>
    </w:p>
    <w:p w14:paraId="5F615159" w14:textId="40E2E3B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w:t>
      </w:r>
      <w:r w:rsidR="00FE22F4">
        <w:rPr>
          <w:rFonts w:ascii="Garamond" w:eastAsiaTheme="minorHAnsi" w:hAnsi="Garamond"/>
          <w:bCs/>
          <w:lang w:eastAsia="en-US"/>
        </w:rPr>
        <w:t>.</w:t>
      </w:r>
      <w:r w:rsidRPr="00180F73">
        <w:rPr>
          <w:rFonts w:ascii="Garamond" w:eastAsiaTheme="minorHAnsi" w:hAnsi="Garamond"/>
          <w:bCs/>
          <w:lang w:eastAsia="en-US"/>
        </w:rPr>
        <w:t xml:space="preserve"> Weller </w:t>
      </w:r>
      <w:r w:rsidRPr="00180F73">
        <w:rPr>
          <w:rFonts w:ascii="Garamond" w:eastAsiaTheme="minorHAnsi" w:hAnsi="Garamond"/>
          <w:bCs/>
          <w:i/>
          <w:lang w:eastAsia="en-US"/>
        </w:rPr>
        <w:t>et al</w:t>
      </w:r>
      <w:r w:rsidRPr="00180F73">
        <w:rPr>
          <w:rFonts w:ascii="Garamond" w:eastAsiaTheme="minorHAnsi" w:hAnsi="Garamond"/>
          <w:bCs/>
          <w:lang w:eastAsia="en-US"/>
        </w:rPr>
        <w:t>. (2000)</w:t>
      </w:r>
      <w:r w:rsidR="005F1B7D" w:rsidRPr="00180F73">
        <w:rPr>
          <w:rStyle w:val="FootnoteReference"/>
          <w:rFonts w:ascii="Garamond" w:eastAsiaTheme="minorHAnsi" w:hAnsi="Garamond"/>
          <w:bCs/>
          <w:lang w:eastAsia="en-US"/>
        </w:rPr>
        <w:footnoteReference w:id="4"/>
      </w:r>
      <w:r w:rsidRPr="00180F73">
        <w:rPr>
          <w:rFonts w:ascii="Garamond" w:eastAsiaTheme="minorHAnsi" w:hAnsi="Garamond"/>
          <w:bCs/>
          <w:lang w:eastAsia="en-US"/>
        </w:rPr>
        <w:t>, siç përshkruhet në standardet ndërkombëtare të diagnostikimit;</w:t>
      </w:r>
    </w:p>
    <w:p w14:paraId="337AB406" w14:textId="5B46AA23"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lastRenderedPageBreak/>
        <w:t>ii</w:t>
      </w:r>
      <w:r w:rsidR="00FE22F4">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(2016)</w:t>
      </w:r>
      <w:r w:rsidR="008B522F" w:rsidRPr="00180F73">
        <w:rPr>
          <w:rStyle w:val="FootnoteReference"/>
          <w:rFonts w:ascii="Garamond" w:eastAsiaTheme="minorHAnsi" w:hAnsi="Garamond"/>
          <w:bCs/>
          <w:lang w:eastAsia="en-US"/>
        </w:rPr>
        <w:footnoteReference w:id="5"/>
      </w:r>
      <w:r w:rsidRPr="00180F73">
        <w:rPr>
          <w:rFonts w:ascii="Garamond" w:eastAsiaTheme="minorHAnsi" w:hAnsi="Garamond"/>
          <w:bCs/>
          <w:lang w:eastAsia="en-US"/>
        </w:rPr>
        <w:t xml:space="preserve"> (duke përdorur një probe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të modifikuar nga probe origjinale e përshkruar nga Weller </w:t>
      </w:r>
      <w:r w:rsidRPr="00180F73">
        <w:rPr>
          <w:rFonts w:ascii="Garamond" w:eastAsiaTheme="minorHAnsi" w:hAnsi="Garamond"/>
          <w:bCs/>
          <w:i/>
          <w:lang w:eastAsia="en-US"/>
        </w:rPr>
        <w:t>et al</w:t>
      </w:r>
      <w:r w:rsidRPr="00180F73">
        <w:rPr>
          <w:rFonts w:ascii="Garamond" w:eastAsiaTheme="minorHAnsi" w:hAnsi="Garamond"/>
          <w:bCs/>
          <w:lang w:eastAsia="en-US"/>
        </w:rPr>
        <w:t>. (2000)), siç përshkruhet në standardet ndërkombëtare të diagnostikimit;</w:t>
      </w:r>
    </w:p>
    <w:p w14:paraId="05592B37" w14:textId="4456D36B"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iii</w:t>
      </w:r>
      <w:r w:rsidR="003734A7">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(2018)</w:t>
      </w:r>
      <w:r w:rsidR="00A93FF6" w:rsidRPr="00180F73">
        <w:rPr>
          <w:rStyle w:val="FootnoteReference"/>
          <w:rFonts w:ascii="Garamond" w:eastAsiaTheme="minorHAnsi" w:hAnsi="Garamond"/>
          <w:bCs/>
          <w:lang w:eastAsia="en-US"/>
        </w:rPr>
        <w:footnoteReference w:id="6"/>
      </w:r>
      <w:r w:rsidRPr="00180F73">
        <w:rPr>
          <w:rFonts w:ascii="Garamond" w:eastAsiaTheme="minorHAnsi" w:hAnsi="Garamond"/>
          <w:bCs/>
          <w:lang w:eastAsia="en-US"/>
        </w:rPr>
        <w:t xml:space="preserve"> (i ashtuquajturi test NYtor), siç përshkruhet në standardet ndërkombëtare të diagnostikimit;</w:t>
      </w:r>
    </w:p>
    <w:p w14:paraId="48DB9913" w14:textId="14F77BC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iv</w:t>
      </w:r>
      <w:r w:rsidR="003734A7">
        <w:rPr>
          <w:rFonts w:ascii="Garamond" w:eastAsiaTheme="minorHAnsi" w:hAnsi="Garamond"/>
          <w:bCs/>
          <w:lang w:eastAsia="en-US"/>
        </w:rPr>
        <w:t>.</w:t>
      </w:r>
      <w:r w:rsidRPr="00180F73">
        <w:rPr>
          <w:rFonts w:ascii="Garamond" w:eastAsiaTheme="minorHAnsi" w:hAnsi="Garamond"/>
          <w:bCs/>
          <w:lang w:eastAsia="en-US"/>
        </w:rPr>
        <w:t xml:space="preserve"> Massart </w:t>
      </w:r>
      <w:r w:rsidRPr="00180F73">
        <w:rPr>
          <w:rFonts w:ascii="Garamond" w:eastAsiaTheme="minorHAnsi" w:hAnsi="Garamond"/>
          <w:bCs/>
          <w:i/>
          <w:lang w:eastAsia="en-US"/>
        </w:rPr>
        <w:t>et al</w:t>
      </w:r>
      <w:r w:rsidRPr="00180F73">
        <w:rPr>
          <w:rFonts w:ascii="Garamond" w:eastAsiaTheme="minorHAnsi" w:hAnsi="Garamond"/>
          <w:bCs/>
          <w:lang w:eastAsia="en-US"/>
        </w:rPr>
        <w:t>. (2014)</w:t>
      </w:r>
      <w:r w:rsidR="00A93FF6" w:rsidRPr="00180F73">
        <w:rPr>
          <w:rStyle w:val="FootnoteReference"/>
          <w:rFonts w:ascii="Garamond" w:eastAsiaTheme="minorHAnsi" w:hAnsi="Garamond"/>
          <w:bCs/>
          <w:lang w:eastAsia="en-US"/>
        </w:rPr>
        <w:footnoteReference w:id="7"/>
      </w:r>
      <w:r w:rsidRPr="00180F73">
        <w:rPr>
          <w:rFonts w:ascii="Garamond" w:eastAsiaTheme="minorHAnsi" w:hAnsi="Garamond"/>
          <w:bCs/>
          <w:lang w:eastAsia="en-US"/>
        </w:rPr>
        <w:t>, siç përshkruhet në standardet ndërkombëtare të diagnostikimit;</w:t>
      </w:r>
    </w:p>
    <w:p w14:paraId="2B8C3B4E" w14:textId="0416628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d) Testi LAMP (amplifikimi izotermik i ndërmjetësuar nga cikli)</w:t>
      </w:r>
      <w:r w:rsidR="002D46DF">
        <w:rPr>
          <w:rFonts w:ascii="Garamond" w:eastAsiaTheme="minorHAnsi" w:hAnsi="Garamond"/>
          <w:bCs/>
          <w:lang w:eastAsia="en-US"/>
        </w:rPr>
        <w:t>,</w:t>
      </w:r>
      <w:r w:rsidRPr="00180F73">
        <w:rPr>
          <w:rFonts w:ascii="Garamond" w:eastAsiaTheme="minorHAnsi" w:hAnsi="Garamond"/>
          <w:bCs/>
          <w:lang w:eastAsia="en-US"/>
        </w:rPr>
        <w:t xml:space="preserve"> duke përdorur primerat e Lenarčič </w:t>
      </w:r>
      <w:r w:rsidRPr="00180F73">
        <w:rPr>
          <w:rFonts w:ascii="Garamond" w:eastAsiaTheme="minorHAnsi" w:hAnsi="Garamond"/>
          <w:bCs/>
          <w:i/>
          <w:lang w:eastAsia="en-US"/>
        </w:rPr>
        <w:t>et al</w:t>
      </w:r>
      <w:r w:rsidRPr="00180F73">
        <w:rPr>
          <w:rFonts w:ascii="Garamond" w:eastAsiaTheme="minorHAnsi" w:hAnsi="Garamond"/>
          <w:bCs/>
          <w:lang w:eastAsia="en-US"/>
        </w:rPr>
        <w:t>. (2014)</w:t>
      </w:r>
      <w:r w:rsidR="00A93FF6" w:rsidRPr="00180F73">
        <w:rPr>
          <w:rStyle w:val="FootnoteReference"/>
          <w:rFonts w:ascii="Garamond" w:eastAsiaTheme="minorHAnsi" w:hAnsi="Garamond"/>
          <w:bCs/>
          <w:lang w:eastAsia="en-US"/>
        </w:rPr>
        <w:footnoteReference w:id="8"/>
      </w:r>
      <w:r w:rsidRPr="00180F73">
        <w:rPr>
          <w:rFonts w:ascii="Garamond" w:eastAsiaTheme="minorHAnsi" w:hAnsi="Garamond"/>
          <w:bCs/>
          <w:lang w:eastAsia="en-US"/>
        </w:rPr>
        <w:t xml:space="preserve"> (vetëm për material bimor simptomatik), siç përshkruhet në standardet ndërkombëtare të diagnostikimit.</w:t>
      </w:r>
    </w:p>
    <w:p w14:paraId="53097D34"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2.2. Testet e identifikimit</w:t>
      </w:r>
    </w:p>
    <w:p w14:paraId="792CAB8F"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Testet e identifikimit janë si më poshtë:</w:t>
      </w:r>
    </w:p>
    <w:p w14:paraId="41BE856F" w14:textId="69CE902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a) testet e imunofluoreshencës</w:t>
      </w:r>
      <w:r w:rsidR="002D46DF">
        <w:rPr>
          <w:rFonts w:ascii="Garamond" w:eastAsiaTheme="minorHAnsi" w:hAnsi="Garamond"/>
          <w:bCs/>
          <w:lang w:eastAsia="en-US"/>
        </w:rPr>
        <w:t>,</w:t>
      </w:r>
      <w:r w:rsidRPr="00180F73">
        <w:rPr>
          <w:rFonts w:ascii="Garamond" w:eastAsiaTheme="minorHAnsi" w:hAnsi="Garamond"/>
          <w:bCs/>
          <w:lang w:eastAsia="en-US"/>
        </w:rPr>
        <w:t xml:space="preserve"> siç përshkruhet në standardet ndërkombëtare të diagnostikimit;</w:t>
      </w:r>
    </w:p>
    <w:p w14:paraId="4511D029" w14:textId="48111F2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b) testet konvencionale PCR</w:t>
      </w:r>
      <w:r w:rsidR="002D46DF">
        <w:rPr>
          <w:rFonts w:ascii="Garamond" w:eastAsiaTheme="minorHAnsi" w:hAnsi="Garamond"/>
          <w:bCs/>
          <w:lang w:eastAsia="en-US"/>
        </w:rPr>
        <w:t>,</w:t>
      </w:r>
      <w:r w:rsidRPr="00180F73">
        <w:rPr>
          <w:rFonts w:ascii="Garamond" w:eastAsiaTheme="minorHAnsi" w:hAnsi="Garamond"/>
          <w:bCs/>
          <w:lang w:eastAsia="en-US"/>
        </w:rPr>
        <w:t xml:space="preserve"> duke përdorur primerat e Pastrik </w:t>
      </w:r>
      <w:r w:rsidRPr="00180F73">
        <w:rPr>
          <w:rFonts w:ascii="Garamond" w:eastAsiaTheme="minorHAnsi" w:hAnsi="Garamond"/>
          <w:bCs/>
          <w:i/>
          <w:lang w:eastAsia="en-US"/>
        </w:rPr>
        <w:t>et al.</w:t>
      </w:r>
      <w:r w:rsidRPr="00180F73">
        <w:rPr>
          <w:rFonts w:ascii="Garamond" w:eastAsiaTheme="minorHAnsi" w:hAnsi="Garamond"/>
          <w:bCs/>
          <w:lang w:eastAsia="en-US"/>
        </w:rPr>
        <w:t xml:space="preserve"> (2002), siç përshkruhet me detaje të plota në standardet ndërkombëtare të diagnostikimit;</w:t>
      </w:r>
    </w:p>
    <w:p w14:paraId="576B90C1" w14:textId="0A1515E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c)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Testet Real-time PCR</w:t>
      </w:r>
      <w:r w:rsidR="002D46DF">
        <w:rPr>
          <w:rFonts w:ascii="Garamond" w:eastAsiaTheme="minorHAnsi" w:hAnsi="Garamond"/>
          <w:bCs/>
          <w:lang w:eastAsia="en-US"/>
        </w:rPr>
        <w:t>,</w:t>
      </w:r>
      <w:r w:rsidRPr="00180F73">
        <w:rPr>
          <w:rFonts w:ascii="Garamond" w:eastAsiaTheme="minorHAnsi" w:hAnsi="Garamond"/>
          <w:bCs/>
          <w:lang w:eastAsia="en-US"/>
        </w:rPr>
        <w:t xml:space="preserve"> duke përdorur primera dhe probe të:</w:t>
      </w:r>
    </w:p>
    <w:p w14:paraId="549D307A" w14:textId="11EFA24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w:t>
      </w:r>
      <w:r w:rsidR="003734A7">
        <w:rPr>
          <w:rFonts w:ascii="Garamond" w:eastAsiaTheme="minorHAnsi" w:hAnsi="Garamond"/>
          <w:bCs/>
          <w:lang w:eastAsia="en-US"/>
        </w:rPr>
        <w:t>.</w:t>
      </w:r>
      <w:r w:rsidRPr="00180F73">
        <w:rPr>
          <w:rFonts w:ascii="Garamond" w:eastAsiaTheme="minorHAnsi" w:hAnsi="Garamond"/>
          <w:bCs/>
          <w:lang w:eastAsia="en-US"/>
        </w:rPr>
        <w:t xml:space="preserve"> Weller </w:t>
      </w:r>
      <w:r w:rsidRPr="00180F73">
        <w:rPr>
          <w:rFonts w:ascii="Garamond" w:eastAsiaTheme="minorHAnsi" w:hAnsi="Garamond"/>
          <w:bCs/>
          <w:i/>
          <w:lang w:eastAsia="en-US"/>
        </w:rPr>
        <w:t>et al</w:t>
      </w:r>
      <w:r w:rsidRPr="00180F73">
        <w:rPr>
          <w:rFonts w:ascii="Garamond" w:eastAsiaTheme="minorHAnsi" w:hAnsi="Garamond"/>
          <w:bCs/>
          <w:lang w:eastAsia="en-US"/>
        </w:rPr>
        <w:t>. (2000), siç përshkruhet në standardet ndërkombëtare të diagnostikimit;</w:t>
      </w:r>
    </w:p>
    <w:p w14:paraId="2D599588" w14:textId="4347FCFD"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ii</w:t>
      </w:r>
      <w:r w:rsidR="003734A7">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(2016) (duke përdorur një probe TaqMan</w:t>
      </w:r>
      <w:r w:rsidRPr="00180F73">
        <w:rPr>
          <w:rFonts w:ascii="Garamond" w:eastAsiaTheme="minorHAnsi" w:hAnsi="Garamond"/>
          <w:bCs/>
          <w:vertAlign w:val="superscript"/>
          <w:lang w:eastAsia="en-US"/>
        </w:rPr>
        <w:t>®</w:t>
      </w:r>
      <w:r w:rsidRPr="00180F73">
        <w:rPr>
          <w:rFonts w:ascii="Garamond" w:eastAsiaTheme="minorHAnsi" w:hAnsi="Garamond"/>
          <w:bCs/>
          <w:lang w:eastAsia="en-US"/>
        </w:rPr>
        <w:t xml:space="preserve"> të modifikuar nga probe origjinale e përshkruar nga Weller </w:t>
      </w:r>
      <w:r w:rsidRPr="00180F73">
        <w:rPr>
          <w:rFonts w:ascii="Garamond" w:eastAsiaTheme="minorHAnsi" w:hAnsi="Garamond"/>
          <w:bCs/>
          <w:i/>
          <w:lang w:eastAsia="en-US"/>
        </w:rPr>
        <w:t>et al.</w:t>
      </w:r>
      <w:r w:rsidRPr="00180F73">
        <w:rPr>
          <w:rFonts w:ascii="Garamond" w:eastAsiaTheme="minorHAnsi" w:hAnsi="Garamond"/>
          <w:bCs/>
          <w:lang w:eastAsia="en-US"/>
        </w:rPr>
        <w:t xml:space="preserve"> (2000)</w:t>
      </w:r>
      <w:r w:rsidR="002D46DF">
        <w:rPr>
          <w:rFonts w:ascii="Garamond" w:eastAsiaTheme="minorHAnsi" w:hAnsi="Garamond"/>
          <w:bCs/>
          <w:lang w:eastAsia="en-US"/>
        </w:rPr>
        <w:t>,</w:t>
      </w:r>
      <w:r w:rsidRPr="00180F73">
        <w:rPr>
          <w:rFonts w:ascii="Garamond" w:eastAsiaTheme="minorHAnsi" w:hAnsi="Garamond"/>
          <w:bCs/>
          <w:lang w:eastAsia="en-US"/>
        </w:rPr>
        <w:t xml:space="preserve"> siç përshkruhet me detaje të plota në standardet ndërkombëtare të diagnostikimit;</w:t>
      </w:r>
    </w:p>
    <w:p w14:paraId="60CA5ABF" w14:textId="335E19C2"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iii</w:t>
      </w:r>
      <w:r w:rsidR="003734A7">
        <w:rPr>
          <w:rFonts w:ascii="Garamond" w:eastAsiaTheme="minorHAnsi" w:hAnsi="Garamond"/>
          <w:bCs/>
          <w:lang w:eastAsia="en-US"/>
        </w:rPr>
        <w:t>.</w:t>
      </w:r>
      <w:r w:rsidRPr="00180F73">
        <w:rPr>
          <w:rFonts w:ascii="Garamond" w:eastAsiaTheme="minorHAnsi" w:hAnsi="Garamond"/>
          <w:bCs/>
          <w:lang w:eastAsia="en-US"/>
        </w:rPr>
        <w:t xml:space="preserve"> Vreeburg </w:t>
      </w:r>
      <w:r w:rsidRPr="00180F73">
        <w:rPr>
          <w:rFonts w:ascii="Garamond" w:eastAsiaTheme="minorHAnsi" w:hAnsi="Garamond"/>
          <w:bCs/>
          <w:i/>
          <w:lang w:eastAsia="en-US"/>
        </w:rPr>
        <w:t>et al</w:t>
      </w:r>
      <w:r w:rsidRPr="00180F73">
        <w:rPr>
          <w:rFonts w:ascii="Garamond" w:eastAsiaTheme="minorHAnsi" w:hAnsi="Garamond"/>
          <w:bCs/>
          <w:lang w:eastAsia="en-US"/>
        </w:rPr>
        <w:t>. (2018) (i ashtuquajturi test NYtor), siç përshkruhet në standardet ndërkombëtare të diagnostikimit;</w:t>
      </w:r>
    </w:p>
    <w:p w14:paraId="4E083125" w14:textId="53B4AD4A"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iv</w:t>
      </w:r>
      <w:r w:rsidR="003734A7">
        <w:rPr>
          <w:rFonts w:ascii="Garamond" w:eastAsiaTheme="minorHAnsi" w:hAnsi="Garamond"/>
          <w:bCs/>
          <w:lang w:eastAsia="en-US"/>
        </w:rPr>
        <w:t>.</w:t>
      </w:r>
      <w:r w:rsidRPr="00180F73">
        <w:rPr>
          <w:rFonts w:ascii="Garamond" w:eastAsiaTheme="minorHAnsi" w:hAnsi="Garamond"/>
          <w:bCs/>
          <w:lang w:eastAsia="en-US"/>
        </w:rPr>
        <w:t xml:space="preserve"> Massart </w:t>
      </w:r>
      <w:r w:rsidRPr="00180F73">
        <w:rPr>
          <w:rFonts w:ascii="Garamond" w:eastAsiaTheme="minorHAnsi" w:hAnsi="Garamond"/>
          <w:bCs/>
          <w:i/>
          <w:lang w:eastAsia="en-US"/>
        </w:rPr>
        <w:t>et al</w:t>
      </w:r>
      <w:r w:rsidRPr="00180F73">
        <w:rPr>
          <w:rFonts w:ascii="Garamond" w:eastAsiaTheme="minorHAnsi" w:hAnsi="Garamond"/>
          <w:bCs/>
          <w:lang w:eastAsia="en-US"/>
        </w:rPr>
        <w:t>. (2014), siç përshkruhet në standardet ndërkombëtare të diagnostikimit;</w:t>
      </w:r>
    </w:p>
    <w:p w14:paraId="2B523787" w14:textId="3BC15179"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ç) Testi LAMP (amplifikimi izotermik i ndërmjetësuar nga cikli) duke përdorur primerat e Lenarčič </w:t>
      </w:r>
      <w:r w:rsidRPr="00180F73">
        <w:rPr>
          <w:rFonts w:ascii="Garamond" w:eastAsiaTheme="minorHAnsi" w:hAnsi="Garamond"/>
          <w:bCs/>
          <w:i/>
          <w:lang w:eastAsia="en-US"/>
        </w:rPr>
        <w:t>et al</w:t>
      </w:r>
      <w:r w:rsidRPr="00180F73">
        <w:rPr>
          <w:rFonts w:ascii="Garamond" w:eastAsiaTheme="minorHAnsi" w:hAnsi="Garamond"/>
          <w:bCs/>
          <w:lang w:eastAsia="en-US"/>
        </w:rPr>
        <w:t>. (2014), siç përshkruhet në standardet ndërkombëtare të diagnostikimit;</w:t>
      </w:r>
    </w:p>
    <w:p w14:paraId="0C28FCC7" w14:textId="3C0EE4FE"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d) Testi PCR konvencional i multipleksit specifik për filotipin (Opina </w:t>
      </w:r>
      <w:r w:rsidRPr="00180F73">
        <w:rPr>
          <w:rFonts w:ascii="Garamond" w:eastAsiaTheme="minorHAnsi" w:hAnsi="Garamond"/>
          <w:bCs/>
          <w:i/>
          <w:lang w:eastAsia="en-US"/>
        </w:rPr>
        <w:t>et al</w:t>
      </w:r>
      <w:r w:rsidRPr="00180F73">
        <w:rPr>
          <w:rFonts w:ascii="Garamond" w:eastAsiaTheme="minorHAnsi" w:hAnsi="Garamond"/>
          <w:bCs/>
          <w:lang w:eastAsia="en-US"/>
        </w:rPr>
        <w:t>. (1997)</w:t>
      </w:r>
      <w:r w:rsidR="00CE5AA0" w:rsidRPr="00180F73">
        <w:rPr>
          <w:rStyle w:val="FootnoteReference"/>
          <w:rFonts w:ascii="Garamond" w:eastAsiaTheme="minorHAnsi" w:hAnsi="Garamond"/>
          <w:bCs/>
          <w:lang w:eastAsia="en-US"/>
        </w:rPr>
        <w:footnoteReference w:id="9"/>
      </w:r>
      <w:r w:rsidRPr="00180F73">
        <w:rPr>
          <w:rFonts w:ascii="Garamond" w:eastAsiaTheme="minorHAnsi" w:hAnsi="Garamond"/>
          <w:bCs/>
          <w:lang w:eastAsia="en-US"/>
        </w:rPr>
        <w:t>; Fegan &amp; Prior (2005)</w:t>
      </w:r>
      <w:r w:rsidR="00CE5AA0" w:rsidRPr="00180F73">
        <w:rPr>
          <w:rStyle w:val="FootnoteReference"/>
          <w:rFonts w:ascii="Garamond" w:eastAsiaTheme="minorHAnsi" w:hAnsi="Garamond"/>
          <w:bCs/>
          <w:lang w:eastAsia="en-US"/>
        </w:rPr>
        <w:footnoteReference w:id="10"/>
      </w:r>
      <w:r w:rsidRPr="00180F73">
        <w:rPr>
          <w:rFonts w:ascii="Garamond" w:eastAsiaTheme="minorHAnsi" w:hAnsi="Garamond"/>
          <w:bCs/>
          <w:lang w:eastAsia="en-US"/>
        </w:rPr>
        <w:t>, siç përshkruhet në standardet ndërkombëtare të diagnostikimit;</w:t>
      </w:r>
    </w:p>
    <w:p w14:paraId="1B7623C1" w14:textId="2273C2FC"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lastRenderedPageBreak/>
        <w:t xml:space="preserve">e) barkodimi i ADN-së (Wicker </w:t>
      </w:r>
      <w:r w:rsidRPr="00180F73">
        <w:rPr>
          <w:rFonts w:ascii="Garamond" w:eastAsiaTheme="minorHAnsi" w:hAnsi="Garamond"/>
          <w:bCs/>
          <w:i/>
          <w:lang w:eastAsia="en-US"/>
        </w:rPr>
        <w:t>et al</w:t>
      </w:r>
      <w:r w:rsidRPr="00180F73">
        <w:rPr>
          <w:rFonts w:ascii="Garamond" w:eastAsiaTheme="minorHAnsi" w:hAnsi="Garamond"/>
          <w:bCs/>
          <w:lang w:eastAsia="en-US"/>
        </w:rPr>
        <w:t>. (2007)</w:t>
      </w:r>
      <w:r w:rsidR="00CE5AA0" w:rsidRPr="00180F73">
        <w:rPr>
          <w:rStyle w:val="FootnoteReference"/>
          <w:rFonts w:ascii="Garamond" w:eastAsiaTheme="minorHAnsi" w:hAnsi="Garamond"/>
          <w:bCs/>
          <w:lang w:eastAsia="en-US"/>
        </w:rPr>
        <w:footnoteReference w:id="11"/>
      </w:r>
      <w:r w:rsidRPr="00180F73">
        <w:rPr>
          <w:rFonts w:ascii="Garamond" w:eastAsiaTheme="minorHAnsi" w:hAnsi="Garamond"/>
          <w:bCs/>
          <w:lang w:eastAsia="en-US"/>
        </w:rPr>
        <w:t>, siç përshkruhet në standardet ndërkombëtare të diagnostikimit;</w:t>
      </w:r>
    </w:p>
    <w:p w14:paraId="1E466534" w14:textId="38CD3EC6"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ë) MALDI-TOF MS (van de Bilt </w:t>
      </w:r>
      <w:r w:rsidRPr="00180F73">
        <w:rPr>
          <w:rFonts w:ascii="Garamond" w:eastAsiaTheme="minorHAnsi" w:hAnsi="Garamond"/>
          <w:bCs/>
          <w:i/>
          <w:lang w:eastAsia="en-US"/>
        </w:rPr>
        <w:t>et al</w:t>
      </w:r>
      <w:r w:rsidRPr="00180F73">
        <w:rPr>
          <w:rFonts w:ascii="Garamond" w:eastAsiaTheme="minorHAnsi" w:hAnsi="Garamond"/>
          <w:bCs/>
          <w:lang w:eastAsia="en-US"/>
        </w:rPr>
        <w:t>. (2018)</w:t>
      </w:r>
      <w:r w:rsidR="00CE5AA0" w:rsidRPr="00180F73">
        <w:rPr>
          <w:rStyle w:val="FootnoteReference"/>
          <w:rFonts w:ascii="Garamond" w:eastAsiaTheme="minorHAnsi" w:hAnsi="Garamond"/>
          <w:bCs/>
          <w:lang w:eastAsia="en-US"/>
        </w:rPr>
        <w:footnoteReference w:id="12"/>
      </w:r>
      <w:r w:rsidRPr="00180F73">
        <w:rPr>
          <w:rFonts w:ascii="Garamond" w:eastAsiaTheme="minorHAnsi" w:hAnsi="Garamond"/>
          <w:bCs/>
          <w:lang w:eastAsia="en-US"/>
        </w:rPr>
        <w:t>, siç përshkruhet në standardet ndërkombëtare të diagnostikimit.</w:t>
      </w:r>
    </w:p>
    <w:p w14:paraId="476BB284" w14:textId="3DFFDE94"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lang w:eastAsia="en-US"/>
        </w:rPr>
        <w:t xml:space="preserve">3. </w:t>
      </w:r>
      <w:r w:rsidR="003D0B46" w:rsidRPr="00E76DC7">
        <w:rPr>
          <w:rFonts w:ascii="Garamond" w:eastAsiaTheme="minorHAnsi" w:hAnsi="Garamond"/>
          <w:bCs/>
          <w:lang w:eastAsia="en-US"/>
        </w:rPr>
        <w:t>DIAGRAMI</w:t>
      </w:r>
      <w:r w:rsidRPr="00E76DC7">
        <w:rPr>
          <w:rFonts w:ascii="Garamond" w:eastAsiaTheme="minorHAnsi" w:hAnsi="Garamond"/>
          <w:bCs/>
          <w:lang w:eastAsia="en-US"/>
        </w:rPr>
        <w:t xml:space="preserve"> R</w:t>
      </w:r>
      <w:r w:rsidRPr="00180F73">
        <w:rPr>
          <w:rFonts w:ascii="Garamond" w:eastAsiaTheme="minorHAnsi" w:hAnsi="Garamond"/>
          <w:bCs/>
          <w:lang w:eastAsia="en-US"/>
        </w:rPr>
        <w:t xml:space="preserve">RJEDHËS </w:t>
      </w:r>
      <w:r w:rsidR="00E40545">
        <w:rPr>
          <w:rFonts w:ascii="Garamond" w:eastAsiaTheme="minorHAnsi" w:hAnsi="Garamond"/>
          <w:bCs/>
          <w:lang w:eastAsia="en-US"/>
        </w:rPr>
        <w:t>I</w:t>
      </w:r>
      <w:r w:rsidRPr="00180F73">
        <w:rPr>
          <w:rFonts w:ascii="Garamond" w:eastAsiaTheme="minorHAnsi" w:hAnsi="Garamond"/>
          <w:bCs/>
          <w:lang w:eastAsia="en-US"/>
        </w:rPr>
        <w:t xml:space="preserve"> PROCEDURAVE </w:t>
      </w:r>
    </w:p>
    <w:p w14:paraId="6411ABC4" w14:textId="77777777" w:rsidR="0080558D" w:rsidRDefault="0080558D" w:rsidP="0080558D">
      <w:pPr>
        <w:autoSpaceDE w:val="0"/>
        <w:autoSpaceDN w:val="0"/>
        <w:adjustRightInd w:val="0"/>
        <w:jc w:val="center"/>
        <w:rPr>
          <w:rFonts w:ascii="Garamond" w:eastAsiaTheme="minorHAnsi" w:hAnsi="Garamond"/>
          <w:bCs/>
          <w:i/>
          <w:iCs/>
          <w:lang w:eastAsia="en-US"/>
        </w:rPr>
      </w:pPr>
    </w:p>
    <w:p w14:paraId="475070A1" w14:textId="0CA36675" w:rsidR="002271C4" w:rsidRPr="0080558D" w:rsidRDefault="003D0B46" w:rsidP="0080558D">
      <w:pPr>
        <w:autoSpaceDE w:val="0"/>
        <w:autoSpaceDN w:val="0"/>
        <w:adjustRightInd w:val="0"/>
        <w:jc w:val="center"/>
        <w:rPr>
          <w:rFonts w:ascii="Garamond" w:eastAsiaTheme="minorHAnsi" w:hAnsi="Garamond"/>
          <w:bCs/>
          <w:i/>
          <w:iCs/>
          <w:lang w:eastAsia="en-US"/>
        </w:rPr>
      </w:pPr>
      <w:r w:rsidRPr="0080558D">
        <w:rPr>
          <w:rFonts w:ascii="Garamond" w:eastAsiaTheme="minorHAnsi" w:hAnsi="Garamond"/>
          <w:bCs/>
          <w:i/>
          <w:iCs/>
          <w:lang w:eastAsia="en-US"/>
        </w:rPr>
        <w:t>Diagrami</w:t>
      </w:r>
      <w:r w:rsidR="002271C4" w:rsidRPr="0080558D">
        <w:rPr>
          <w:rFonts w:ascii="Garamond" w:eastAsiaTheme="minorHAnsi" w:hAnsi="Garamond"/>
          <w:bCs/>
          <w:i/>
          <w:iCs/>
          <w:lang w:eastAsia="en-US"/>
        </w:rPr>
        <w:t xml:space="preserve"> rrjedhës nr. 1: Procedura diagnostikuese për pranin e dëmtuesit të specifikuar në mostrat e bimës së specifikuar</w:t>
      </w:r>
    </w:p>
    <w:p w14:paraId="65CF866F"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noProof/>
          <w:lang w:eastAsia="sq-AL"/>
        </w:rPr>
        <w:drawing>
          <wp:inline distT="0" distB="0" distL="0" distR="0" wp14:anchorId="7B5490C7" wp14:editId="764320EB">
            <wp:extent cx="5943600" cy="37420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3742055"/>
                    </a:xfrm>
                    <a:prstGeom prst="rect">
                      <a:avLst/>
                    </a:prstGeom>
                  </pic:spPr>
                </pic:pic>
              </a:graphicData>
            </a:graphic>
          </wp:inline>
        </w:drawing>
      </w:r>
    </w:p>
    <w:p w14:paraId="65654BBB"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p>
    <w:p w14:paraId="7A1724FD" w14:textId="3BE4C54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vertAlign w:val="superscript"/>
          <w:lang w:eastAsia="en-US"/>
        </w:rPr>
        <w:t>a</w:t>
      </w:r>
      <w:r w:rsidR="002047C6">
        <w:rPr>
          <w:rFonts w:ascii="Garamond" w:eastAsiaTheme="minorHAnsi" w:hAnsi="Garamond"/>
          <w:bCs/>
          <w:vertAlign w:val="superscript"/>
          <w:lang w:eastAsia="en-US"/>
        </w:rPr>
        <w:t>)</w:t>
      </w:r>
      <w:r w:rsidRPr="00180F73">
        <w:rPr>
          <w:rFonts w:ascii="Garamond" w:eastAsiaTheme="minorHAnsi" w:hAnsi="Garamond"/>
          <w:bCs/>
          <w:lang w:eastAsia="en-US"/>
        </w:rPr>
        <w:t xml:space="preserve"> Izolimi mund të përdoret si testi i parë ose i dytë i zbulimit. Nëse dyshohet prania e dëmtuesit të specifikuar në mjedisin e rritjes, kolonitë duhet të pastrohen për të marrë kultura të pastra mbi të cilat do të kryhen dy teste identifikimi.</w:t>
      </w:r>
    </w:p>
    <w:p w14:paraId="58423955" w14:textId="556818BD"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vertAlign w:val="superscript"/>
          <w:lang w:eastAsia="en-US"/>
        </w:rPr>
        <w:t>b</w:t>
      </w:r>
      <w:r w:rsidR="002047C6">
        <w:rPr>
          <w:rFonts w:ascii="Garamond" w:eastAsiaTheme="minorHAnsi" w:hAnsi="Garamond"/>
          <w:bCs/>
          <w:vertAlign w:val="superscript"/>
          <w:lang w:eastAsia="en-US"/>
        </w:rPr>
        <w:t>)</w:t>
      </w:r>
      <w:r w:rsidRPr="00180F73">
        <w:rPr>
          <w:rFonts w:ascii="Garamond" w:eastAsiaTheme="minorHAnsi" w:hAnsi="Garamond"/>
          <w:bCs/>
          <w:lang w:eastAsia="en-US"/>
        </w:rPr>
        <w:t xml:space="preserve"> Një nga këto dy teste identifikimi do të jetë një test i përmendur në shkronjat </w:t>
      </w:r>
      <w:r w:rsidR="002047C6">
        <w:rPr>
          <w:rFonts w:ascii="Garamond" w:eastAsiaTheme="minorHAnsi" w:hAnsi="Garamond"/>
          <w:bCs/>
          <w:lang w:eastAsia="en-US"/>
        </w:rPr>
        <w:t>“</w:t>
      </w:r>
      <w:r w:rsidRPr="00180F73">
        <w:rPr>
          <w:rFonts w:ascii="Garamond" w:eastAsiaTheme="minorHAnsi" w:hAnsi="Garamond"/>
          <w:bCs/>
          <w:lang w:eastAsia="en-US"/>
        </w:rPr>
        <w:t>d</w:t>
      </w:r>
      <w:r w:rsidR="002047C6">
        <w:rPr>
          <w:rFonts w:ascii="Garamond" w:eastAsiaTheme="minorHAnsi" w:hAnsi="Garamond"/>
          <w:bCs/>
          <w:lang w:eastAsia="en-US"/>
        </w:rPr>
        <w:t>”</w:t>
      </w:r>
      <w:r w:rsidRPr="00180F73">
        <w:rPr>
          <w:rFonts w:ascii="Garamond" w:eastAsiaTheme="minorHAnsi" w:hAnsi="Garamond"/>
          <w:bCs/>
          <w:lang w:eastAsia="en-US"/>
        </w:rPr>
        <w:t xml:space="preserve">, </w:t>
      </w:r>
      <w:r w:rsidR="002047C6">
        <w:rPr>
          <w:rFonts w:ascii="Garamond" w:eastAsiaTheme="minorHAnsi" w:hAnsi="Garamond"/>
          <w:bCs/>
          <w:lang w:eastAsia="en-US"/>
        </w:rPr>
        <w:t>“</w:t>
      </w:r>
      <w:r w:rsidRPr="00180F73">
        <w:rPr>
          <w:rFonts w:ascii="Garamond" w:eastAsiaTheme="minorHAnsi" w:hAnsi="Garamond"/>
          <w:bCs/>
          <w:lang w:eastAsia="en-US"/>
        </w:rPr>
        <w:t>e</w:t>
      </w:r>
      <w:r w:rsidR="002047C6">
        <w:rPr>
          <w:rFonts w:ascii="Garamond" w:eastAsiaTheme="minorHAnsi" w:hAnsi="Garamond"/>
          <w:bCs/>
          <w:lang w:eastAsia="en-US"/>
        </w:rPr>
        <w:t>”</w:t>
      </w:r>
      <w:r w:rsidRPr="00180F73">
        <w:rPr>
          <w:rFonts w:ascii="Garamond" w:eastAsiaTheme="minorHAnsi" w:hAnsi="Garamond"/>
          <w:bCs/>
          <w:lang w:eastAsia="en-US"/>
        </w:rPr>
        <w:t xml:space="preserve"> dhe </w:t>
      </w:r>
      <w:r w:rsidR="002047C6">
        <w:rPr>
          <w:rFonts w:ascii="Garamond" w:eastAsiaTheme="minorHAnsi" w:hAnsi="Garamond"/>
          <w:bCs/>
          <w:lang w:eastAsia="en-US"/>
        </w:rPr>
        <w:t>“</w:t>
      </w:r>
      <w:r w:rsidRPr="00180F73">
        <w:rPr>
          <w:rFonts w:ascii="Garamond" w:eastAsiaTheme="minorHAnsi" w:hAnsi="Garamond"/>
          <w:bCs/>
          <w:lang w:eastAsia="en-US"/>
        </w:rPr>
        <w:t>ë</w:t>
      </w:r>
      <w:r w:rsidR="002047C6">
        <w:rPr>
          <w:rFonts w:ascii="Garamond" w:eastAsiaTheme="minorHAnsi" w:hAnsi="Garamond"/>
          <w:bCs/>
          <w:lang w:eastAsia="en-US"/>
        </w:rPr>
        <w:t>”</w:t>
      </w:r>
      <w:r w:rsidRPr="00180F73">
        <w:rPr>
          <w:rFonts w:ascii="Garamond" w:eastAsiaTheme="minorHAnsi" w:hAnsi="Garamond"/>
          <w:bCs/>
          <w:lang w:eastAsia="en-US"/>
        </w:rPr>
        <w:t xml:space="preserve"> në pikën 2.2 bashkëlidhur këtij aneksi. Dy rezultatet pozitive në testet e identifikimit kërkohen për të konfirmuar pranin e dëmtuesit.</w:t>
      </w:r>
    </w:p>
    <w:p w14:paraId="7AC255DC" w14:textId="68CA54BE"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vertAlign w:val="superscript"/>
          <w:lang w:eastAsia="en-US"/>
        </w:rPr>
        <w:t>c</w:t>
      </w:r>
      <w:r w:rsidR="002047C6">
        <w:rPr>
          <w:rFonts w:ascii="Garamond" w:eastAsiaTheme="minorHAnsi" w:hAnsi="Garamond"/>
          <w:bCs/>
          <w:vertAlign w:val="superscript"/>
          <w:lang w:eastAsia="en-US"/>
        </w:rPr>
        <w:t>)</w:t>
      </w:r>
      <w:r w:rsidRPr="00180F73">
        <w:rPr>
          <w:rFonts w:ascii="Garamond" w:eastAsiaTheme="minorHAnsi" w:hAnsi="Garamond"/>
          <w:bCs/>
          <w:lang w:eastAsia="en-US"/>
        </w:rPr>
        <w:t xml:space="preserve"> Testi i tretë i zbulimit do të bazohet në parime të ndryshme biologjike ose në rajone të ndryshme nukleotide.</w:t>
      </w:r>
    </w:p>
    <w:p w14:paraId="3682CE4A" w14:textId="3521F8CE" w:rsidR="002271C4" w:rsidRDefault="002271C4" w:rsidP="00530732">
      <w:pPr>
        <w:autoSpaceDE w:val="0"/>
        <w:autoSpaceDN w:val="0"/>
        <w:adjustRightInd w:val="0"/>
        <w:jc w:val="both"/>
        <w:rPr>
          <w:rFonts w:ascii="Garamond" w:eastAsiaTheme="minorHAnsi" w:hAnsi="Garamond"/>
          <w:bCs/>
          <w:lang w:eastAsia="en-US"/>
        </w:rPr>
      </w:pPr>
    </w:p>
    <w:p w14:paraId="7352D35F" w14:textId="4B83C9DD" w:rsidR="002047C6" w:rsidRDefault="002047C6" w:rsidP="002271C4">
      <w:pPr>
        <w:autoSpaceDE w:val="0"/>
        <w:autoSpaceDN w:val="0"/>
        <w:adjustRightInd w:val="0"/>
        <w:ind w:firstLine="284"/>
        <w:jc w:val="both"/>
        <w:rPr>
          <w:rFonts w:ascii="Garamond" w:eastAsiaTheme="minorHAnsi" w:hAnsi="Garamond"/>
          <w:bCs/>
          <w:lang w:eastAsia="en-US"/>
        </w:rPr>
      </w:pPr>
    </w:p>
    <w:p w14:paraId="5330B916" w14:textId="284B05AA" w:rsidR="002271C4" w:rsidRPr="0080558D" w:rsidRDefault="003D0B46" w:rsidP="0080558D">
      <w:pPr>
        <w:autoSpaceDE w:val="0"/>
        <w:autoSpaceDN w:val="0"/>
        <w:adjustRightInd w:val="0"/>
        <w:ind w:firstLine="284"/>
        <w:jc w:val="center"/>
        <w:rPr>
          <w:rFonts w:ascii="Garamond" w:eastAsiaTheme="minorHAnsi" w:hAnsi="Garamond"/>
          <w:bCs/>
          <w:i/>
          <w:lang w:eastAsia="en-US"/>
        </w:rPr>
      </w:pPr>
      <w:r w:rsidRPr="0080558D">
        <w:rPr>
          <w:rFonts w:ascii="Garamond" w:eastAsiaTheme="minorHAnsi" w:hAnsi="Garamond"/>
          <w:bCs/>
          <w:i/>
          <w:lang w:eastAsia="en-US"/>
        </w:rPr>
        <w:lastRenderedPageBreak/>
        <w:t>Diagrami</w:t>
      </w:r>
      <w:r w:rsidR="002271C4" w:rsidRPr="0080558D">
        <w:rPr>
          <w:rFonts w:ascii="Garamond" w:eastAsiaTheme="minorHAnsi" w:hAnsi="Garamond"/>
          <w:bCs/>
          <w:i/>
          <w:lang w:eastAsia="en-US"/>
        </w:rPr>
        <w:t xml:space="preserve"> rrjedhës nr. 2: Procedura diagnostikuese për dëmtuesin e specifikuar në mostrat e ujit</w:t>
      </w:r>
    </w:p>
    <w:p w14:paraId="0F39506B"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p>
    <w:p w14:paraId="24CEE107" w14:textId="77777777" w:rsidR="002271C4" w:rsidRPr="00180F73" w:rsidRDefault="002271C4" w:rsidP="002271C4">
      <w:pPr>
        <w:autoSpaceDE w:val="0"/>
        <w:autoSpaceDN w:val="0"/>
        <w:adjustRightInd w:val="0"/>
        <w:ind w:firstLine="284"/>
        <w:jc w:val="both"/>
        <w:rPr>
          <w:rFonts w:ascii="Garamond" w:eastAsiaTheme="minorHAnsi" w:hAnsi="Garamond"/>
          <w:bCs/>
          <w:lang w:eastAsia="en-US"/>
        </w:rPr>
      </w:pPr>
      <w:r w:rsidRPr="00180F73">
        <w:rPr>
          <w:rFonts w:ascii="Garamond" w:eastAsiaTheme="minorHAnsi" w:hAnsi="Garamond"/>
          <w:bCs/>
          <w:noProof/>
          <w:lang w:eastAsia="sq-AL"/>
        </w:rPr>
        <w:drawing>
          <wp:inline distT="0" distB="0" distL="0" distR="0" wp14:anchorId="0852D6AE" wp14:editId="6D0275B3">
            <wp:extent cx="4867275" cy="3981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67275" cy="3981450"/>
                    </a:xfrm>
                    <a:prstGeom prst="rect">
                      <a:avLst/>
                    </a:prstGeom>
                  </pic:spPr>
                </pic:pic>
              </a:graphicData>
            </a:graphic>
          </wp:inline>
        </w:drawing>
      </w:r>
    </w:p>
    <w:p w14:paraId="2F9BA050" w14:textId="77777777" w:rsidR="002271C4" w:rsidRPr="00180F73" w:rsidRDefault="002271C4" w:rsidP="002271C4">
      <w:pPr>
        <w:ind w:firstLine="284"/>
        <w:jc w:val="both"/>
        <w:rPr>
          <w:rFonts w:ascii="Garamond" w:eastAsiaTheme="minorHAnsi" w:hAnsi="Garamond"/>
          <w:lang w:eastAsia="en-US"/>
        </w:rPr>
      </w:pPr>
    </w:p>
    <w:p w14:paraId="0061DD94" w14:textId="69D63A33" w:rsidR="002271C4"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vertAlign w:val="superscript"/>
          <w:lang w:eastAsia="en-US"/>
        </w:rPr>
        <w:t>a</w:t>
      </w:r>
      <w:r w:rsidR="002047C6">
        <w:rPr>
          <w:rFonts w:ascii="Garamond" w:eastAsiaTheme="minorHAnsi" w:hAnsi="Garamond"/>
          <w:vertAlign w:val="superscript"/>
          <w:lang w:eastAsia="en-US"/>
        </w:rPr>
        <w:t>)</w:t>
      </w:r>
      <w:r w:rsidRPr="00180F73">
        <w:rPr>
          <w:rFonts w:ascii="Garamond" w:eastAsiaTheme="minorHAnsi" w:hAnsi="Garamond"/>
          <w:lang w:eastAsia="en-US"/>
        </w:rPr>
        <w:t xml:space="preserve"> Një nga këto dy teste identifikimi do të jetë një test i përmendur në shkronjat “d”, “e” dhe “f” në pikën 2.2. Rezultatet pozitive në dy testet e identifikimit kërkohen për të konfirmuar pranin e dëmtuesit.</w:t>
      </w:r>
    </w:p>
    <w:p w14:paraId="5A9EAFF6"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 PËRGATITJA E MOSTRAVE</w:t>
      </w:r>
    </w:p>
    <w:p w14:paraId="3F2C417E"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4.1. Mostrat nga zhardhokët asimptomatike</w:t>
      </w:r>
    </w:p>
    <w:p w14:paraId="6D99EE31"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Mostra standarde duhet të përmbajë 200 zhardhokë për testim. Procedura e përshtatshme laboratorike për përpunimin e bërthamave për të marrë ekstraktin për zbulimin e dëmtuesit të specifikuar është përshkruar në standardet ndërkombëtare të diagnostikimit.</w:t>
      </w:r>
    </w:p>
    <w:p w14:paraId="38163083"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4.2. Mostrat nga bimë të specifikuara asimptomatike</w:t>
      </w:r>
    </w:p>
    <w:p w14:paraId="018F1D94" w14:textId="78C0D55E"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Zbulimi i infeksioneve të fshehtë (latent) do të kryhet në mostrat e përbëra të segmenteve të kërcellit ose bishtave të gjetheve. Procedura mund të aplikohet për deri në 200 pjesë të kërcellit ose 200 gjethe nga bimë të ndryshme në një mostër. Procedura e përshtatshme laboratorike për të dezinfektuar dhe</w:t>
      </w:r>
      <w:r w:rsidR="001859D8">
        <w:rPr>
          <w:rFonts w:ascii="Garamond" w:eastAsiaTheme="minorHAnsi" w:hAnsi="Garamond"/>
          <w:lang w:eastAsia="en-US"/>
        </w:rPr>
        <w:t xml:space="preserve"> për të</w:t>
      </w:r>
      <w:r w:rsidRPr="00180F73">
        <w:rPr>
          <w:rFonts w:ascii="Garamond" w:eastAsiaTheme="minorHAnsi" w:hAnsi="Garamond"/>
          <w:lang w:eastAsia="en-US"/>
        </w:rPr>
        <w:t xml:space="preserve"> përpunuar segmentet e kërcellit ose gjetheve për të marrë ekstraktin për zbulimi i dëmtuesit të specifikuar përshkruhet në standardet ndërkombëtare të diagnostikimit.</w:t>
      </w:r>
    </w:p>
    <w:p w14:paraId="2947BA30"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4.3. Mostrat nga materiali simptomatik i bimëve të specifikuara</w:t>
      </w:r>
    </w:p>
    <w:p w14:paraId="0E654150" w14:textId="5CBD4E59"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Seksionet e indeve duhet të hiqen në mënyrë aseptike nga unaza vaskulare në një zhardhok patate</w:t>
      </w:r>
      <w:r w:rsidR="001768A7">
        <w:rPr>
          <w:rFonts w:ascii="Garamond" w:eastAsiaTheme="minorHAnsi" w:hAnsi="Garamond"/>
          <w:lang w:eastAsia="en-US"/>
        </w:rPr>
        <w:t>je</w:t>
      </w:r>
      <w:r w:rsidRPr="00180F73">
        <w:rPr>
          <w:rFonts w:ascii="Garamond" w:eastAsiaTheme="minorHAnsi" w:hAnsi="Garamond"/>
          <w:lang w:eastAsia="en-US"/>
        </w:rPr>
        <w:t xml:space="preserve"> ose nga enët vaskulare në kërcellin e bimëve të specifikuara që shfaqin simptoma të tharjes. Procedura e përshtatshme laboratorike për përpunimin e këtyre indeve për të marrë ekstraktin për zbulimin e dëmtuesit të specifikuar është përshkruar me detaje të plota në standardet ndërkombëtare të diagnostikimit.</w:t>
      </w:r>
    </w:p>
    <w:p w14:paraId="2CBBE187"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t>4.4. Mostrat e ujit sipërfaqësor ose riqarkullues (përfshirë përpunimin e patates ose rrjedhjet e ujërave të zeza)</w:t>
      </w:r>
    </w:p>
    <w:p w14:paraId="10CBF3CC" w14:textId="77777777" w:rsidR="002271C4" w:rsidRPr="00180F73" w:rsidRDefault="002271C4" w:rsidP="002271C4">
      <w:pPr>
        <w:tabs>
          <w:tab w:val="left" w:pos="1194"/>
        </w:tabs>
        <w:ind w:firstLine="284"/>
        <w:jc w:val="both"/>
        <w:rPr>
          <w:rFonts w:ascii="Garamond" w:eastAsiaTheme="minorHAnsi" w:hAnsi="Garamond"/>
          <w:lang w:eastAsia="en-US"/>
        </w:rPr>
      </w:pPr>
      <w:r w:rsidRPr="00180F73">
        <w:rPr>
          <w:rFonts w:ascii="Garamond" w:eastAsiaTheme="minorHAnsi" w:hAnsi="Garamond"/>
          <w:lang w:eastAsia="en-US"/>
        </w:rPr>
        <w:lastRenderedPageBreak/>
        <w:t>Testi kryesor për zbulimin e dëmtuesit të specifikuar në mostrat e ujërave sipërfaqësore, ujit nga sistemet e riqarkullimit dhe mostrat e efluentit (industria e përpunimit të patates) është izolimi selektiv. Procedura e përshtatshme laboratorike për përpunimin e mostrave të ujit është përshkruar në standardet ndërkombëtare të diagnostikimit</w:t>
      </w:r>
      <w:r w:rsidRPr="00180F73">
        <w:rPr>
          <w:rFonts w:eastAsiaTheme="minorHAnsi"/>
          <w:lang w:eastAsia="en-US"/>
        </w:rPr>
        <w:t>​</w:t>
      </w:r>
    </w:p>
    <w:p w14:paraId="1973DB51" w14:textId="0EA3680C" w:rsidR="002271C4" w:rsidRPr="00180F73" w:rsidRDefault="002271C4" w:rsidP="002271C4">
      <w:pPr>
        <w:jc w:val="both"/>
        <w:rPr>
          <w:b/>
        </w:rPr>
      </w:pPr>
    </w:p>
    <w:p w14:paraId="746AA64C" w14:textId="1F7693BD" w:rsidR="005752BA" w:rsidRPr="003D0B46" w:rsidRDefault="003D0B46" w:rsidP="005752BA">
      <w:pPr>
        <w:pStyle w:val="TEKSTI"/>
        <w:jc w:val="center"/>
        <w:rPr>
          <w:bCs/>
          <w:lang w:eastAsia="en-US"/>
        </w:rPr>
      </w:pPr>
      <w:r w:rsidRPr="003D0B46">
        <w:rPr>
          <w:bCs/>
          <w:lang w:eastAsia="en-US"/>
        </w:rPr>
        <w:t>ANEKSI II</w:t>
      </w:r>
    </w:p>
    <w:p w14:paraId="0183A315" w14:textId="77777777" w:rsidR="003D0B46" w:rsidRDefault="003D0B46" w:rsidP="003D0B46">
      <w:pPr>
        <w:pStyle w:val="TEKSTI"/>
        <w:jc w:val="left"/>
        <w:rPr>
          <w:b/>
          <w:lang w:eastAsia="en-US"/>
        </w:rPr>
      </w:pPr>
    </w:p>
    <w:p w14:paraId="0FCDACB2" w14:textId="07EF4701" w:rsidR="005752BA" w:rsidRPr="00180F73" w:rsidRDefault="003D0B46" w:rsidP="003D0B46">
      <w:pPr>
        <w:pStyle w:val="TEKSTI"/>
        <w:jc w:val="left"/>
        <w:rPr>
          <w:b/>
          <w:lang w:eastAsia="en-US"/>
        </w:rPr>
      </w:pPr>
      <w:r w:rsidRPr="00180F73">
        <w:rPr>
          <w:b/>
          <w:lang w:eastAsia="en-US"/>
        </w:rPr>
        <w:t>Modeli i vrojtimit referuar në pik</w:t>
      </w:r>
      <w:r>
        <w:rPr>
          <w:b/>
          <w:lang w:eastAsia="en-US"/>
        </w:rPr>
        <w:t>ë</w:t>
      </w:r>
      <w:r w:rsidRPr="00180F73">
        <w:rPr>
          <w:b/>
          <w:lang w:eastAsia="en-US"/>
        </w:rPr>
        <w:t>n 3 të nenit 3</w:t>
      </w:r>
    </w:p>
    <w:p w14:paraId="654340CF" w14:textId="45CDDF67" w:rsidR="005752BA" w:rsidRPr="00180F73" w:rsidRDefault="003000E8" w:rsidP="005752BA">
      <w:pPr>
        <w:pStyle w:val="TEKSTI"/>
        <w:rPr>
          <w:lang w:eastAsia="en-US"/>
        </w:rPr>
      </w:pPr>
      <w:r w:rsidRPr="00180F73">
        <w:rPr>
          <w:lang w:eastAsia="en-US"/>
        </w:rPr>
        <w:t xml:space="preserve">Formati </w:t>
      </w:r>
      <w:r w:rsidR="005752BA" w:rsidRPr="00180F73">
        <w:rPr>
          <w:lang w:eastAsia="en-US"/>
        </w:rPr>
        <w:t xml:space="preserve">për paraqitjen e rezultateve të vrojtimit të </w:t>
      </w:r>
      <w:r w:rsidR="005752BA" w:rsidRPr="00180F73">
        <w:rPr>
          <w:color w:val="000000" w:themeColor="text1"/>
          <w:lang w:eastAsia="en-US"/>
        </w:rPr>
        <w:t xml:space="preserve">kalbëzimit kaf </w:t>
      </w:r>
      <w:r w:rsidR="005752BA" w:rsidRPr="00180F73">
        <w:rPr>
          <w:lang w:eastAsia="en-US"/>
        </w:rPr>
        <w:t xml:space="preserve">për vjeljen e patates dhe </w:t>
      </w:r>
      <w:r w:rsidR="003E4656">
        <w:rPr>
          <w:lang w:eastAsia="en-US"/>
        </w:rPr>
        <w:t xml:space="preserve">të </w:t>
      </w:r>
      <w:r w:rsidR="005752BA" w:rsidRPr="00180F73">
        <w:rPr>
          <w:lang w:eastAsia="en-US"/>
        </w:rPr>
        <w:t>domateve të vitit kalendarik paraardhës.</w:t>
      </w:r>
    </w:p>
    <w:p w14:paraId="67505B58" w14:textId="77777777" w:rsidR="005752BA" w:rsidRPr="00180F73" w:rsidRDefault="005752BA" w:rsidP="005752BA">
      <w:pPr>
        <w:pStyle w:val="TEKSTI"/>
        <w:rPr>
          <w:lang w:eastAsia="en-US"/>
        </w:rPr>
      </w:pPr>
      <w:r w:rsidRPr="00180F73">
        <w:rPr>
          <w:lang w:eastAsia="en-US"/>
        </w:rPr>
        <w:t>Kjo tabelë përdoret vetëm për rezultatet e vrojtimit për patatet dhe domatet e vjela.</w:t>
      </w:r>
    </w:p>
    <w:p w14:paraId="2DDB5A7E" w14:textId="5E3D6E6E" w:rsidR="004A1C33" w:rsidRPr="00180F73" w:rsidRDefault="004A1C33" w:rsidP="002271C4">
      <w:pPr>
        <w:jc w:val="both"/>
        <w:rPr>
          <w:b/>
        </w:rPr>
      </w:pPr>
    </w:p>
    <w:tbl>
      <w:tblPr>
        <w:tblStyle w:val="TableGrid"/>
        <w:tblW w:w="5152" w:type="pct"/>
        <w:tblLook w:val="01E0" w:firstRow="1" w:lastRow="1" w:firstColumn="1" w:lastColumn="1" w:noHBand="0" w:noVBand="0"/>
      </w:tblPr>
      <w:tblGrid>
        <w:gridCol w:w="1492"/>
        <w:gridCol w:w="433"/>
        <w:gridCol w:w="442"/>
        <w:gridCol w:w="447"/>
        <w:gridCol w:w="890"/>
        <w:gridCol w:w="668"/>
        <w:gridCol w:w="443"/>
        <w:gridCol w:w="495"/>
        <w:gridCol w:w="471"/>
        <w:gridCol w:w="457"/>
        <w:gridCol w:w="444"/>
        <w:gridCol w:w="651"/>
        <w:gridCol w:w="463"/>
        <w:gridCol w:w="885"/>
        <w:gridCol w:w="953"/>
      </w:tblGrid>
      <w:tr w:rsidR="00A63C3A" w:rsidRPr="00180F73" w14:paraId="19CA120C" w14:textId="77777777" w:rsidTr="003D0B46">
        <w:trPr>
          <w:trHeight w:val="20"/>
        </w:trPr>
        <w:tc>
          <w:tcPr>
            <w:tcW w:w="775" w:type="pct"/>
            <w:vMerge w:val="restart"/>
            <w:vAlign w:val="center"/>
          </w:tcPr>
          <w:p w14:paraId="5100EE39" w14:textId="77777777" w:rsidR="00A63C3A" w:rsidRPr="00180F73" w:rsidRDefault="00A63C3A" w:rsidP="003D0B46">
            <w:pPr>
              <w:pStyle w:val="TableParagraph"/>
              <w:ind w:left="518" w:hanging="263"/>
              <w:jc w:val="center"/>
              <w:rPr>
                <w:rFonts w:ascii="Garamond" w:hAnsi="Garamond"/>
                <w:b/>
                <w:sz w:val="14"/>
                <w:szCs w:val="14"/>
              </w:rPr>
            </w:pPr>
            <w:r w:rsidRPr="00180F73">
              <w:rPr>
                <w:rFonts w:ascii="Garamond" w:hAnsi="Garamond"/>
                <w:b/>
                <w:sz w:val="14"/>
                <w:szCs w:val="14"/>
              </w:rPr>
              <w:t>Kategoria</w:t>
            </w:r>
          </w:p>
        </w:tc>
        <w:tc>
          <w:tcPr>
            <w:tcW w:w="224" w:type="pct"/>
            <w:vMerge w:val="restart"/>
            <w:textDirection w:val="btLr"/>
            <w:vAlign w:val="center"/>
          </w:tcPr>
          <w:p w14:paraId="2BBFE0B1" w14:textId="216A6CAC" w:rsidR="00A63C3A" w:rsidRPr="00180F73" w:rsidRDefault="00A63C3A" w:rsidP="003D0B46">
            <w:pPr>
              <w:pStyle w:val="TableParagraph"/>
              <w:jc w:val="center"/>
              <w:rPr>
                <w:rFonts w:ascii="Garamond" w:hAnsi="Garamond"/>
                <w:sz w:val="14"/>
                <w:szCs w:val="14"/>
              </w:rPr>
            </w:pPr>
            <w:r w:rsidRPr="00180F73">
              <w:rPr>
                <w:rFonts w:ascii="Garamond" w:hAnsi="Garamond"/>
                <w:b/>
                <w:w w:val="90"/>
                <w:sz w:val="14"/>
                <w:szCs w:val="14"/>
              </w:rPr>
              <w:t>Zona e mbjelljes (ha)</w:t>
            </w:r>
          </w:p>
          <w:p w14:paraId="7B1BB3EC" w14:textId="77777777" w:rsidR="00A63C3A" w:rsidRPr="00180F73" w:rsidRDefault="00A63C3A" w:rsidP="003D0B46">
            <w:pPr>
              <w:pStyle w:val="TableParagraph"/>
              <w:jc w:val="center"/>
              <w:rPr>
                <w:rFonts w:ascii="Garamond" w:hAnsi="Garamond"/>
                <w:b/>
                <w:sz w:val="14"/>
                <w:szCs w:val="14"/>
              </w:rPr>
            </w:pPr>
          </w:p>
        </w:tc>
        <w:tc>
          <w:tcPr>
            <w:tcW w:w="1757" w:type="pct"/>
            <w:gridSpan w:val="6"/>
            <w:vAlign w:val="center"/>
          </w:tcPr>
          <w:p w14:paraId="537F9109" w14:textId="77777777" w:rsidR="00A63C3A" w:rsidRPr="00180F73" w:rsidRDefault="00A63C3A" w:rsidP="003D0B46">
            <w:pPr>
              <w:pStyle w:val="TableParagraph"/>
              <w:ind w:left="1518" w:right="1068" w:hanging="907"/>
              <w:jc w:val="center"/>
              <w:rPr>
                <w:rFonts w:ascii="Garamond" w:hAnsi="Garamond"/>
                <w:b/>
                <w:sz w:val="14"/>
                <w:szCs w:val="14"/>
              </w:rPr>
            </w:pPr>
            <w:r w:rsidRPr="00180F73">
              <w:rPr>
                <w:rFonts w:ascii="Garamond" w:hAnsi="Garamond"/>
                <w:b/>
                <w:w w:val="90"/>
                <w:sz w:val="14"/>
                <w:szCs w:val="14"/>
              </w:rPr>
              <w:t>Testimi laboratorik</w:t>
            </w:r>
          </w:p>
        </w:tc>
        <w:tc>
          <w:tcPr>
            <w:tcW w:w="750" w:type="pct"/>
            <w:gridSpan w:val="3"/>
            <w:vAlign w:val="center"/>
          </w:tcPr>
          <w:p w14:paraId="78AAD0B3" w14:textId="77777777" w:rsidR="00A63C3A" w:rsidRPr="00180F73" w:rsidRDefault="00A63C3A" w:rsidP="003D0B46">
            <w:pPr>
              <w:pStyle w:val="TableParagraph"/>
              <w:ind w:left="56"/>
              <w:jc w:val="center"/>
              <w:rPr>
                <w:rFonts w:ascii="Garamond" w:hAnsi="Garamond"/>
                <w:sz w:val="14"/>
                <w:szCs w:val="14"/>
              </w:rPr>
            </w:pPr>
            <w:r w:rsidRPr="00180F73">
              <w:rPr>
                <w:rFonts w:ascii="Garamond" w:hAnsi="Garamond"/>
                <w:b/>
                <w:w w:val="90"/>
                <w:sz w:val="14"/>
                <w:szCs w:val="14"/>
              </w:rPr>
              <w:t>Inspektimi vizual i zhardhokëv</w:t>
            </w:r>
            <w:r w:rsidRPr="003E4656">
              <w:rPr>
                <w:rFonts w:ascii="Garamond" w:hAnsi="Garamond"/>
                <w:b/>
                <w:w w:val="90"/>
                <w:sz w:val="14"/>
                <w:szCs w:val="14"/>
              </w:rPr>
              <w:t>e</w:t>
            </w:r>
            <w:hyperlink w:anchor="_bookmark18" w:history="1">
              <w:r w:rsidRPr="003E4656">
                <w:rPr>
                  <w:rFonts w:ascii="Garamond" w:hAnsi="Garamond"/>
                  <w:b/>
                  <w:sz w:val="14"/>
                  <w:szCs w:val="14"/>
                  <w:vertAlign w:val="superscript"/>
                </w:rPr>
                <w:t>(1)</w:t>
              </w:r>
            </w:hyperlink>
          </w:p>
        </w:tc>
        <w:tc>
          <w:tcPr>
            <w:tcW w:w="1068" w:type="pct"/>
            <w:gridSpan w:val="3"/>
            <w:vAlign w:val="center"/>
          </w:tcPr>
          <w:p w14:paraId="6C10DA3B" w14:textId="7EF1EA21" w:rsidR="00A63C3A" w:rsidRPr="00180F73" w:rsidRDefault="00A63C3A" w:rsidP="003D0B46">
            <w:pPr>
              <w:pStyle w:val="TableParagraph"/>
              <w:ind w:hanging="18"/>
              <w:jc w:val="center"/>
              <w:rPr>
                <w:rFonts w:ascii="Garamond" w:hAnsi="Garamond"/>
                <w:sz w:val="14"/>
                <w:szCs w:val="14"/>
              </w:rPr>
            </w:pPr>
            <w:r w:rsidRPr="00180F73">
              <w:rPr>
                <w:rFonts w:ascii="Garamond" w:hAnsi="Garamond"/>
                <w:b/>
                <w:w w:val="95"/>
                <w:sz w:val="14"/>
                <w:szCs w:val="14"/>
              </w:rPr>
              <w:t xml:space="preserve">Inspektimet vizuale të </w:t>
            </w:r>
            <w:r w:rsidRPr="00180F73">
              <w:rPr>
                <w:rFonts w:ascii="Garamond" w:hAnsi="Garamond"/>
                <w:b/>
                <w:sz w:val="14"/>
                <w:szCs w:val="14"/>
              </w:rPr>
              <w:t>kulturave në rritje</w:t>
            </w:r>
            <w:hyperlink w:anchor="_bookmark18" w:history="1">
              <w:r w:rsidR="003E4656" w:rsidRPr="003E4656">
                <w:rPr>
                  <w:rFonts w:ascii="Garamond" w:hAnsi="Garamond"/>
                  <w:b/>
                  <w:bCs/>
                  <w:sz w:val="14"/>
                  <w:szCs w:val="14"/>
                  <w:vertAlign w:val="superscript"/>
                </w:rPr>
                <w:t>(1)</w:t>
              </w:r>
            </w:hyperlink>
          </w:p>
        </w:tc>
        <w:tc>
          <w:tcPr>
            <w:tcW w:w="425" w:type="pct"/>
            <w:vMerge w:val="restart"/>
            <w:vAlign w:val="center"/>
          </w:tcPr>
          <w:p w14:paraId="1BBC16F9" w14:textId="77777777" w:rsidR="00A63C3A" w:rsidRPr="00180F73" w:rsidRDefault="00A63C3A" w:rsidP="003D0B46">
            <w:pPr>
              <w:pStyle w:val="TableParagraph"/>
              <w:jc w:val="center"/>
              <w:rPr>
                <w:rFonts w:ascii="Garamond" w:hAnsi="Garamond"/>
                <w:b/>
                <w:sz w:val="14"/>
                <w:szCs w:val="14"/>
              </w:rPr>
            </w:pPr>
            <w:r w:rsidRPr="00180F73">
              <w:rPr>
                <w:rFonts w:ascii="Garamond" w:hAnsi="Garamond"/>
                <w:b/>
                <w:w w:val="95"/>
                <w:sz w:val="14"/>
                <w:szCs w:val="14"/>
              </w:rPr>
              <w:t>Informacioni tjetër</w:t>
            </w:r>
          </w:p>
        </w:tc>
      </w:tr>
      <w:tr w:rsidR="003D0B46" w:rsidRPr="00180F73" w14:paraId="020874C1" w14:textId="77777777" w:rsidTr="003D0B46">
        <w:trPr>
          <w:trHeight w:val="20"/>
        </w:trPr>
        <w:tc>
          <w:tcPr>
            <w:tcW w:w="775" w:type="pct"/>
            <w:vMerge/>
            <w:vAlign w:val="center"/>
          </w:tcPr>
          <w:p w14:paraId="782303B0" w14:textId="77777777" w:rsidR="00A63C3A" w:rsidRPr="00180F73" w:rsidRDefault="00A63C3A" w:rsidP="003D0B46">
            <w:pPr>
              <w:jc w:val="center"/>
              <w:rPr>
                <w:rFonts w:ascii="Garamond" w:hAnsi="Garamond"/>
                <w:sz w:val="14"/>
                <w:szCs w:val="14"/>
              </w:rPr>
            </w:pPr>
          </w:p>
        </w:tc>
        <w:tc>
          <w:tcPr>
            <w:tcW w:w="224" w:type="pct"/>
            <w:vMerge/>
            <w:textDirection w:val="btLr"/>
            <w:vAlign w:val="center"/>
          </w:tcPr>
          <w:p w14:paraId="72517304" w14:textId="77777777" w:rsidR="00A63C3A" w:rsidRPr="00180F73" w:rsidRDefault="00A63C3A" w:rsidP="003D0B46">
            <w:pPr>
              <w:jc w:val="center"/>
              <w:rPr>
                <w:rFonts w:ascii="Garamond" w:hAnsi="Garamond"/>
                <w:sz w:val="14"/>
                <w:szCs w:val="14"/>
              </w:rPr>
            </w:pPr>
          </w:p>
        </w:tc>
        <w:tc>
          <w:tcPr>
            <w:tcW w:w="229" w:type="pct"/>
            <w:vMerge w:val="restart"/>
            <w:textDirection w:val="btLr"/>
            <w:vAlign w:val="center"/>
          </w:tcPr>
          <w:p w14:paraId="39B658DD" w14:textId="77777777" w:rsidR="00A63C3A" w:rsidRPr="00180F73" w:rsidRDefault="00A63C3A" w:rsidP="003D0B46">
            <w:pPr>
              <w:pStyle w:val="TableParagraph"/>
              <w:ind w:left="100"/>
              <w:jc w:val="center"/>
              <w:rPr>
                <w:rFonts w:ascii="Garamond" w:hAnsi="Garamond"/>
                <w:b/>
                <w:sz w:val="14"/>
                <w:szCs w:val="14"/>
              </w:rPr>
            </w:pPr>
            <w:r w:rsidRPr="00180F73">
              <w:rPr>
                <w:rFonts w:ascii="Garamond" w:hAnsi="Garamond"/>
                <w:b/>
                <w:w w:val="95"/>
                <w:sz w:val="14"/>
                <w:szCs w:val="14"/>
              </w:rPr>
              <w:t>Numri i mostrave</w:t>
            </w:r>
          </w:p>
        </w:tc>
        <w:tc>
          <w:tcPr>
            <w:tcW w:w="232" w:type="pct"/>
            <w:vMerge w:val="restart"/>
            <w:textDirection w:val="btLr"/>
            <w:vAlign w:val="center"/>
          </w:tcPr>
          <w:p w14:paraId="237BEC3B" w14:textId="77777777" w:rsidR="00A63C3A" w:rsidRPr="00180F73" w:rsidRDefault="00A63C3A" w:rsidP="003D0B46">
            <w:pPr>
              <w:pStyle w:val="TableParagraph"/>
              <w:ind w:left="242"/>
              <w:jc w:val="center"/>
              <w:rPr>
                <w:rFonts w:ascii="Garamond" w:hAnsi="Garamond"/>
                <w:b/>
                <w:sz w:val="14"/>
                <w:szCs w:val="14"/>
              </w:rPr>
            </w:pPr>
            <w:r w:rsidRPr="00180F73">
              <w:rPr>
                <w:rFonts w:ascii="Garamond" w:hAnsi="Garamond"/>
                <w:b/>
                <w:w w:val="95"/>
                <w:sz w:val="14"/>
                <w:szCs w:val="14"/>
              </w:rPr>
              <w:t>Numri i lot-eve</w:t>
            </w:r>
          </w:p>
        </w:tc>
        <w:tc>
          <w:tcPr>
            <w:tcW w:w="462" w:type="pct"/>
            <w:vMerge w:val="restart"/>
            <w:textDirection w:val="btLr"/>
            <w:vAlign w:val="center"/>
          </w:tcPr>
          <w:p w14:paraId="64225405" w14:textId="77777777" w:rsidR="00A63C3A" w:rsidRPr="00180F73" w:rsidRDefault="00A63C3A" w:rsidP="003D0B46">
            <w:pPr>
              <w:pStyle w:val="TableParagraph"/>
              <w:ind w:left="242" w:right="432"/>
              <w:jc w:val="center"/>
              <w:rPr>
                <w:rFonts w:ascii="Garamond" w:hAnsi="Garamond"/>
                <w:b/>
                <w:sz w:val="14"/>
                <w:szCs w:val="14"/>
              </w:rPr>
            </w:pPr>
            <w:r w:rsidRPr="00180F73">
              <w:rPr>
                <w:rFonts w:ascii="Garamond" w:hAnsi="Garamond"/>
                <w:b/>
                <w:spacing w:val="-1"/>
                <w:sz w:val="14"/>
                <w:szCs w:val="14"/>
              </w:rPr>
              <w:t xml:space="preserve">Madhësia e </w:t>
            </w:r>
            <w:r w:rsidRPr="00180F73">
              <w:rPr>
                <w:rFonts w:ascii="Garamond" w:hAnsi="Garamond"/>
                <w:b/>
                <w:sz w:val="14"/>
                <w:szCs w:val="14"/>
              </w:rPr>
              <w:t>lot-et (në t ose ha)</w:t>
            </w:r>
          </w:p>
        </w:tc>
        <w:tc>
          <w:tcPr>
            <w:tcW w:w="347" w:type="pct"/>
            <w:vMerge w:val="restart"/>
            <w:textDirection w:val="btLr"/>
            <w:vAlign w:val="center"/>
          </w:tcPr>
          <w:p w14:paraId="13FE33B0" w14:textId="77777777" w:rsidR="00A63C3A" w:rsidRPr="00180F73" w:rsidRDefault="00A63C3A" w:rsidP="003D0B46">
            <w:pPr>
              <w:pStyle w:val="TableParagraph"/>
              <w:ind w:left="242"/>
              <w:jc w:val="center"/>
              <w:rPr>
                <w:rFonts w:ascii="Garamond" w:hAnsi="Garamond"/>
                <w:b/>
                <w:sz w:val="14"/>
                <w:szCs w:val="14"/>
              </w:rPr>
            </w:pPr>
            <w:r w:rsidRPr="00180F73">
              <w:rPr>
                <w:rFonts w:ascii="Garamond" w:hAnsi="Garamond"/>
                <w:b/>
                <w:w w:val="95"/>
                <w:sz w:val="14"/>
                <w:szCs w:val="14"/>
              </w:rPr>
              <w:t>Periudha e mostrimit</w:t>
            </w:r>
          </w:p>
        </w:tc>
        <w:tc>
          <w:tcPr>
            <w:tcW w:w="487" w:type="pct"/>
            <w:gridSpan w:val="2"/>
            <w:vAlign w:val="center"/>
          </w:tcPr>
          <w:p w14:paraId="1A11A1AF" w14:textId="77777777" w:rsidR="00A63C3A" w:rsidRPr="00180F73" w:rsidRDefault="00A63C3A" w:rsidP="003D0B46">
            <w:pPr>
              <w:pStyle w:val="TableParagraph"/>
              <w:ind w:left="209" w:hanging="209"/>
              <w:jc w:val="center"/>
              <w:rPr>
                <w:rFonts w:ascii="Garamond" w:hAnsi="Garamond"/>
                <w:b/>
                <w:sz w:val="14"/>
                <w:szCs w:val="14"/>
              </w:rPr>
            </w:pPr>
            <w:r w:rsidRPr="00180F73">
              <w:rPr>
                <w:rFonts w:ascii="Garamond" w:hAnsi="Garamond"/>
                <w:b/>
                <w:sz w:val="14"/>
                <w:szCs w:val="14"/>
              </w:rPr>
              <w:t>Jo pozitive</w:t>
            </w:r>
          </w:p>
        </w:tc>
        <w:tc>
          <w:tcPr>
            <w:tcW w:w="274" w:type="pct"/>
            <w:vMerge w:val="restart"/>
            <w:textDirection w:val="btLr"/>
            <w:vAlign w:val="center"/>
          </w:tcPr>
          <w:p w14:paraId="317479A3" w14:textId="77777777" w:rsidR="00A63C3A" w:rsidRPr="00180F73" w:rsidRDefault="00A63C3A" w:rsidP="003D0B46">
            <w:pPr>
              <w:pStyle w:val="TableParagraph"/>
              <w:ind w:left="242" w:right="130"/>
              <w:jc w:val="center"/>
              <w:rPr>
                <w:rFonts w:ascii="Garamond" w:hAnsi="Garamond"/>
                <w:b/>
                <w:sz w:val="14"/>
                <w:szCs w:val="14"/>
              </w:rPr>
            </w:pPr>
            <w:r w:rsidRPr="00180F73">
              <w:rPr>
                <w:rFonts w:ascii="Garamond" w:hAnsi="Garamond"/>
                <w:b/>
                <w:spacing w:val="-2"/>
                <w:w w:val="95"/>
                <w:sz w:val="14"/>
                <w:szCs w:val="14"/>
              </w:rPr>
              <w:t xml:space="preserve">Numri i mostrave </w:t>
            </w:r>
            <w:r w:rsidRPr="00180F73">
              <w:rPr>
                <w:rFonts w:ascii="Garamond" w:hAnsi="Garamond"/>
                <w:b/>
                <w:sz w:val="14"/>
                <w:szCs w:val="14"/>
              </w:rPr>
              <w:t>të inspektuara</w:t>
            </w:r>
          </w:p>
        </w:tc>
        <w:tc>
          <w:tcPr>
            <w:tcW w:w="245" w:type="pct"/>
            <w:vMerge w:val="restart"/>
            <w:textDirection w:val="btLr"/>
            <w:vAlign w:val="center"/>
          </w:tcPr>
          <w:p w14:paraId="5C6B2B7E" w14:textId="77777777" w:rsidR="00A63C3A" w:rsidRPr="00180F73" w:rsidRDefault="00A63C3A" w:rsidP="003D0B46">
            <w:pPr>
              <w:pStyle w:val="TableParagraph"/>
              <w:ind w:left="242"/>
              <w:jc w:val="center"/>
              <w:rPr>
                <w:rFonts w:ascii="Garamond" w:hAnsi="Garamond"/>
                <w:b/>
                <w:sz w:val="14"/>
                <w:szCs w:val="14"/>
              </w:rPr>
            </w:pPr>
            <w:r w:rsidRPr="00180F73">
              <w:rPr>
                <w:rFonts w:ascii="Garamond" w:hAnsi="Garamond"/>
                <w:b/>
                <w:w w:val="95"/>
                <w:sz w:val="14"/>
                <w:szCs w:val="14"/>
              </w:rPr>
              <w:t>Madhësia e mostrës</w:t>
            </w:r>
          </w:p>
        </w:tc>
        <w:tc>
          <w:tcPr>
            <w:tcW w:w="231" w:type="pct"/>
            <w:vMerge w:val="restart"/>
            <w:textDirection w:val="btLr"/>
            <w:vAlign w:val="center"/>
          </w:tcPr>
          <w:p w14:paraId="16707357" w14:textId="51EF6517" w:rsidR="00A63C3A" w:rsidRPr="00180F73" w:rsidRDefault="00A63C3A" w:rsidP="003D0B46">
            <w:pPr>
              <w:pStyle w:val="TableParagraph"/>
              <w:ind w:left="242" w:right="473"/>
              <w:jc w:val="center"/>
              <w:rPr>
                <w:rFonts w:ascii="Garamond" w:hAnsi="Garamond"/>
                <w:sz w:val="14"/>
                <w:szCs w:val="14"/>
              </w:rPr>
            </w:pPr>
            <w:r w:rsidRPr="00180F73">
              <w:rPr>
                <w:rFonts w:ascii="Garamond" w:hAnsi="Garamond"/>
                <w:b/>
                <w:w w:val="95"/>
                <w:sz w:val="14"/>
                <w:szCs w:val="14"/>
              </w:rPr>
              <w:t xml:space="preserve">Nr. </w:t>
            </w:r>
            <w:r w:rsidR="003E4656">
              <w:rPr>
                <w:rFonts w:ascii="Garamond" w:hAnsi="Garamond"/>
                <w:b/>
                <w:w w:val="95"/>
                <w:sz w:val="14"/>
                <w:szCs w:val="14"/>
              </w:rPr>
              <w:t xml:space="preserve">i </w:t>
            </w:r>
            <w:r w:rsidRPr="00180F73">
              <w:rPr>
                <w:rFonts w:ascii="Garamond" w:hAnsi="Garamond"/>
                <w:b/>
                <w:w w:val="95"/>
                <w:sz w:val="14"/>
                <w:szCs w:val="14"/>
              </w:rPr>
              <w:t>mostrave pozitiv</w:t>
            </w:r>
            <w:r w:rsidRPr="00180F73">
              <w:rPr>
                <w:rFonts w:ascii="Garamond" w:hAnsi="Garamond"/>
                <w:sz w:val="14"/>
                <w:szCs w:val="14"/>
              </w:rPr>
              <w:t xml:space="preserve"> (</w:t>
            </w:r>
            <w:r w:rsidRPr="00180F73">
              <w:rPr>
                <w:rFonts w:ascii="Garamond" w:hAnsi="Garamond"/>
                <w:position w:val="6"/>
                <w:sz w:val="14"/>
                <w:szCs w:val="14"/>
              </w:rPr>
              <w:t>2</w:t>
            </w:r>
            <w:r w:rsidRPr="00180F73">
              <w:rPr>
                <w:rFonts w:ascii="Garamond" w:hAnsi="Garamond"/>
                <w:sz w:val="14"/>
                <w:szCs w:val="14"/>
              </w:rPr>
              <w:t>)</w:t>
            </w:r>
          </w:p>
        </w:tc>
        <w:tc>
          <w:tcPr>
            <w:tcW w:w="353" w:type="pct"/>
            <w:vMerge w:val="restart"/>
            <w:textDirection w:val="btLr"/>
            <w:vAlign w:val="center"/>
          </w:tcPr>
          <w:p w14:paraId="7305A007" w14:textId="77777777" w:rsidR="00A63C3A" w:rsidRPr="00180F73" w:rsidRDefault="00A63C3A" w:rsidP="003D0B46">
            <w:pPr>
              <w:pStyle w:val="TableParagraph"/>
              <w:ind w:left="297" w:right="282" w:hanging="56"/>
              <w:jc w:val="center"/>
              <w:rPr>
                <w:rFonts w:ascii="Garamond" w:hAnsi="Garamond"/>
                <w:b/>
                <w:sz w:val="14"/>
                <w:szCs w:val="14"/>
              </w:rPr>
            </w:pPr>
            <w:r w:rsidRPr="00180F73">
              <w:rPr>
                <w:rFonts w:ascii="Garamond" w:hAnsi="Garamond"/>
                <w:b/>
                <w:spacing w:val="-1"/>
                <w:w w:val="95"/>
                <w:sz w:val="14"/>
                <w:szCs w:val="14"/>
              </w:rPr>
              <w:t>Numri</w:t>
            </w:r>
            <w:r w:rsidRPr="00180F73">
              <w:rPr>
                <w:rFonts w:ascii="Garamond" w:hAnsi="Garamond"/>
                <w:b/>
                <w:w w:val="95"/>
                <w:sz w:val="14"/>
                <w:szCs w:val="14"/>
              </w:rPr>
              <w:t xml:space="preserve"> i inspektimeve vizuale</w:t>
            </w:r>
          </w:p>
        </w:tc>
        <w:tc>
          <w:tcPr>
            <w:tcW w:w="248" w:type="pct"/>
            <w:vMerge w:val="restart"/>
            <w:textDirection w:val="btLr"/>
            <w:vAlign w:val="center"/>
          </w:tcPr>
          <w:p w14:paraId="39D91B10" w14:textId="77777777" w:rsidR="00A63C3A" w:rsidRPr="00180F73" w:rsidRDefault="00A63C3A" w:rsidP="003D0B46">
            <w:pPr>
              <w:pStyle w:val="TableParagraph"/>
              <w:jc w:val="center"/>
              <w:rPr>
                <w:rFonts w:ascii="Garamond" w:hAnsi="Garamond"/>
                <w:b/>
                <w:sz w:val="14"/>
                <w:szCs w:val="14"/>
              </w:rPr>
            </w:pPr>
            <w:r w:rsidRPr="00180F73">
              <w:rPr>
                <w:rFonts w:ascii="Garamond" w:hAnsi="Garamond"/>
                <w:b/>
                <w:sz w:val="14"/>
                <w:szCs w:val="14"/>
              </w:rPr>
              <w:t>Nr. i ha (patate) ose bimë (domate)</w:t>
            </w:r>
          </w:p>
          <w:p w14:paraId="58F00BA7" w14:textId="77777777" w:rsidR="00A63C3A" w:rsidRPr="00180F73" w:rsidRDefault="00A63C3A" w:rsidP="003D0B46">
            <w:pPr>
              <w:pStyle w:val="TableParagraph"/>
              <w:ind w:left="242"/>
              <w:jc w:val="center"/>
              <w:rPr>
                <w:rFonts w:ascii="Garamond" w:hAnsi="Garamond"/>
                <w:b/>
                <w:sz w:val="14"/>
                <w:szCs w:val="14"/>
              </w:rPr>
            </w:pPr>
          </w:p>
        </w:tc>
        <w:tc>
          <w:tcPr>
            <w:tcW w:w="467" w:type="pct"/>
            <w:vMerge w:val="restart"/>
            <w:textDirection w:val="btLr"/>
            <w:vAlign w:val="center"/>
          </w:tcPr>
          <w:p w14:paraId="0BFBF384" w14:textId="645EFCE0" w:rsidR="00A63C3A" w:rsidRPr="00180F73" w:rsidRDefault="00A63C3A" w:rsidP="003D0B46">
            <w:pPr>
              <w:pStyle w:val="TableParagraph"/>
              <w:ind w:left="242" w:right="473"/>
              <w:jc w:val="center"/>
              <w:rPr>
                <w:rFonts w:ascii="Garamond" w:hAnsi="Garamond"/>
                <w:b/>
                <w:bCs/>
                <w:sz w:val="14"/>
                <w:szCs w:val="14"/>
              </w:rPr>
            </w:pPr>
            <w:r w:rsidRPr="00180F73">
              <w:rPr>
                <w:rFonts w:ascii="Garamond" w:hAnsi="Garamond"/>
                <w:b/>
                <w:bCs/>
                <w:sz w:val="14"/>
                <w:szCs w:val="14"/>
              </w:rPr>
              <w:t>Nr. i rezultateve pozitive</w:t>
            </w:r>
            <w:r w:rsidR="00180F73">
              <w:rPr>
                <w:rFonts w:ascii="Garamond" w:hAnsi="Garamond"/>
                <w:b/>
                <w:bCs/>
                <w:sz w:val="14"/>
                <w:szCs w:val="14"/>
              </w:rPr>
              <w:t xml:space="preserve"> </w:t>
            </w:r>
            <w:hyperlink w:anchor="_bookmark18" w:history="1">
              <w:r w:rsidR="003E4656" w:rsidRPr="003E4656">
                <w:rPr>
                  <w:rFonts w:ascii="Garamond" w:hAnsi="Garamond"/>
                  <w:b/>
                  <w:bCs/>
                  <w:sz w:val="14"/>
                  <w:szCs w:val="14"/>
                  <w:vertAlign w:val="superscript"/>
                </w:rPr>
                <w:t>(2)</w:t>
              </w:r>
            </w:hyperlink>
          </w:p>
        </w:tc>
        <w:tc>
          <w:tcPr>
            <w:tcW w:w="425" w:type="pct"/>
            <w:vMerge/>
          </w:tcPr>
          <w:p w14:paraId="5BB9CD5E" w14:textId="77777777" w:rsidR="00A63C3A" w:rsidRPr="00180F73" w:rsidRDefault="00A63C3A" w:rsidP="00180F73">
            <w:pPr>
              <w:rPr>
                <w:rFonts w:ascii="Garamond" w:hAnsi="Garamond"/>
                <w:sz w:val="14"/>
                <w:szCs w:val="14"/>
              </w:rPr>
            </w:pPr>
          </w:p>
        </w:tc>
      </w:tr>
      <w:tr w:rsidR="003D0B46" w:rsidRPr="00180F73" w14:paraId="162F3C67" w14:textId="77777777" w:rsidTr="003D0B46">
        <w:trPr>
          <w:trHeight w:val="1160"/>
        </w:trPr>
        <w:tc>
          <w:tcPr>
            <w:tcW w:w="775" w:type="pct"/>
            <w:vMerge/>
          </w:tcPr>
          <w:p w14:paraId="1973CF48" w14:textId="77777777" w:rsidR="00A63C3A" w:rsidRPr="00180F73" w:rsidRDefault="00A63C3A" w:rsidP="00180F73">
            <w:pPr>
              <w:rPr>
                <w:rFonts w:ascii="Garamond" w:hAnsi="Garamond"/>
                <w:sz w:val="14"/>
                <w:szCs w:val="14"/>
              </w:rPr>
            </w:pPr>
          </w:p>
        </w:tc>
        <w:tc>
          <w:tcPr>
            <w:tcW w:w="224" w:type="pct"/>
            <w:vMerge/>
            <w:textDirection w:val="btLr"/>
          </w:tcPr>
          <w:p w14:paraId="0AE3B55C" w14:textId="77777777" w:rsidR="00A63C3A" w:rsidRPr="00180F73" w:rsidRDefault="00A63C3A" w:rsidP="00180F73">
            <w:pPr>
              <w:rPr>
                <w:rFonts w:ascii="Garamond" w:hAnsi="Garamond"/>
                <w:sz w:val="14"/>
                <w:szCs w:val="14"/>
              </w:rPr>
            </w:pPr>
          </w:p>
        </w:tc>
        <w:tc>
          <w:tcPr>
            <w:tcW w:w="229" w:type="pct"/>
            <w:vMerge/>
            <w:textDirection w:val="btLr"/>
          </w:tcPr>
          <w:p w14:paraId="5CB13761" w14:textId="77777777" w:rsidR="00A63C3A" w:rsidRPr="00180F73" w:rsidRDefault="00A63C3A" w:rsidP="00180F73">
            <w:pPr>
              <w:rPr>
                <w:rFonts w:ascii="Garamond" w:hAnsi="Garamond"/>
                <w:sz w:val="14"/>
                <w:szCs w:val="14"/>
              </w:rPr>
            </w:pPr>
          </w:p>
        </w:tc>
        <w:tc>
          <w:tcPr>
            <w:tcW w:w="232" w:type="pct"/>
            <w:vMerge/>
            <w:textDirection w:val="btLr"/>
          </w:tcPr>
          <w:p w14:paraId="15A65D7B" w14:textId="77777777" w:rsidR="00A63C3A" w:rsidRPr="00180F73" w:rsidRDefault="00A63C3A" w:rsidP="00180F73">
            <w:pPr>
              <w:rPr>
                <w:rFonts w:ascii="Garamond" w:hAnsi="Garamond"/>
                <w:sz w:val="14"/>
                <w:szCs w:val="14"/>
              </w:rPr>
            </w:pPr>
          </w:p>
        </w:tc>
        <w:tc>
          <w:tcPr>
            <w:tcW w:w="462" w:type="pct"/>
            <w:vMerge/>
            <w:textDirection w:val="btLr"/>
          </w:tcPr>
          <w:p w14:paraId="2A5CF7F9" w14:textId="77777777" w:rsidR="00A63C3A" w:rsidRPr="00180F73" w:rsidRDefault="00A63C3A" w:rsidP="00180F73">
            <w:pPr>
              <w:rPr>
                <w:rFonts w:ascii="Garamond" w:hAnsi="Garamond"/>
                <w:sz w:val="14"/>
                <w:szCs w:val="14"/>
              </w:rPr>
            </w:pPr>
          </w:p>
        </w:tc>
        <w:tc>
          <w:tcPr>
            <w:tcW w:w="347" w:type="pct"/>
            <w:vMerge/>
            <w:textDirection w:val="btLr"/>
          </w:tcPr>
          <w:p w14:paraId="4BA1DF74" w14:textId="77777777" w:rsidR="00A63C3A" w:rsidRPr="00180F73" w:rsidRDefault="00A63C3A" w:rsidP="00180F73">
            <w:pPr>
              <w:rPr>
                <w:rFonts w:ascii="Garamond" w:hAnsi="Garamond"/>
                <w:sz w:val="14"/>
                <w:szCs w:val="14"/>
              </w:rPr>
            </w:pPr>
          </w:p>
        </w:tc>
        <w:tc>
          <w:tcPr>
            <w:tcW w:w="230" w:type="pct"/>
            <w:textDirection w:val="btLr"/>
          </w:tcPr>
          <w:p w14:paraId="1C06305F" w14:textId="77777777" w:rsidR="00A63C3A" w:rsidRPr="00180F73" w:rsidRDefault="00A63C3A" w:rsidP="00A63C3A">
            <w:pPr>
              <w:pStyle w:val="TableParagraph"/>
              <w:ind w:left="211"/>
              <w:jc w:val="center"/>
              <w:rPr>
                <w:rFonts w:ascii="Garamond" w:hAnsi="Garamond"/>
                <w:b/>
                <w:sz w:val="14"/>
                <w:szCs w:val="14"/>
              </w:rPr>
            </w:pPr>
            <w:r w:rsidRPr="00180F73">
              <w:rPr>
                <w:rFonts w:ascii="Garamond" w:hAnsi="Garamond"/>
                <w:b/>
                <w:sz w:val="14"/>
                <w:szCs w:val="14"/>
              </w:rPr>
              <w:t>Mostrat</w:t>
            </w:r>
          </w:p>
        </w:tc>
        <w:tc>
          <w:tcPr>
            <w:tcW w:w="257" w:type="pct"/>
            <w:textDirection w:val="btLr"/>
          </w:tcPr>
          <w:p w14:paraId="347A6E13" w14:textId="68060B5B" w:rsidR="00A63C3A" w:rsidRPr="00180F73" w:rsidRDefault="00A63C3A" w:rsidP="00A63C3A">
            <w:pPr>
              <w:pStyle w:val="TableParagraph"/>
              <w:ind w:left="113"/>
              <w:jc w:val="center"/>
              <w:rPr>
                <w:rFonts w:ascii="Garamond" w:hAnsi="Garamond"/>
                <w:b/>
                <w:bCs/>
                <w:sz w:val="14"/>
                <w:szCs w:val="14"/>
              </w:rPr>
            </w:pPr>
            <w:r w:rsidRPr="00180F73">
              <w:rPr>
                <w:rFonts w:ascii="Garamond" w:hAnsi="Garamond"/>
                <w:b/>
                <w:bCs/>
                <w:sz w:val="14"/>
                <w:szCs w:val="14"/>
              </w:rPr>
              <w:t>Lotet</w:t>
            </w:r>
          </w:p>
        </w:tc>
        <w:tc>
          <w:tcPr>
            <w:tcW w:w="274" w:type="pct"/>
            <w:vMerge/>
            <w:textDirection w:val="btLr"/>
          </w:tcPr>
          <w:p w14:paraId="57DDA645" w14:textId="77777777" w:rsidR="00A63C3A" w:rsidRPr="00180F73" w:rsidRDefault="00A63C3A" w:rsidP="00180F73">
            <w:pPr>
              <w:rPr>
                <w:rFonts w:ascii="Garamond" w:hAnsi="Garamond"/>
                <w:sz w:val="14"/>
                <w:szCs w:val="14"/>
              </w:rPr>
            </w:pPr>
          </w:p>
        </w:tc>
        <w:tc>
          <w:tcPr>
            <w:tcW w:w="245" w:type="pct"/>
            <w:vMerge/>
            <w:textDirection w:val="btLr"/>
          </w:tcPr>
          <w:p w14:paraId="6D4076F6" w14:textId="77777777" w:rsidR="00A63C3A" w:rsidRPr="00180F73" w:rsidRDefault="00A63C3A" w:rsidP="00180F73">
            <w:pPr>
              <w:rPr>
                <w:rFonts w:ascii="Garamond" w:hAnsi="Garamond"/>
                <w:sz w:val="14"/>
                <w:szCs w:val="14"/>
              </w:rPr>
            </w:pPr>
          </w:p>
        </w:tc>
        <w:tc>
          <w:tcPr>
            <w:tcW w:w="231" w:type="pct"/>
            <w:vMerge/>
            <w:textDirection w:val="btLr"/>
          </w:tcPr>
          <w:p w14:paraId="5D20A9A9" w14:textId="77777777" w:rsidR="00A63C3A" w:rsidRPr="00180F73" w:rsidRDefault="00A63C3A" w:rsidP="00180F73">
            <w:pPr>
              <w:rPr>
                <w:rFonts w:ascii="Garamond" w:hAnsi="Garamond"/>
                <w:sz w:val="14"/>
                <w:szCs w:val="14"/>
              </w:rPr>
            </w:pPr>
          </w:p>
        </w:tc>
        <w:tc>
          <w:tcPr>
            <w:tcW w:w="353" w:type="pct"/>
            <w:vMerge/>
            <w:textDirection w:val="btLr"/>
          </w:tcPr>
          <w:p w14:paraId="4919A09F" w14:textId="77777777" w:rsidR="00A63C3A" w:rsidRPr="00180F73" w:rsidRDefault="00A63C3A" w:rsidP="00180F73">
            <w:pPr>
              <w:rPr>
                <w:rFonts w:ascii="Garamond" w:hAnsi="Garamond"/>
                <w:sz w:val="14"/>
                <w:szCs w:val="14"/>
              </w:rPr>
            </w:pPr>
          </w:p>
        </w:tc>
        <w:tc>
          <w:tcPr>
            <w:tcW w:w="248" w:type="pct"/>
            <w:vMerge/>
            <w:textDirection w:val="btLr"/>
          </w:tcPr>
          <w:p w14:paraId="7733C0A3" w14:textId="77777777" w:rsidR="00A63C3A" w:rsidRPr="00180F73" w:rsidRDefault="00A63C3A" w:rsidP="00180F73">
            <w:pPr>
              <w:rPr>
                <w:rFonts w:ascii="Garamond" w:hAnsi="Garamond"/>
                <w:sz w:val="14"/>
                <w:szCs w:val="14"/>
              </w:rPr>
            </w:pPr>
          </w:p>
        </w:tc>
        <w:tc>
          <w:tcPr>
            <w:tcW w:w="467" w:type="pct"/>
            <w:vMerge/>
            <w:textDirection w:val="btLr"/>
          </w:tcPr>
          <w:p w14:paraId="177214FE" w14:textId="77777777" w:rsidR="00A63C3A" w:rsidRPr="00180F73" w:rsidRDefault="00A63C3A" w:rsidP="00180F73">
            <w:pPr>
              <w:rPr>
                <w:rFonts w:ascii="Garamond" w:hAnsi="Garamond"/>
                <w:sz w:val="14"/>
                <w:szCs w:val="14"/>
              </w:rPr>
            </w:pPr>
          </w:p>
        </w:tc>
        <w:tc>
          <w:tcPr>
            <w:tcW w:w="425" w:type="pct"/>
            <w:vMerge/>
          </w:tcPr>
          <w:p w14:paraId="0E9C1DC8" w14:textId="77777777" w:rsidR="00A63C3A" w:rsidRPr="00180F73" w:rsidRDefault="00A63C3A" w:rsidP="00180F73">
            <w:pPr>
              <w:rPr>
                <w:rFonts w:ascii="Garamond" w:hAnsi="Garamond"/>
                <w:sz w:val="14"/>
                <w:szCs w:val="14"/>
              </w:rPr>
            </w:pPr>
          </w:p>
        </w:tc>
      </w:tr>
      <w:tr w:rsidR="003D0B46" w:rsidRPr="00180F73" w14:paraId="78831971" w14:textId="77777777" w:rsidTr="003D0B46">
        <w:trPr>
          <w:trHeight w:val="20"/>
        </w:trPr>
        <w:tc>
          <w:tcPr>
            <w:tcW w:w="775" w:type="pct"/>
          </w:tcPr>
          <w:p w14:paraId="2D2CFE7B" w14:textId="77777777" w:rsidR="00A63C3A" w:rsidRPr="00180F73" w:rsidRDefault="00A63C3A" w:rsidP="00180F73">
            <w:pPr>
              <w:pStyle w:val="TableParagraph"/>
              <w:ind w:left="-17" w:right="35"/>
              <w:rPr>
                <w:rFonts w:ascii="Garamond" w:hAnsi="Garamond"/>
                <w:b/>
                <w:sz w:val="14"/>
                <w:szCs w:val="14"/>
              </w:rPr>
            </w:pPr>
            <w:r w:rsidRPr="00180F73">
              <w:rPr>
                <w:rFonts w:ascii="Garamond" w:hAnsi="Garamond"/>
                <w:b/>
                <w:spacing w:val="-1"/>
                <w:w w:val="95"/>
                <w:sz w:val="14"/>
                <w:szCs w:val="14"/>
              </w:rPr>
              <w:t xml:space="preserve">Zhardhokët e certifikuar </w:t>
            </w:r>
            <w:r w:rsidRPr="00180F73">
              <w:rPr>
                <w:rFonts w:ascii="Garamond" w:hAnsi="Garamond"/>
                <w:b/>
                <w:w w:val="95"/>
                <w:sz w:val="14"/>
                <w:szCs w:val="14"/>
              </w:rPr>
              <w:t xml:space="preserve">për </w:t>
            </w:r>
            <w:r w:rsidRPr="00180F73">
              <w:rPr>
                <w:rFonts w:ascii="Garamond" w:hAnsi="Garamond"/>
                <w:b/>
                <w:sz w:val="14"/>
                <w:szCs w:val="14"/>
              </w:rPr>
              <w:t>mbjellje</w:t>
            </w:r>
          </w:p>
        </w:tc>
        <w:tc>
          <w:tcPr>
            <w:tcW w:w="224" w:type="pct"/>
          </w:tcPr>
          <w:p w14:paraId="322B7DF7" w14:textId="77777777" w:rsidR="00A63C3A" w:rsidRPr="00180F73" w:rsidRDefault="00A63C3A" w:rsidP="00180F73">
            <w:pPr>
              <w:pStyle w:val="TableParagraph"/>
              <w:rPr>
                <w:rFonts w:ascii="Garamond" w:hAnsi="Garamond"/>
                <w:sz w:val="14"/>
                <w:szCs w:val="14"/>
              </w:rPr>
            </w:pPr>
          </w:p>
        </w:tc>
        <w:tc>
          <w:tcPr>
            <w:tcW w:w="229" w:type="pct"/>
          </w:tcPr>
          <w:p w14:paraId="498C38EF" w14:textId="77777777" w:rsidR="00A63C3A" w:rsidRPr="00180F73" w:rsidRDefault="00A63C3A" w:rsidP="00180F73">
            <w:pPr>
              <w:pStyle w:val="TableParagraph"/>
              <w:rPr>
                <w:rFonts w:ascii="Garamond" w:hAnsi="Garamond"/>
                <w:sz w:val="14"/>
                <w:szCs w:val="14"/>
              </w:rPr>
            </w:pPr>
          </w:p>
        </w:tc>
        <w:tc>
          <w:tcPr>
            <w:tcW w:w="232" w:type="pct"/>
          </w:tcPr>
          <w:p w14:paraId="2370F840" w14:textId="77777777" w:rsidR="00A63C3A" w:rsidRPr="00180F73" w:rsidRDefault="00A63C3A" w:rsidP="00180F73">
            <w:pPr>
              <w:pStyle w:val="TableParagraph"/>
              <w:rPr>
                <w:rFonts w:ascii="Garamond" w:hAnsi="Garamond"/>
                <w:sz w:val="14"/>
                <w:szCs w:val="14"/>
              </w:rPr>
            </w:pPr>
          </w:p>
        </w:tc>
        <w:tc>
          <w:tcPr>
            <w:tcW w:w="462" w:type="pct"/>
          </w:tcPr>
          <w:p w14:paraId="3FF07768" w14:textId="77777777" w:rsidR="00A63C3A" w:rsidRPr="00180F73" w:rsidRDefault="00A63C3A" w:rsidP="00180F73">
            <w:pPr>
              <w:pStyle w:val="TableParagraph"/>
              <w:rPr>
                <w:rFonts w:ascii="Garamond" w:hAnsi="Garamond"/>
                <w:sz w:val="14"/>
                <w:szCs w:val="14"/>
              </w:rPr>
            </w:pPr>
          </w:p>
        </w:tc>
        <w:tc>
          <w:tcPr>
            <w:tcW w:w="347" w:type="pct"/>
          </w:tcPr>
          <w:p w14:paraId="0721A78D" w14:textId="77777777" w:rsidR="00A63C3A" w:rsidRPr="00180F73" w:rsidRDefault="00A63C3A" w:rsidP="00180F73">
            <w:pPr>
              <w:pStyle w:val="TableParagraph"/>
              <w:rPr>
                <w:rFonts w:ascii="Garamond" w:hAnsi="Garamond"/>
                <w:sz w:val="14"/>
                <w:szCs w:val="14"/>
              </w:rPr>
            </w:pPr>
          </w:p>
        </w:tc>
        <w:tc>
          <w:tcPr>
            <w:tcW w:w="230" w:type="pct"/>
          </w:tcPr>
          <w:p w14:paraId="31258CBD" w14:textId="77777777" w:rsidR="00A63C3A" w:rsidRPr="00180F73" w:rsidRDefault="00A63C3A" w:rsidP="00180F73">
            <w:pPr>
              <w:pStyle w:val="TableParagraph"/>
              <w:rPr>
                <w:rFonts w:ascii="Garamond" w:hAnsi="Garamond"/>
                <w:sz w:val="14"/>
                <w:szCs w:val="14"/>
              </w:rPr>
            </w:pPr>
          </w:p>
        </w:tc>
        <w:tc>
          <w:tcPr>
            <w:tcW w:w="257" w:type="pct"/>
          </w:tcPr>
          <w:p w14:paraId="0894F133" w14:textId="77777777" w:rsidR="00A63C3A" w:rsidRPr="00180F73" w:rsidRDefault="00A63C3A" w:rsidP="00180F73">
            <w:pPr>
              <w:pStyle w:val="TableParagraph"/>
              <w:rPr>
                <w:rFonts w:ascii="Garamond" w:hAnsi="Garamond"/>
                <w:sz w:val="14"/>
                <w:szCs w:val="14"/>
              </w:rPr>
            </w:pPr>
          </w:p>
        </w:tc>
        <w:tc>
          <w:tcPr>
            <w:tcW w:w="274" w:type="pct"/>
          </w:tcPr>
          <w:p w14:paraId="54F5F064" w14:textId="77777777" w:rsidR="00A63C3A" w:rsidRPr="00180F73" w:rsidRDefault="00A63C3A" w:rsidP="00180F73">
            <w:pPr>
              <w:pStyle w:val="TableParagraph"/>
              <w:rPr>
                <w:rFonts w:ascii="Garamond" w:hAnsi="Garamond"/>
                <w:sz w:val="14"/>
                <w:szCs w:val="14"/>
              </w:rPr>
            </w:pPr>
          </w:p>
        </w:tc>
        <w:tc>
          <w:tcPr>
            <w:tcW w:w="245" w:type="pct"/>
          </w:tcPr>
          <w:p w14:paraId="7A141560" w14:textId="77777777" w:rsidR="00A63C3A" w:rsidRPr="00180F73" w:rsidRDefault="00A63C3A" w:rsidP="00180F73">
            <w:pPr>
              <w:pStyle w:val="TableParagraph"/>
              <w:rPr>
                <w:rFonts w:ascii="Garamond" w:hAnsi="Garamond"/>
                <w:sz w:val="14"/>
                <w:szCs w:val="14"/>
              </w:rPr>
            </w:pPr>
          </w:p>
        </w:tc>
        <w:tc>
          <w:tcPr>
            <w:tcW w:w="231" w:type="pct"/>
          </w:tcPr>
          <w:p w14:paraId="6F84F70A" w14:textId="77777777" w:rsidR="00A63C3A" w:rsidRPr="00180F73" w:rsidRDefault="00A63C3A" w:rsidP="00180F73">
            <w:pPr>
              <w:pStyle w:val="TableParagraph"/>
              <w:rPr>
                <w:rFonts w:ascii="Garamond" w:hAnsi="Garamond"/>
                <w:sz w:val="14"/>
                <w:szCs w:val="14"/>
              </w:rPr>
            </w:pPr>
          </w:p>
        </w:tc>
        <w:tc>
          <w:tcPr>
            <w:tcW w:w="353" w:type="pct"/>
          </w:tcPr>
          <w:p w14:paraId="5B061B84" w14:textId="77777777" w:rsidR="00A63C3A" w:rsidRPr="00180F73" w:rsidRDefault="00A63C3A" w:rsidP="00180F73">
            <w:pPr>
              <w:pStyle w:val="TableParagraph"/>
              <w:rPr>
                <w:rFonts w:ascii="Garamond" w:hAnsi="Garamond"/>
                <w:sz w:val="14"/>
                <w:szCs w:val="14"/>
              </w:rPr>
            </w:pPr>
          </w:p>
        </w:tc>
        <w:tc>
          <w:tcPr>
            <w:tcW w:w="248" w:type="pct"/>
          </w:tcPr>
          <w:p w14:paraId="145A6B8D" w14:textId="77777777" w:rsidR="00A63C3A" w:rsidRPr="00180F73" w:rsidRDefault="00A63C3A" w:rsidP="00180F73">
            <w:pPr>
              <w:pStyle w:val="TableParagraph"/>
              <w:rPr>
                <w:rFonts w:ascii="Garamond" w:hAnsi="Garamond"/>
                <w:sz w:val="14"/>
                <w:szCs w:val="14"/>
              </w:rPr>
            </w:pPr>
          </w:p>
        </w:tc>
        <w:tc>
          <w:tcPr>
            <w:tcW w:w="467" w:type="pct"/>
          </w:tcPr>
          <w:p w14:paraId="6BDCB678" w14:textId="77777777" w:rsidR="00A63C3A" w:rsidRPr="00180F73" w:rsidRDefault="00A63C3A" w:rsidP="00180F73">
            <w:pPr>
              <w:pStyle w:val="TableParagraph"/>
              <w:rPr>
                <w:rFonts w:ascii="Garamond" w:hAnsi="Garamond"/>
                <w:sz w:val="14"/>
                <w:szCs w:val="14"/>
              </w:rPr>
            </w:pPr>
          </w:p>
        </w:tc>
        <w:tc>
          <w:tcPr>
            <w:tcW w:w="425" w:type="pct"/>
          </w:tcPr>
          <w:p w14:paraId="0D5106EB" w14:textId="77777777" w:rsidR="00A63C3A" w:rsidRPr="00180F73" w:rsidRDefault="00A63C3A" w:rsidP="00180F73">
            <w:pPr>
              <w:pStyle w:val="TableParagraph"/>
              <w:rPr>
                <w:rFonts w:ascii="Garamond" w:hAnsi="Garamond"/>
                <w:sz w:val="14"/>
                <w:szCs w:val="14"/>
              </w:rPr>
            </w:pPr>
          </w:p>
        </w:tc>
      </w:tr>
      <w:tr w:rsidR="003D0B46" w:rsidRPr="00180F73" w14:paraId="0DC1F39C" w14:textId="77777777" w:rsidTr="003D0B46">
        <w:trPr>
          <w:trHeight w:val="20"/>
        </w:trPr>
        <w:tc>
          <w:tcPr>
            <w:tcW w:w="775" w:type="pct"/>
          </w:tcPr>
          <w:p w14:paraId="58740D78" w14:textId="77777777" w:rsidR="00A63C3A" w:rsidRPr="00180F73" w:rsidRDefault="00A63C3A" w:rsidP="00180F73">
            <w:pPr>
              <w:pStyle w:val="TableParagraph"/>
              <w:ind w:left="-17" w:right="35"/>
              <w:rPr>
                <w:rFonts w:ascii="Garamond" w:hAnsi="Garamond"/>
                <w:b/>
                <w:sz w:val="14"/>
                <w:szCs w:val="14"/>
              </w:rPr>
            </w:pPr>
            <w:r w:rsidRPr="00180F73">
              <w:rPr>
                <w:rFonts w:ascii="Garamond" w:hAnsi="Garamond"/>
                <w:b/>
                <w:w w:val="95"/>
                <w:sz w:val="14"/>
                <w:szCs w:val="14"/>
              </w:rPr>
              <w:t>Zhardhokët e tjerë për mbjellje (specifikoni)</w:t>
            </w:r>
          </w:p>
        </w:tc>
        <w:tc>
          <w:tcPr>
            <w:tcW w:w="224" w:type="pct"/>
          </w:tcPr>
          <w:p w14:paraId="77359386" w14:textId="77777777" w:rsidR="00A63C3A" w:rsidRPr="00180F73" w:rsidRDefault="00A63C3A" w:rsidP="00180F73">
            <w:pPr>
              <w:pStyle w:val="TableParagraph"/>
              <w:rPr>
                <w:rFonts w:ascii="Garamond" w:hAnsi="Garamond"/>
                <w:sz w:val="14"/>
                <w:szCs w:val="14"/>
              </w:rPr>
            </w:pPr>
          </w:p>
        </w:tc>
        <w:tc>
          <w:tcPr>
            <w:tcW w:w="229" w:type="pct"/>
          </w:tcPr>
          <w:p w14:paraId="5D698133" w14:textId="77777777" w:rsidR="00A63C3A" w:rsidRPr="00180F73" w:rsidRDefault="00A63C3A" w:rsidP="00180F73">
            <w:pPr>
              <w:pStyle w:val="TableParagraph"/>
              <w:rPr>
                <w:rFonts w:ascii="Garamond" w:hAnsi="Garamond"/>
                <w:sz w:val="14"/>
                <w:szCs w:val="14"/>
              </w:rPr>
            </w:pPr>
          </w:p>
        </w:tc>
        <w:tc>
          <w:tcPr>
            <w:tcW w:w="232" w:type="pct"/>
          </w:tcPr>
          <w:p w14:paraId="338E75BE" w14:textId="77777777" w:rsidR="00A63C3A" w:rsidRPr="00180F73" w:rsidRDefault="00A63C3A" w:rsidP="00180F73">
            <w:pPr>
              <w:pStyle w:val="TableParagraph"/>
              <w:rPr>
                <w:rFonts w:ascii="Garamond" w:hAnsi="Garamond"/>
                <w:sz w:val="14"/>
                <w:szCs w:val="14"/>
              </w:rPr>
            </w:pPr>
          </w:p>
        </w:tc>
        <w:tc>
          <w:tcPr>
            <w:tcW w:w="462" w:type="pct"/>
          </w:tcPr>
          <w:p w14:paraId="7B47C94B" w14:textId="77777777" w:rsidR="00A63C3A" w:rsidRPr="00180F73" w:rsidRDefault="00A63C3A" w:rsidP="00180F73">
            <w:pPr>
              <w:pStyle w:val="TableParagraph"/>
              <w:rPr>
                <w:rFonts w:ascii="Garamond" w:hAnsi="Garamond"/>
                <w:sz w:val="14"/>
                <w:szCs w:val="14"/>
              </w:rPr>
            </w:pPr>
          </w:p>
        </w:tc>
        <w:tc>
          <w:tcPr>
            <w:tcW w:w="347" w:type="pct"/>
          </w:tcPr>
          <w:p w14:paraId="0C024932" w14:textId="77777777" w:rsidR="00A63C3A" w:rsidRPr="00180F73" w:rsidRDefault="00A63C3A" w:rsidP="00180F73">
            <w:pPr>
              <w:pStyle w:val="TableParagraph"/>
              <w:rPr>
                <w:rFonts w:ascii="Garamond" w:hAnsi="Garamond"/>
                <w:sz w:val="14"/>
                <w:szCs w:val="14"/>
              </w:rPr>
            </w:pPr>
          </w:p>
        </w:tc>
        <w:tc>
          <w:tcPr>
            <w:tcW w:w="230" w:type="pct"/>
          </w:tcPr>
          <w:p w14:paraId="4EBEBBE2" w14:textId="77777777" w:rsidR="00A63C3A" w:rsidRPr="00180F73" w:rsidRDefault="00A63C3A" w:rsidP="00180F73">
            <w:pPr>
              <w:pStyle w:val="TableParagraph"/>
              <w:rPr>
                <w:rFonts w:ascii="Garamond" w:hAnsi="Garamond"/>
                <w:sz w:val="14"/>
                <w:szCs w:val="14"/>
              </w:rPr>
            </w:pPr>
          </w:p>
        </w:tc>
        <w:tc>
          <w:tcPr>
            <w:tcW w:w="257" w:type="pct"/>
          </w:tcPr>
          <w:p w14:paraId="063ABA33" w14:textId="77777777" w:rsidR="00A63C3A" w:rsidRPr="00180F73" w:rsidRDefault="00A63C3A" w:rsidP="00180F73">
            <w:pPr>
              <w:pStyle w:val="TableParagraph"/>
              <w:rPr>
                <w:rFonts w:ascii="Garamond" w:hAnsi="Garamond"/>
                <w:sz w:val="14"/>
                <w:szCs w:val="14"/>
              </w:rPr>
            </w:pPr>
          </w:p>
        </w:tc>
        <w:tc>
          <w:tcPr>
            <w:tcW w:w="274" w:type="pct"/>
          </w:tcPr>
          <w:p w14:paraId="1605FBFD" w14:textId="77777777" w:rsidR="00A63C3A" w:rsidRPr="00180F73" w:rsidRDefault="00A63C3A" w:rsidP="00180F73">
            <w:pPr>
              <w:pStyle w:val="TableParagraph"/>
              <w:rPr>
                <w:rFonts w:ascii="Garamond" w:hAnsi="Garamond"/>
                <w:sz w:val="14"/>
                <w:szCs w:val="14"/>
              </w:rPr>
            </w:pPr>
          </w:p>
        </w:tc>
        <w:tc>
          <w:tcPr>
            <w:tcW w:w="245" w:type="pct"/>
          </w:tcPr>
          <w:p w14:paraId="7EA0DAFE" w14:textId="77777777" w:rsidR="00A63C3A" w:rsidRPr="00180F73" w:rsidRDefault="00A63C3A" w:rsidP="00180F73">
            <w:pPr>
              <w:pStyle w:val="TableParagraph"/>
              <w:rPr>
                <w:rFonts w:ascii="Garamond" w:hAnsi="Garamond"/>
                <w:sz w:val="14"/>
                <w:szCs w:val="14"/>
              </w:rPr>
            </w:pPr>
          </w:p>
        </w:tc>
        <w:tc>
          <w:tcPr>
            <w:tcW w:w="231" w:type="pct"/>
          </w:tcPr>
          <w:p w14:paraId="7BFE4A6A" w14:textId="77777777" w:rsidR="00A63C3A" w:rsidRPr="00180F73" w:rsidRDefault="00A63C3A" w:rsidP="00180F73">
            <w:pPr>
              <w:pStyle w:val="TableParagraph"/>
              <w:rPr>
                <w:rFonts w:ascii="Garamond" w:hAnsi="Garamond"/>
                <w:sz w:val="14"/>
                <w:szCs w:val="14"/>
              </w:rPr>
            </w:pPr>
          </w:p>
        </w:tc>
        <w:tc>
          <w:tcPr>
            <w:tcW w:w="353" w:type="pct"/>
          </w:tcPr>
          <w:p w14:paraId="6579C65B" w14:textId="77777777" w:rsidR="00A63C3A" w:rsidRPr="00180F73" w:rsidRDefault="00A63C3A" w:rsidP="00180F73">
            <w:pPr>
              <w:pStyle w:val="TableParagraph"/>
              <w:rPr>
                <w:rFonts w:ascii="Garamond" w:hAnsi="Garamond"/>
                <w:sz w:val="14"/>
                <w:szCs w:val="14"/>
              </w:rPr>
            </w:pPr>
          </w:p>
        </w:tc>
        <w:tc>
          <w:tcPr>
            <w:tcW w:w="248" w:type="pct"/>
          </w:tcPr>
          <w:p w14:paraId="0BBB8906" w14:textId="77777777" w:rsidR="00A63C3A" w:rsidRPr="00180F73" w:rsidRDefault="00A63C3A" w:rsidP="00180F73">
            <w:pPr>
              <w:pStyle w:val="TableParagraph"/>
              <w:rPr>
                <w:rFonts w:ascii="Garamond" w:hAnsi="Garamond"/>
                <w:sz w:val="14"/>
                <w:szCs w:val="14"/>
              </w:rPr>
            </w:pPr>
          </w:p>
        </w:tc>
        <w:tc>
          <w:tcPr>
            <w:tcW w:w="467" w:type="pct"/>
          </w:tcPr>
          <w:p w14:paraId="3484573D" w14:textId="77777777" w:rsidR="00A63C3A" w:rsidRPr="00180F73" w:rsidRDefault="00A63C3A" w:rsidP="00180F73">
            <w:pPr>
              <w:pStyle w:val="TableParagraph"/>
              <w:rPr>
                <w:rFonts w:ascii="Garamond" w:hAnsi="Garamond"/>
                <w:sz w:val="14"/>
                <w:szCs w:val="14"/>
              </w:rPr>
            </w:pPr>
          </w:p>
        </w:tc>
        <w:tc>
          <w:tcPr>
            <w:tcW w:w="425" w:type="pct"/>
          </w:tcPr>
          <w:p w14:paraId="54139181" w14:textId="77777777" w:rsidR="00A63C3A" w:rsidRPr="00180F73" w:rsidRDefault="00A63C3A" w:rsidP="00180F73">
            <w:pPr>
              <w:pStyle w:val="TableParagraph"/>
              <w:rPr>
                <w:rFonts w:ascii="Garamond" w:hAnsi="Garamond"/>
                <w:sz w:val="14"/>
                <w:szCs w:val="14"/>
              </w:rPr>
            </w:pPr>
          </w:p>
        </w:tc>
      </w:tr>
      <w:tr w:rsidR="003D0B46" w:rsidRPr="00180F73" w14:paraId="4A9A772B" w14:textId="77777777" w:rsidTr="003E4656">
        <w:trPr>
          <w:trHeight w:val="20"/>
        </w:trPr>
        <w:tc>
          <w:tcPr>
            <w:tcW w:w="775" w:type="pct"/>
            <w:vAlign w:val="center"/>
          </w:tcPr>
          <w:p w14:paraId="64AB50CE" w14:textId="3AC07078" w:rsidR="00A63C3A" w:rsidRPr="00180F73" w:rsidRDefault="003E4656" w:rsidP="003E4656">
            <w:pPr>
              <w:pStyle w:val="TableParagraph"/>
              <w:ind w:left="-105" w:right="-109"/>
              <w:rPr>
                <w:rFonts w:ascii="Garamond" w:hAnsi="Garamond"/>
                <w:b/>
                <w:sz w:val="14"/>
                <w:szCs w:val="14"/>
              </w:rPr>
            </w:pPr>
            <w:r>
              <w:rPr>
                <w:rFonts w:ascii="Garamond" w:hAnsi="Garamond"/>
                <w:b/>
                <w:w w:val="95"/>
                <w:sz w:val="14"/>
                <w:szCs w:val="14"/>
              </w:rPr>
              <w:t>M</w:t>
            </w:r>
            <w:r w:rsidR="00A63C3A" w:rsidRPr="00180F73">
              <w:rPr>
                <w:rFonts w:ascii="Garamond" w:hAnsi="Garamond"/>
                <w:b/>
                <w:w w:val="95"/>
                <w:sz w:val="14"/>
                <w:szCs w:val="14"/>
              </w:rPr>
              <w:t xml:space="preserve">allra dhe </w:t>
            </w:r>
            <w:r w:rsidR="00A63C3A" w:rsidRPr="00180F73">
              <w:rPr>
                <w:rFonts w:ascii="Garamond" w:hAnsi="Garamond"/>
                <w:b/>
                <w:sz w:val="14"/>
                <w:szCs w:val="14"/>
              </w:rPr>
              <w:t>patatet e</w:t>
            </w:r>
            <w:r w:rsidR="00A63C3A" w:rsidRPr="00180F73">
              <w:rPr>
                <w:rFonts w:ascii="Garamond" w:hAnsi="Garamond"/>
                <w:b/>
                <w:w w:val="95"/>
                <w:sz w:val="14"/>
                <w:szCs w:val="14"/>
              </w:rPr>
              <w:t xml:space="preserve"> përpunuar</w:t>
            </w:r>
          </w:p>
        </w:tc>
        <w:tc>
          <w:tcPr>
            <w:tcW w:w="224" w:type="pct"/>
          </w:tcPr>
          <w:p w14:paraId="1B47E453" w14:textId="77777777" w:rsidR="00A63C3A" w:rsidRPr="00180F73" w:rsidRDefault="00A63C3A" w:rsidP="00180F73">
            <w:pPr>
              <w:pStyle w:val="TableParagraph"/>
              <w:rPr>
                <w:rFonts w:ascii="Garamond" w:hAnsi="Garamond"/>
                <w:sz w:val="14"/>
                <w:szCs w:val="14"/>
              </w:rPr>
            </w:pPr>
          </w:p>
        </w:tc>
        <w:tc>
          <w:tcPr>
            <w:tcW w:w="229" w:type="pct"/>
          </w:tcPr>
          <w:p w14:paraId="300F16CD" w14:textId="77777777" w:rsidR="00A63C3A" w:rsidRPr="00180F73" w:rsidRDefault="00A63C3A" w:rsidP="00180F73">
            <w:pPr>
              <w:pStyle w:val="TableParagraph"/>
              <w:rPr>
                <w:rFonts w:ascii="Garamond" w:hAnsi="Garamond"/>
                <w:sz w:val="14"/>
                <w:szCs w:val="14"/>
              </w:rPr>
            </w:pPr>
          </w:p>
        </w:tc>
        <w:tc>
          <w:tcPr>
            <w:tcW w:w="232" w:type="pct"/>
          </w:tcPr>
          <w:p w14:paraId="4DEA775C" w14:textId="77777777" w:rsidR="00A63C3A" w:rsidRPr="00180F73" w:rsidRDefault="00A63C3A" w:rsidP="00180F73">
            <w:pPr>
              <w:pStyle w:val="TableParagraph"/>
              <w:rPr>
                <w:rFonts w:ascii="Garamond" w:hAnsi="Garamond"/>
                <w:sz w:val="14"/>
                <w:szCs w:val="14"/>
              </w:rPr>
            </w:pPr>
          </w:p>
        </w:tc>
        <w:tc>
          <w:tcPr>
            <w:tcW w:w="462" w:type="pct"/>
          </w:tcPr>
          <w:p w14:paraId="36F1E9CD" w14:textId="77777777" w:rsidR="00A63C3A" w:rsidRPr="00180F73" w:rsidRDefault="00A63C3A" w:rsidP="00180F73">
            <w:pPr>
              <w:pStyle w:val="TableParagraph"/>
              <w:rPr>
                <w:rFonts w:ascii="Garamond" w:hAnsi="Garamond"/>
                <w:sz w:val="14"/>
                <w:szCs w:val="14"/>
              </w:rPr>
            </w:pPr>
          </w:p>
        </w:tc>
        <w:tc>
          <w:tcPr>
            <w:tcW w:w="347" w:type="pct"/>
          </w:tcPr>
          <w:p w14:paraId="79A32E18" w14:textId="77777777" w:rsidR="00A63C3A" w:rsidRPr="00180F73" w:rsidRDefault="00A63C3A" w:rsidP="00180F73">
            <w:pPr>
              <w:pStyle w:val="TableParagraph"/>
              <w:rPr>
                <w:rFonts w:ascii="Garamond" w:hAnsi="Garamond"/>
                <w:sz w:val="14"/>
                <w:szCs w:val="14"/>
              </w:rPr>
            </w:pPr>
          </w:p>
        </w:tc>
        <w:tc>
          <w:tcPr>
            <w:tcW w:w="230" w:type="pct"/>
          </w:tcPr>
          <w:p w14:paraId="042C39A5" w14:textId="77777777" w:rsidR="00A63C3A" w:rsidRPr="00180F73" w:rsidRDefault="00A63C3A" w:rsidP="00180F73">
            <w:pPr>
              <w:pStyle w:val="TableParagraph"/>
              <w:rPr>
                <w:rFonts w:ascii="Garamond" w:hAnsi="Garamond"/>
                <w:sz w:val="14"/>
                <w:szCs w:val="14"/>
              </w:rPr>
            </w:pPr>
          </w:p>
        </w:tc>
        <w:tc>
          <w:tcPr>
            <w:tcW w:w="257" w:type="pct"/>
          </w:tcPr>
          <w:p w14:paraId="2FAC2A36" w14:textId="77777777" w:rsidR="00A63C3A" w:rsidRPr="00180F73" w:rsidRDefault="00A63C3A" w:rsidP="00180F73">
            <w:pPr>
              <w:pStyle w:val="TableParagraph"/>
              <w:rPr>
                <w:rFonts w:ascii="Garamond" w:hAnsi="Garamond"/>
                <w:sz w:val="14"/>
                <w:szCs w:val="14"/>
              </w:rPr>
            </w:pPr>
          </w:p>
        </w:tc>
        <w:tc>
          <w:tcPr>
            <w:tcW w:w="274" w:type="pct"/>
          </w:tcPr>
          <w:p w14:paraId="7ADC2717" w14:textId="77777777" w:rsidR="00A63C3A" w:rsidRPr="00180F73" w:rsidRDefault="00A63C3A" w:rsidP="00180F73">
            <w:pPr>
              <w:pStyle w:val="TableParagraph"/>
              <w:rPr>
                <w:rFonts w:ascii="Garamond" w:hAnsi="Garamond"/>
                <w:sz w:val="14"/>
                <w:szCs w:val="14"/>
              </w:rPr>
            </w:pPr>
          </w:p>
        </w:tc>
        <w:tc>
          <w:tcPr>
            <w:tcW w:w="245" w:type="pct"/>
          </w:tcPr>
          <w:p w14:paraId="6AD49683" w14:textId="77777777" w:rsidR="00A63C3A" w:rsidRPr="00180F73" w:rsidRDefault="00A63C3A" w:rsidP="00180F73">
            <w:pPr>
              <w:pStyle w:val="TableParagraph"/>
              <w:rPr>
                <w:rFonts w:ascii="Garamond" w:hAnsi="Garamond"/>
                <w:sz w:val="14"/>
                <w:szCs w:val="14"/>
              </w:rPr>
            </w:pPr>
          </w:p>
        </w:tc>
        <w:tc>
          <w:tcPr>
            <w:tcW w:w="231" w:type="pct"/>
          </w:tcPr>
          <w:p w14:paraId="789F14D9" w14:textId="77777777" w:rsidR="00A63C3A" w:rsidRPr="00180F73" w:rsidRDefault="00A63C3A" w:rsidP="00180F73">
            <w:pPr>
              <w:pStyle w:val="TableParagraph"/>
              <w:rPr>
                <w:rFonts w:ascii="Garamond" w:hAnsi="Garamond"/>
                <w:sz w:val="14"/>
                <w:szCs w:val="14"/>
              </w:rPr>
            </w:pPr>
          </w:p>
        </w:tc>
        <w:tc>
          <w:tcPr>
            <w:tcW w:w="353" w:type="pct"/>
          </w:tcPr>
          <w:p w14:paraId="09EFD361" w14:textId="77777777" w:rsidR="00A63C3A" w:rsidRPr="00180F73" w:rsidRDefault="00A63C3A" w:rsidP="00180F73">
            <w:pPr>
              <w:pStyle w:val="TableParagraph"/>
              <w:rPr>
                <w:rFonts w:ascii="Garamond" w:hAnsi="Garamond"/>
                <w:sz w:val="14"/>
                <w:szCs w:val="14"/>
              </w:rPr>
            </w:pPr>
          </w:p>
        </w:tc>
        <w:tc>
          <w:tcPr>
            <w:tcW w:w="248" w:type="pct"/>
          </w:tcPr>
          <w:p w14:paraId="508CDE2B" w14:textId="77777777" w:rsidR="00A63C3A" w:rsidRPr="00180F73" w:rsidRDefault="00A63C3A" w:rsidP="00180F73">
            <w:pPr>
              <w:pStyle w:val="TableParagraph"/>
              <w:rPr>
                <w:rFonts w:ascii="Garamond" w:hAnsi="Garamond"/>
                <w:sz w:val="14"/>
                <w:szCs w:val="14"/>
              </w:rPr>
            </w:pPr>
          </w:p>
        </w:tc>
        <w:tc>
          <w:tcPr>
            <w:tcW w:w="467" w:type="pct"/>
          </w:tcPr>
          <w:p w14:paraId="4733FEB9" w14:textId="77777777" w:rsidR="00A63C3A" w:rsidRPr="00180F73" w:rsidRDefault="00A63C3A" w:rsidP="00180F73">
            <w:pPr>
              <w:pStyle w:val="TableParagraph"/>
              <w:rPr>
                <w:rFonts w:ascii="Garamond" w:hAnsi="Garamond"/>
                <w:sz w:val="14"/>
                <w:szCs w:val="14"/>
              </w:rPr>
            </w:pPr>
          </w:p>
        </w:tc>
        <w:tc>
          <w:tcPr>
            <w:tcW w:w="425" w:type="pct"/>
          </w:tcPr>
          <w:p w14:paraId="30BFD6A6" w14:textId="77777777" w:rsidR="00A63C3A" w:rsidRPr="00180F73" w:rsidRDefault="00A63C3A" w:rsidP="00180F73">
            <w:pPr>
              <w:pStyle w:val="TableParagraph"/>
              <w:rPr>
                <w:rFonts w:ascii="Garamond" w:hAnsi="Garamond"/>
                <w:sz w:val="14"/>
                <w:szCs w:val="14"/>
              </w:rPr>
            </w:pPr>
          </w:p>
        </w:tc>
      </w:tr>
      <w:tr w:rsidR="003D0B46" w:rsidRPr="00180F73" w14:paraId="64F89784" w14:textId="77777777" w:rsidTr="003D0B46">
        <w:trPr>
          <w:trHeight w:val="20"/>
        </w:trPr>
        <w:tc>
          <w:tcPr>
            <w:tcW w:w="775" w:type="pct"/>
          </w:tcPr>
          <w:p w14:paraId="22DA96CC" w14:textId="77777777" w:rsidR="00A63C3A" w:rsidRPr="00180F73" w:rsidRDefault="00A63C3A" w:rsidP="00180F73">
            <w:pPr>
              <w:pStyle w:val="TableParagraph"/>
              <w:ind w:left="-17" w:right="35"/>
              <w:rPr>
                <w:rFonts w:ascii="Garamond" w:hAnsi="Garamond"/>
                <w:b/>
                <w:sz w:val="14"/>
                <w:szCs w:val="14"/>
              </w:rPr>
            </w:pPr>
            <w:r w:rsidRPr="00180F73">
              <w:rPr>
                <w:rFonts w:ascii="Garamond" w:hAnsi="Garamond"/>
                <w:b/>
                <w:spacing w:val="-1"/>
                <w:w w:val="95"/>
                <w:sz w:val="14"/>
                <w:szCs w:val="14"/>
              </w:rPr>
              <w:t xml:space="preserve">Zhardhokët e tjerë </w:t>
            </w:r>
            <w:r w:rsidRPr="00180F73">
              <w:rPr>
                <w:rFonts w:ascii="Garamond" w:hAnsi="Garamond"/>
                <w:b/>
                <w:sz w:val="14"/>
                <w:szCs w:val="14"/>
              </w:rPr>
              <w:t>(specifiko)</w:t>
            </w:r>
          </w:p>
        </w:tc>
        <w:tc>
          <w:tcPr>
            <w:tcW w:w="224" w:type="pct"/>
          </w:tcPr>
          <w:p w14:paraId="36D7D259" w14:textId="77777777" w:rsidR="00A63C3A" w:rsidRPr="00180F73" w:rsidRDefault="00A63C3A" w:rsidP="00180F73">
            <w:pPr>
              <w:pStyle w:val="TableParagraph"/>
              <w:rPr>
                <w:rFonts w:ascii="Garamond" w:hAnsi="Garamond"/>
                <w:sz w:val="14"/>
                <w:szCs w:val="14"/>
              </w:rPr>
            </w:pPr>
          </w:p>
        </w:tc>
        <w:tc>
          <w:tcPr>
            <w:tcW w:w="229" w:type="pct"/>
          </w:tcPr>
          <w:p w14:paraId="10AD69B1" w14:textId="77777777" w:rsidR="00A63C3A" w:rsidRPr="00180F73" w:rsidRDefault="00A63C3A" w:rsidP="00180F73">
            <w:pPr>
              <w:pStyle w:val="TableParagraph"/>
              <w:rPr>
                <w:rFonts w:ascii="Garamond" w:hAnsi="Garamond"/>
                <w:sz w:val="14"/>
                <w:szCs w:val="14"/>
              </w:rPr>
            </w:pPr>
          </w:p>
        </w:tc>
        <w:tc>
          <w:tcPr>
            <w:tcW w:w="232" w:type="pct"/>
          </w:tcPr>
          <w:p w14:paraId="67BC581B" w14:textId="77777777" w:rsidR="00A63C3A" w:rsidRPr="00180F73" w:rsidRDefault="00A63C3A" w:rsidP="00180F73">
            <w:pPr>
              <w:pStyle w:val="TableParagraph"/>
              <w:rPr>
                <w:rFonts w:ascii="Garamond" w:hAnsi="Garamond"/>
                <w:sz w:val="14"/>
                <w:szCs w:val="14"/>
              </w:rPr>
            </w:pPr>
          </w:p>
        </w:tc>
        <w:tc>
          <w:tcPr>
            <w:tcW w:w="462" w:type="pct"/>
          </w:tcPr>
          <w:p w14:paraId="3F8CF57A" w14:textId="77777777" w:rsidR="00A63C3A" w:rsidRPr="00180F73" w:rsidRDefault="00A63C3A" w:rsidP="00180F73">
            <w:pPr>
              <w:pStyle w:val="TableParagraph"/>
              <w:rPr>
                <w:rFonts w:ascii="Garamond" w:hAnsi="Garamond"/>
                <w:sz w:val="14"/>
                <w:szCs w:val="14"/>
              </w:rPr>
            </w:pPr>
          </w:p>
        </w:tc>
        <w:tc>
          <w:tcPr>
            <w:tcW w:w="347" w:type="pct"/>
          </w:tcPr>
          <w:p w14:paraId="1DB211DA" w14:textId="77777777" w:rsidR="00A63C3A" w:rsidRPr="00180F73" w:rsidRDefault="00A63C3A" w:rsidP="00180F73">
            <w:pPr>
              <w:pStyle w:val="TableParagraph"/>
              <w:rPr>
                <w:rFonts w:ascii="Garamond" w:hAnsi="Garamond"/>
                <w:sz w:val="14"/>
                <w:szCs w:val="14"/>
              </w:rPr>
            </w:pPr>
          </w:p>
        </w:tc>
        <w:tc>
          <w:tcPr>
            <w:tcW w:w="230" w:type="pct"/>
          </w:tcPr>
          <w:p w14:paraId="5363AB71" w14:textId="77777777" w:rsidR="00A63C3A" w:rsidRPr="00180F73" w:rsidRDefault="00A63C3A" w:rsidP="00180F73">
            <w:pPr>
              <w:pStyle w:val="TableParagraph"/>
              <w:rPr>
                <w:rFonts w:ascii="Garamond" w:hAnsi="Garamond"/>
                <w:sz w:val="14"/>
                <w:szCs w:val="14"/>
              </w:rPr>
            </w:pPr>
          </w:p>
        </w:tc>
        <w:tc>
          <w:tcPr>
            <w:tcW w:w="257" w:type="pct"/>
          </w:tcPr>
          <w:p w14:paraId="31B4E053" w14:textId="77777777" w:rsidR="00A63C3A" w:rsidRPr="00180F73" w:rsidRDefault="00A63C3A" w:rsidP="00180F73">
            <w:pPr>
              <w:pStyle w:val="TableParagraph"/>
              <w:rPr>
                <w:rFonts w:ascii="Garamond" w:hAnsi="Garamond"/>
                <w:sz w:val="14"/>
                <w:szCs w:val="14"/>
              </w:rPr>
            </w:pPr>
          </w:p>
        </w:tc>
        <w:tc>
          <w:tcPr>
            <w:tcW w:w="274" w:type="pct"/>
          </w:tcPr>
          <w:p w14:paraId="030E9491" w14:textId="77777777" w:rsidR="00A63C3A" w:rsidRPr="00180F73" w:rsidRDefault="00A63C3A" w:rsidP="00180F73">
            <w:pPr>
              <w:pStyle w:val="TableParagraph"/>
              <w:rPr>
                <w:rFonts w:ascii="Garamond" w:hAnsi="Garamond"/>
                <w:sz w:val="14"/>
                <w:szCs w:val="14"/>
              </w:rPr>
            </w:pPr>
          </w:p>
        </w:tc>
        <w:tc>
          <w:tcPr>
            <w:tcW w:w="245" w:type="pct"/>
          </w:tcPr>
          <w:p w14:paraId="61662BEE" w14:textId="77777777" w:rsidR="00A63C3A" w:rsidRPr="00180F73" w:rsidRDefault="00A63C3A" w:rsidP="00180F73">
            <w:pPr>
              <w:pStyle w:val="TableParagraph"/>
              <w:rPr>
                <w:rFonts w:ascii="Garamond" w:hAnsi="Garamond"/>
                <w:sz w:val="14"/>
                <w:szCs w:val="14"/>
              </w:rPr>
            </w:pPr>
          </w:p>
        </w:tc>
        <w:tc>
          <w:tcPr>
            <w:tcW w:w="231" w:type="pct"/>
          </w:tcPr>
          <w:p w14:paraId="27B03E94" w14:textId="77777777" w:rsidR="00A63C3A" w:rsidRPr="00180F73" w:rsidRDefault="00A63C3A" w:rsidP="00180F73">
            <w:pPr>
              <w:pStyle w:val="TableParagraph"/>
              <w:rPr>
                <w:rFonts w:ascii="Garamond" w:hAnsi="Garamond"/>
                <w:sz w:val="14"/>
                <w:szCs w:val="14"/>
              </w:rPr>
            </w:pPr>
          </w:p>
        </w:tc>
        <w:tc>
          <w:tcPr>
            <w:tcW w:w="353" w:type="pct"/>
          </w:tcPr>
          <w:p w14:paraId="2F5D7A93" w14:textId="77777777" w:rsidR="00A63C3A" w:rsidRPr="00180F73" w:rsidRDefault="00A63C3A" w:rsidP="00180F73">
            <w:pPr>
              <w:pStyle w:val="TableParagraph"/>
              <w:rPr>
                <w:rFonts w:ascii="Garamond" w:hAnsi="Garamond"/>
                <w:sz w:val="14"/>
                <w:szCs w:val="14"/>
              </w:rPr>
            </w:pPr>
          </w:p>
        </w:tc>
        <w:tc>
          <w:tcPr>
            <w:tcW w:w="248" w:type="pct"/>
          </w:tcPr>
          <w:p w14:paraId="303425D5" w14:textId="77777777" w:rsidR="00A63C3A" w:rsidRPr="00180F73" w:rsidRDefault="00A63C3A" w:rsidP="00180F73">
            <w:pPr>
              <w:pStyle w:val="TableParagraph"/>
              <w:rPr>
                <w:rFonts w:ascii="Garamond" w:hAnsi="Garamond"/>
                <w:sz w:val="14"/>
                <w:szCs w:val="14"/>
              </w:rPr>
            </w:pPr>
          </w:p>
        </w:tc>
        <w:tc>
          <w:tcPr>
            <w:tcW w:w="467" w:type="pct"/>
          </w:tcPr>
          <w:p w14:paraId="5B9C1A58" w14:textId="77777777" w:rsidR="00A63C3A" w:rsidRPr="00180F73" w:rsidRDefault="00A63C3A" w:rsidP="00180F73">
            <w:pPr>
              <w:pStyle w:val="TableParagraph"/>
              <w:rPr>
                <w:rFonts w:ascii="Garamond" w:hAnsi="Garamond"/>
                <w:sz w:val="14"/>
                <w:szCs w:val="14"/>
              </w:rPr>
            </w:pPr>
          </w:p>
        </w:tc>
        <w:tc>
          <w:tcPr>
            <w:tcW w:w="425" w:type="pct"/>
          </w:tcPr>
          <w:p w14:paraId="0EAB8421" w14:textId="77777777" w:rsidR="00A63C3A" w:rsidRPr="00180F73" w:rsidRDefault="00A63C3A" w:rsidP="00180F73">
            <w:pPr>
              <w:pStyle w:val="TableParagraph"/>
              <w:rPr>
                <w:rFonts w:ascii="Garamond" w:hAnsi="Garamond"/>
                <w:sz w:val="14"/>
                <w:szCs w:val="14"/>
              </w:rPr>
            </w:pPr>
          </w:p>
        </w:tc>
      </w:tr>
      <w:tr w:rsidR="003D0B46" w:rsidRPr="00180F73" w14:paraId="658922E3" w14:textId="77777777" w:rsidTr="003D0B46">
        <w:trPr>
          <w:trHeight w:val="20"/>
        </w:trPr>
        <w:tc>
          <w:tcPr>
            <w:tcW w:w="775" w:type="pct"/>
          </w:tcPr>
          <w:p w14:paraId="2FD97F44" w14:textId="77777777" w:rsidR="00A63C3A" w:rsidRPr="00180F73" w:rsidRDefault="00A63C3A" w:rsidP="00180F73">
            <w:pPr>
              <w:pStyle w:val="TableParagraph"/>
              <w:ind w:left="-17" w:right="35"/>
              <w:rPr>
                <w:rFonts w:ascii="Garamond" w:hAnsi="Garamond"/>
                <w:b/>
                <w:spacing w:val="-1"/>
                <w:w w:val="95"/>
                <w:sz w:val="14"/>
                <w:szCs w:val="14"/>
              </w:rPr>
            </w:pPr>
            <w:r w:rsidRPr="00180F73">
              <w:rPr>
                <w:rFonts w:ascii="Garamond" w:hAnsi="Garamond"/>
                <w:b/>
                <w:spacing w:val="-1"/>
                <w:w w:val="95"/>
                <w:sz w:val="14"/>
                <w:szCs w:val="14"/>
              </w:rPr>
              <w:t>Domate të destinuara për rimbjellje</w:t>
            </w:r>
          </w:p>
        </w:tc>
        <w:tc>
          <w:tcPr>
            <w:tcW w:w="224" w:type="pct"/>
          </w:tcPr>
          <w:p w14:paraId="45F42526" w14:textId="77777777" w:rsidR="00A63C3A" w:rsidRPr="00180F73" w:rsidRDefault="00A63C3A" w:rsidP="00180F73">
            <w:pPr>
              <w:pStyle w:val="TableParagraph"/>
              <w:rPr>
                <w:rFonts w:ascii="Garamond" w:hAnsi="Garamond"/>
                <w:sz w:val="14"/>
                <w:szCs w:val="14"/>
              </w:rPr>
            </w:pPr>
          </w:p>
        </w:tc>
        <w:tc>
          <w:tcPr>
            <w:tcW w:w="229" w:type="pct"/>
          </w:tcPr>
          <w:p w14:paraId="42420DA7" w14:textId="77777777" w:rsidR="00A63C3A" w:rsidRPr="00180F73" w:rsidRDefault="00A63C3A" w:rsidP="00180F73">
            <w:pPr>
              <w:pStyle w:val="TableParagraph"/>
              <w:rPr>
                <w:rFonts w:ascii="Garamond" w:hAnsi="Garamond"/>
                <w:sz w:val="14"/>
                <w:szCs w:val="14"/>
              </w:rPr>
            </w:pPr>
          </w:p>
        </w:tc>
        <w:tc>
          <w:tcPr>
            <w:tcW w:w="232" w:type="pct"/>
          </w:tcPr>
          <w:p w14:paraId="7B129A41" w14:textId="77777777" w:rsidR="00A63C3A" w:rsidRPr="00180F73" w:rsidRDefault="00A63C3A" w:rsidP="00180F73">
            <w:pPr>
              <w:pStyle w:val="TableParagraph"/>
              <w:rPr>
                <w:rFonts w:ascii="Garamond" w:hAnsi="Garamond"/>
                <w:sz w:val="14"/>
                <w:szCs w:val="14"/>
              </w:rPr>
            </w:pPr>
          </w:p>
        </w:tc>
        <w:tc>
          <w:tcPr>
            <w:tcW w:w="462" w:type="pct"/>
          </w:tcPr>
          <w:p w14:paraId="13B4A09C" w14:textId="77777777" w:rsidR="00A63C3A" w:rsidRPr="00180F73" w:rsidRDefault="00A63C3A" w:rsidP="00180F73">
            <w:pPr>
              <w:pStyle w:val="TableParagraph"/>
              <w:rPr>
                <w:rFonts w:ascii="Garamond" w:hAnsi="Garamond"/>
                <w:sz w:val="14"/>
                <w:szCs w:val="14"/>
              </w:rPr>
            </w:pPr>
          </w:p>
        </w:tc>
        <w:tc>
          <w:tcPr>
            <w:tcW w:w="347" w:type="pct"/>
          </w:tcPr>
          <w:p w14:paraId="138230DB" w14:textId="77777777" w:rsidR="00A63C3A" w:rsidRPr="00180F73" w:rsidRDefault="00A63C3A" w:rsidP="00180F73">
            <w:pPr>
              <w:pStyle w:val="TableParagraph"/>
              <w:rPr>
                <w:rFonts w:ascii="Garamond" w:hAnsi="Garamond"/>
                <w:sz w:val="14"/>
                <w:szCs w:val="14"/>
              </w:rPr>
            </w:pPr>
          </w:p>
        </w:tc>
        <w:tc>
          <w:tcPr>
            <w:tcW w:w="230" w:type="pct"/>
          </w:tcPr>
          <w:p w14:paraId="0498ED2C" w14:textId="77777777" w:rsidR="00A63C3A" w:rsidRPr="00180F73" w:rsidRDefault="00A63C3A" w:rsidP="00180F73">
            <w:pPr>
              <w:pStyle w:val="TableParagraph"/>
              <w:rPr>
                <w:rFonts w:ascii="Garamond" w:hAnsi="Garamond"/>
                <w:sz w:val="14"/>
                <w:szCs w:val="14"/>
              </w:rPr>
            </w:pPr>
          </w:p>
        </w:tc>
        <w:tc>
          <w:tcPr>
            <w:tcW w:w="257" w:type="pct"/>
          </w:tcPr>
          <w:p w14:paraId="79CF5984" w14:textId="77777777" w:rsidR="00A63C3A" w:rsidRPr="00180F73" w:rsidRDefault="00A63C3A" w:rsidP="00180F73">
            <w:pPr>
              <w:pStyle w:val="TableParagraph"/>
              <w:rPr>
                <w:rFonts w:ascii="Garamond" w:hAnsi="Garamond"/>
                <w:sz w:val="14"/>
                <w:szCs w:val="14"/>
              </w:rPr>
            </w:pPr>
          </w:p>
        </w:tc>
        <w:tc>
          <w:tcPr>
            <w:tcW w:w="274" w:type="pct"/>
          </w:tcPr>
          <w:p w14:paraId="22AA276C" w14:textId="77777777" w:rsidR="00A63C3A" w:rsidRPr="00180F73" w:rsidRDefault="00A63C3A" w:rsidP="00180F73">
            <w:pPr>
              <w:pStyle w:val="TableParagraph"/>
              <w:rPr>
                <w:rFonts w:ascii="Garamond" w:hAnsi="Garamond"/>
                <w:sz w:val="14"/>
                <w:szCs w:val="14"/>
              </w:rPr>
            </w:pPr>
          </w:p>
        </w:tc>
        <w:tc>
          <w:tcPr>
            <w:tcW w:w="245" w:type="pct"/>
          </w:tcPr>
          <w:p w14:paraId="74B7277C" w14:textId="77777777" w:rsidR="00A63C3A" w:rsidRPr="00180F73" w:rsidRDefault="00A63C3A" w:rsidP="00180F73">
            <w:pPr>
              <w:pStyle w:val="TableParagraph"/>
              <w:rPr>
                <w:rFonts w:ascii="Garamond" w:hAnsi="Garamond"/>
                <w:sz w:val="14"/>
                <w:szCs w:val="14"/>
              </w:rPr>
            </w:pPr>
          </w:p>
        </w:tc>
        <w:tc>
          <w:tcPr>
            <w:tcW w:w="231" w:type="pct"/>
          </w:tcPr>
          <w:p w14:paraId="3172A44D" w14:textId="77777777" w:rsidR="00A63C3A" w:rsidRPr="00180F73" w:rsidRDefault="00A63C3A" w:rsidP="00180F73">
            <w:pPr>
              <w:pStyle w:val="TableParagraph"/>
              <w:rPr>
                <w:rFonts w:ascii="Garamond" w:hAnsi="Garamond"/>
                <w:sz w:val="14"/>
                <w:szCs w:val="14"/>
              </w:rPr>
            </w:pPr>
          </w:p>
        </w:tc>
        <w:tc>
          <w:tcPr>
            <w:tcW w:w="353" w:type="pct"/>
          </w:tcPr>
          <w:p w14:paraId="1615F950" w14:textId="77777777" w:rsidR="00A63C3A" w:rsidRPr="00180F73" w:rsidRDefault="00A63C3A" w:rsidP="00180F73">
            <w:pPr>
              <w:pStyle w:val="TableParagraph"/>
              <w:rPr>
                <w:rFonts w:ascii="Garamond" w:hAnsi="Garamond"/>
                <w:sz w:val="14"/>
                <w:szCs w:val="14"/>
              </w:rPr>
            </w:pPr>
          </w:p>
        </w:tc>
        <w:tc>
          <w:tcPr>
            <w:tcW w:w="248" w:type="pct"/>
          </w:tcPr>
          <w:p w14:paraId="640A35A5" w14:textId="77777777" w:rsidR="00A63C3A" w:rsidRPr="00180F73" w:rsidRDefault="00A63C3A" w:rsidP="00180F73">
            <w:pPr>
              <w:pStyle w:val="TableParagraph"/>
              <w:rPr>
                <w:rFonts w:ascii="Garamond" w:hAnsi="Garamond"/>
                <w:sz w:val="14"/>
                <w:szCs w:val="14"/>
              </w:rPr>
            </w:pPr>
          </w:p>
        </w:tc>
        <w:tc>
          <w:tcPr>
            <w:tcW w:w="467" w:type="pct"/>
          </w:tcPr>
          <w:p w14:paraId="76B8F4FF" w14:textId="77777777" w:rsidR="00A63C3A" w:rsidRPr="00180F73" w:rsidRDefault="00A63C3A" w:rsidP="00180F73">
            <w:pPr>
              <w:pStyle w:val="TableParagraph"/>
              <w:rPr>
                <w:rFonts w:ascii="Garamond" w:hAnsi="Garamond"/>
                <w:sz w:val="14"/>
                <w:szCs w:val="14"/>
              </w:rPr>
            </w:pPr>
          </w:p>
        </w:tc>
        <w:tc>
          <w:tcPr>
            <w:tcW w:w="425" w:type="pct"/>
          </w:tcPr>
          <w:p w14:paraId="309BD6B8" w14:textId="77777777" w:rsidR="00A63C3A" w:rsidRPr="00180F73" w:rsidRDefault="00A63C3A" w:rsidP="00180F73">
            <w:pPr>
              <w:pStyle w:val="TableParagraph"/>
              <w:rPr>
                <w:rFonts w:ascii="Garamond" w:hAnsi="Garamond"/>
                <w:sz w:val="14"/>
                <w:szCs w:val="14"/>
              </w:rPr>
            </w:pPr>
          </w:p>
        </w:tc>
      </w:tr>
      <w:tr w:rsidR="003D0B46" w:rsidRPr="00180F73" w14:paraId="2EA26D0A" w14:textId="77777777" w:rsidTr="003D0B46">
        <w:trPr>
          <w:trHeight w:val="20"/>
        </w:trPr>
        <w:tc>
          <w:tcPr>
            <w:tcW w:w="1000" w:type="pct"/>
            <w:gridSpan w:val="2"/>
          </w:tcPr>
          <w:p w14:paraId="590C5AB2" w14:textId="77777777" w:rsidR="00A63C3A" w:rsidRPr="00180F73" w:rsidRDefault="00A63C3A" w:rsidP="00180F73">
            <w:pPr>
              <w:pStyle w:val="TableParagraph"/>
              <w:rPr>
                <w:rFonts w:ascii="Garamond" w:hAnsi="Garamond"/>
                <w:b/>
                <w:bCs/>
                <w:sz w:val="14"/>
                <w:szCs w:val="14"/>
              </w:rPr>
            </w:pPr>
            <w:r w:rsidRPr="00180F73">
              <w:rPr>
                <w:rFonts w:ascii="Garamond" w:hAnsi="Garamond"/>
                <w:b/>
                <w:bCs/>
                <w:sz w:val="14"/>
                <w:szCs w:val="14"/>
              </w:rPr>
              <w:t>Bujtësit e tjerë (specifikoni speciet, lumin/zonën)</w:t>
            </w:r>
          </w:p>
        </w:tc>
        <w:tc>
          <w:tcPr>
            <w:tcW w:w="229" w:type="pct"/>
          </w:tcPr>
          <w:p w14:paraId="4A003EA6" w14:textId="77777777" w:rsidR="00A63C3A" w:rsidRPr="00180F73" w:rsidRDefault="00A63C3A" w:rsidP="00180F73">
            <w:pPr>
              <w:pStyle w:val="TableParagraph"/>
              <w:rPr>
                <w:rFonts w:ascii="Garamond" w:hAnsi="Garamond"/>
                <w:sz w:val="14"/>
                <w:szCs w:val="14"/>
              </w:rPr>
            </w:pPr>
          </w:p>
        </w:tc>
        <w:tc>
          <w:tcPr>
            <w:tcW w:w="232" w:type="pct"/>
          </w:tcPr>
          <w:p w14:paraId="067033EF" w14:textId="77777777" w:rsidR="00A63C3A" w:rsidRPr="00180F73" w:rsidRDefault="00A63C3A" w:rsidP="00180F73">
            <w:pPr>
              <w:pStyle w:val="TableParagraph"/>
              <w:rPr>
                <w:rFonts w:ascii="Garamond" w:hAnsi="Garamond"/>
                <w:sz w:val="14"/>
                <w:szCs w:val="14"/>
              </w:rPr>
            </w:pPr>
          </w:p>
        </w:tc>
        <w:tc>
          <w:tcPr>
            <w:tcW w:w="462" w:type="pct"/>
          </w:tcPr>
          <w:p w14:paraId="19851232" w14:textId="77777777" w:rsidR="00A63C3A" w:rsidRPr="00180F73" w:rsidRDefault="00A63C3A" w:rsidP="00180F73">
            <w:pPr>
              <w:pStyle w:val="TableParagraph"/>
              <w:rPr>
                <w:rFonts w:ascii="Garamond" w:hAnsi="Garamond"/>
                <w:sz w:val="14"/>
                <w:szCs w:val="14"/>
              </w:rPr>
            </w:pPr>
          </w:p>
        </w:tc>
        <w:tc>
          <w:tcPr>
            <w:tcW w:w="347" w:type="pct"/>
          </w:tcPr>
          <w:p w14:paraId="2117CEC0" w14:textId="77777777" w:rsidR="00A63C3A" w:rsidRPr="00180F73" w:rsidRDefault="00A63C3A" w:rsidP="00180F73">
            <w:pPr>
              <w:pStyle w:val="TableParagraph"/>
              <w:rPr>
                <w:rFonts w:ascii="Garamond" w:hAnsi="Garamond"/>
                <w:sz w:val="14"/>
                <w:szCs w:val="14"/>
              </w:rPr>
            </w:pPr>
          </w:p>
        </w:tc>
        <w:tc>
          <w:tcPr>
            <w:tcW w:w="230" w:type="pct"/>
          </w:tcPr>
          <w:p w14:paraId="29635346" w14:textId="77777777" w:rsidR="00A63C3A" w:rsidRPr="00180F73" w:rsidRDefault="00A63C3A" w:rsidP="00180F73">
            <w:pPr>
              <w:pStyle w:val="TableParagraph"/>
              <w:rPr>
                <w:rFonts w:ascii="Garamond" w:hAnsi="Garamond"/>
                <w:sz w:val="14"/>
                <w:szCs w:val="14"/>
              </w:rPr>
            </w:pPr>
          </w:p>
        </w:tc>
        <w:tc>
          <w:tcPr>
            <w:tcW w:w="257" w:type="pct"/>
          </w:tcPr>
          <w:p w14:paraId="627E6EC2" w14:textId="77777777" w:rsidR="00A63C3A" w:rsidRPr="00180F73" w:rsidRDefault="00A63C3A" w:rsidP="00180F73">
            <w:pPr>
              <w:pStyle w:val="TableParagraph"/>
              <w:rPr>
                <w:rFonts w:ascii="Garamond" w:hAnsi="Garamond"/>
                <w:sz w:val="14"/>
                <w:szCs w:val="14"/>
              </w:rPr>
            </w:pPr>
          </w:p>
        </w:tc>
        <w:tc>
          <w:tcPr>
            <w:tcW w:w="274" w:type="pct"/>
          </w:tcPr>
          <w:p w14:paraId="276BE983" w14:textId="77777777" w:rsidR="00A63C3A" w:rsidRPr="00180F73" w:rsidRDefault="00A63C3A" w:rsidP="00180F73">
            <w:pPr>
              <w:pStyle w:val="TableParagraph"/>
              <w:rPr>
                <w:rFonts w:ascii="Garamond" w:hAnsi="Garamond"/>
                <w:sz w:val="14"/>
                <w:szCs w:val="14"/>
              </w:rPr>
            </w:pPr>
          </w:p>
        </w:tc>
        <w:tc>
          <w:tcPr>
            <w:tcW w:w="245" w:type="pct"/>
          </w:tcPr>
          <w:p w14:paraId="71EA02AE" w14:textId="77777777" w:rsidR="00A63C3A" w:rsidRPr="00180F73" w:rsidRDefault="00A63C3A" w:rsidP="00180F73">
            <w:pPr>
              <w:pStyle w:val="TableParagraph"/>
              <w:rPr>
                <w:rFonts w:ascii="Garamond" w:hAnsi="Garamond"/>
                <w:sz w:val="14"/>
                <w:szCs w:val="14"/>
              </w:rPr>
            </w:pPr>
          </w:p>
        </w:tc>
        <w:tc>
          <w:tcPr>
            <w:tcW w:w="231" w:type="pct"/>
          </w:tcPr>
          <w:p w14:paraId="3975C0FA" w14:textId="77777777" w:rsidR="00A63C3A" w:rsidRPr="00180F73" w:rsidRDefault="00A63C3A" w:rsidP="00180F73">
            <w:pPr>
              <w:pStyle w:val="TableParagraph"/>
              <w:rPr>
                <w:rFonts w:ascii="Garamond" w:hAnsi="Garamond"/>
                <w:sz w:val="14"/>
                <w:szCs w:val="14"/>
              </w:rPr>
            </w:pPr>
          </w:p>
        </w:tc>
        <w:tc>
          <w:tcPr>
            <w:tcW w:w="353" w:type="pct"/>
          </w:tcPr>
          <w:p w14:paraId="757902B8" w14:textId="77777777" w:rsidR="00A63C3A" w:rsidRPr="00180F73" w:rsidRDefault="00A63C3A" w:rsidP="00180F73">
            <w:pPr>
              <w:pStyle w:val="TableParagraph"/>
              <w:rPr>
                <w:rFonts w:ascii="Garamond" w:hAnsi="Garamond"/>
                <w:sz w:val="14"/>
                <w:szCs w:val="14"/>
              </w:rPr>
            </w:pPr>
          </w:p>
        </w:tc>
        <w:tc>
          <w:tcPr>
            <w:tcW w:w="248" w:type="pct"/>
          </w:tcPr>
          <w:p w14:paraId="3E6A4D1F" w14:textId="77777777" w:rsidR="00A63C3A" w:rsidRPr="00180F73" w:rsidRDefault="00A63C3A" w:rsidP="00180F73">
            <w:pPr>
              <w:pStyle w:val="TableParagraph"/>
              <w:rPr>
                <w:rFonts w:ascii="Garamond" w:hAnsi="Garamond"/>
                <w:sz w:val="14"/>
                <w:szCs w:val="14"/>
              </w:rPr>
            </w:pPr>
          </w:p>
        </w:tc>
        <w:tc>
          <w:tcPr>
            <w:tcW w:w="467" w:type="pct"/>
          </w:tcPr>
          <w:p w14:paraId="0F1D76E8" w14:textId="77777777" w:rsidR="00A63C3A" w:rsidRPr="00180F73" w:rsidRDefault="00A63C3A" w:rsidP="00180F73">
            <w:pPr>
              <w:pStyle w:val="TableParagraph"/>
              <w:rPr>
                <w:rFonts w:ascii="Garamond" w:hAnsi="Garamond"/>
                <w:sz w:val="14"/>
                <w:szCs w:val="14"/>
              </w:rPr>
            </w:pPr>
          </w:p>
        </w:tc>
        <w:tc>
          <w:tcPr>
            <w:tcW w:w="425" w:type="pct"/>
          </w:tcPr>
          <w:p w14:paraId="7867512F" w14:textId="77777777" w:rsidR="00A63C3A" w:rsidRPr="00180F73" w:rsidRDefault="00A63C3A" w:rsidP="00180F73">
            <w:pPr>
              <w:pStyle w:val="TableParagraph"/>
              <w:rPr>
                <w:rFonts w:ascii="Garamond" w:hAnsi="Garamond"/>
                <w:sz w:val="14"/>
                <w:szCs w:val="14"/>
              </w:rPr>
            </w:pPr>
          </w:p>
        </w:tc>
      </w:tr>
      <w:tr w:rsidR="003D0B46" w:rsidRPr="00180F73" w14:paraId="0DC6DF1F" w14:textId="77777777" w:rsidTr="003D0B46">
        <w:trPr>
          <w:trHeight w:val="20"/>
        </w:trPr>
        <w:tc>
          <w:tcPr>
            <w:tcW w:w="1000" w:type="pct"/>
            <w:gridSpan w:val="2"/>
          </w:tcPr>
          <w:p w14:paraId="283DE0F1" w14:textId="77777777" w:rsidR="00A63C3A" w:rsidRPr="00180F73" w:rsidRDefault="00A63C3A" w:rsidP="00180F73">
            <w:pPr>
              <w:pStyle w:val="TableParagraph"/>
              <w:ind w:right="-105"/>
              <w:rPr>
                <w:rFonts w:ascii="Garamond" w:hAnsi="Garamond"/>
                <w:b/>
                <w:bCs/>
                <w:sz w:val="14"/>
                <w:szCs w:val="14"/>
              </w:rPr>
            </w:pPr>
            <w:r w:rsidRPr="00180F73">
              <w:rPr>
                <w:rFonts w:ascii="Garamond" w:hAnsi="Garamond"/>
                <w:b/>
                <w:bCs/>
                <w:sz w:val="14"/>
                <w:szCs w:val="14"/>
              </w:rPr>
              <w:t>Uji (specifikoni lumin/zonën/vendndodhjen e ndërtesave)</w:t>
            </w:r>
          </w:p>
        </w:tc>
        <w:tc>
          <w:tcPr>
            <w:tcW w:w="229" w:type="pct"/>
          </w:tcPr>
          <w:p w14:paraId="68EB3BE4" w14:textId="77777777" w:rsidR="00A63C3A" w:rsidRPr="00180F73" w:rsidRDefault="00A63C3A" w:rsidP="00180F73">
            <w:pPr>
              <w:pStyle w:val="TableParagraph"/>
              <w:rPr>
                <w:rFonts w:ascii="Garamond" w:hAnsi="Garamond"/>
                <w:sz w:val="14"/>
                <w:szCs w:val="14"/>
              </w:rPr>
            </w:pPr>
          </w:p>
        </w:tc>
        <w:tc>
          <w:tcPr>
            <w:tcW w:w="232" w:type="pct"/>
          </w:tcPr>
          <w:p w14:paraId="23657877" w14:textId="77777777" w:rsidR="00A63C3A" w:rsidRPr="00180F73" w:rsidRDefault="00A63C3A" w:rsidP="00180F73">
            <w:pPr>
              <w:pStyle w:val="TableParagraph"/>
              <w:rPr>
                <w:rFonts w:ascii="Garamond" w:hAnsi="Garamond"/>
                <w:sz w:val="14"/>
                <w:szCs w:val="14"/>
              </w:rPr>
            </w:pPr>
          </w:p>
        </w:tc>
        <w:tc>
          <w:tcPr>
            <w:tcW w:w="462" w:type="pct"/>
          </w:tcPr>
          <w:p w14:paraId="06CB3085" w14:textId="77777777" w:rsidR="00A63C3A" w:rsidRPr="00180F73" w:rsidRDefault="00A63C3A" w:rsidP="00180F73">
            <w:pPr>
              <w:pStyle w:val="TableParagraph"/>
              <w:rPr>
                <w:rFonts w:ascii="Garamond" w:hAnsi="Garamond"/>
                <w:sz w:val="14"/>
                <w:szCs w:val="14"/>
              </w:rPr>
            </w:pPr>
          </w:p>
        </w:tc>
        <w:tc>
          <w:tcPr>
            <w:tcW w:w="347" w:type="pct"/>
          </w:tcPr>
          <w:p w14:paraId="3C111623" w14:textId="77777777" w:rsidR="00A63C3A" w:rsidRPr="00180F73" w:rsidRDefault="00A63C3A" w:rsidP="00180F73">
            <w:pPr>
              <w:pStyle w:val="TableParagraph"/>
              <w:rPr>
                <w:rFonts w:ascii="Garamond" w:hAnsi="Garamond"/>
                <w:sz w:val="14"/>
                <w:szCs w:val="14"/>
              </w:rPr>
            </w:pPr>
          </w:p>
        </w:tc>
        <w:tc>
          <w:tcPr>
            <w:tcW w:w="230" w:type="pct"/>
          </w:tcPr>
          <w:p w14:paraId="768B22EA" w14:textId="77777777" w:rsidR="00A63C3A" w:rsidRPr="00180F73" w:rsidRDefault="00A63C3A" w:rsidP="00180F73">
            <w:pPr>
              <w:pStyle w:val="TableParagraph"/>
              <w:rPr>
                <w:rFonts w:ascii="Garamond" w:hAnsi="Garamond"/>
                <w:sz w:val="14"/>
                <w:szCs w:val="14"/>
              </w:rPr>
            </w:pPr>
          </w:p>
        </w:tc>
        <w:tc>
          <w:tcPr>
            <w:tcW w:w="257" w:type="pct"/>
          </w:tcPr>
          <w:p w14:paraId="52C761EB" w14:textId="77777777" w:rsidR="00A63C3A" w:rsidRPr="00180F73" w:rsidRDefault="00A63C3A" w:rsidP="00180F73">
            <w:pPr>
              <w:pStyle w:val="TableParagraph"/>
              <w:rPr>
                <w:rFonts w:ascii="Garamond" w:hAnsi="Garamond"/>
                <w:sz w:val="14"/>
                <w:szCs w:val="14"/>
              </w:rPr>
            </w:pPr>
          </w:p>
        </w:tc>
        <w:tc>
          <w:tcPr>
            <w:tcW w:w="274" w:type="pct"/>
          </w:tcPr>
          <w:p w14:paraId="46045866" w14:textId="77777777" w:rsidR="00A63C3A" w:rsidRPr="00180F73" w:rsidRDefault="00A63C3A" w:rsidP="00180F73">
            <w:pPr>
              <w:pStyle w:val="TableParagraph"/>
              <w:rPr>
                <w:rFonts w:ascii="Garamond" w:hAnsi="Garamond"/>
                <w:sz w:val="14"/>
                <w:szCs w:val="14"/>
              </w:rPr>
            </w:pPr>
          </w:p>
        </w:tc>
        <w:tc>
          <w:tcPr>
            <w:tcW w:w="245" w:type="pct"/>
          </w:tcPr>
          <w:p w14:paraId="2FC02DB4" w14:textId="77777777" w:rsidR="00A63C3A" w:rsidRPr="00180F73" w:rsidRDefault="00A63C3A" w:rsidP="00180F73">
            <w:pPr>
              <w:pStyle w:val="TableParagraph"/>
              <w:rPr>
                <w:rFonts w:ascii="Garamond" w:hAnsi="Garamond"/>
                <w:sz w:val="14"/>
                <w:szCs w:val="14"/>
              </w:rPr>
            </w:pPr>
          </w:p>
        </w:tc>
        <w:tc>
          <w:tcPr>
            <w:tcW w:w="231" w:type="pct"/>
          </w:tcPr>
          <w:p w14:paraId="7AA61466" w14:textId="77777777" w:rsidR="00A63C3A" w:rsidRPr="00180F73" w:rsidRDefault="00A63C3A" w:rsidP="00180F73">
            <w:pPr>
              <w:pStyle w:val="TableParagraph"/>
              <w:rPr>
                <w:rFonts w:ascii="Garamond" w:hAnsi="Garamond"/>
                <w:sz w:val="14"/>
                <w:szCs w:val="14"/>
              </w:rPr>
            </w:pPr>
          </w:p>
        </w:tc>
        <w:tc>
          <w:tcPr>
            <w:tcW w:w="353" w:type="pct"/>
          </w:tcPr>
          <w:p w14:paraId="50698E3B" w14:textId="77777777" w:rsidR="00A63C3A" w:rsidRPr="00180F73" w:rsidRDefault="00A63C3A" w:rsidP="00180F73">
            <w:pPr>
              <w:pStyle w:val="TableParagraph"/>
              <w:rPr>
                <w:rFonts w:ascii="Garamond" w:hAnsi="Garamond"/>
                <w:sz w:val="14"/>
                <w:szCs w:val="14"/>
              </w:rPr>
            </w:pPr>
          </w:p>
        </w:tc>
        <w:tc>
          <w:tcPr>
            <w:tcW w:w="248" w:type="pct"/>
          </w:tcPr>
          <w:p w14:paraId="7C824CF7" w14:textId="77777777" w:rsidR="00A63C3A" w:rsidRPr="00180F73" w:rsidRDefault="00A63C3A" w:rsidP="00180F73">
            <w:pPr>
              <w:pStyle w:val="TableParagraph"/>
              <w:rPr>
                <w:rFonts w:ascii="Garamond" w:hAnsi="Garamond"/>
                <w:sz w:val="14"/>
                <w:szCs w:val="14"/>
              </w:rPr>
            </w:pPr>
          </w:p>
        </w:tc>
        <w:tc>
          <w:tcPr>
            <w:tcW w:w="467" w:type="pct"/>
          </w:tcPr>
          <w:p w14:paraId="2DCF9046" w14:textId="77777777" w:rsidR="00A63C3A" w:rsidRPr="00180F73" w:rsidRDefault="00A63C3A" w:rsidP="00180F73">
            <w:pPr>
              <w:pStyle w:val="TableParagraph"/>
              <w:rPr>
                <w:rFonts w:ascii="Garamond" w:hAnsi="Garamond"/>
                <w:sz w:val="14"/>
                <w:szCs w:val="14"/>
              </w:rPr>
            </w:pPr>
          </w:p>
        </w:tc>
        <w:tc>
          <w:tcPr>
            <w:tcW w:w="425" w:type="pct"/>
          </w:tcPr>
          <w:p w14:paraId="0EDEA0AE" w14:textId="77777777" w:rsidR="00A63C3A" w:rsidRPr="00180F73" w:rsidRDefault="00A63C3A" w:rsidP="00180F73">
            <w:pPr>
              <w:pStyle w:val="TableParagraph"/>
              <w:rPr>
                <w:rFonts w:ascii="Garamond" w:hAnsi="Garamond"/>
                <w:sz w:val="14"/>
                <w:szCs w:val="14"/>
              </w:rPr>
            </w:pPr>
          </w:p>
        </w:tc>
      </w:tr>
    </w:tbl>
    <w:p w14:paraId="19DB79F6" w14:textId="1BE939F2" w:rsidR="005B4D1C" w:rsidRPr="00180F73" w:rsidRDefault="005B4D1C" w:rsidP="005B4D1C">
      <w:pPr>
        <w:tabs>
          <w:tab w:val="left" w:pos="1194"/>
        </w:tabs>
        <w:rPr>
          <w:rFonts w:ascii="Garamond" w:eastAsiaTheme="minorHAnsi" w:hAnsi="Garamond"/>
          <w:sz w:val="20"/>
          <w:szCs w:val="20"/>
          <w:lang w:eastAsia="en-US"/>
        </w:rPr>
      </w:pPr>
      <w:r w:rsidRPr="003E4656">
        <w:rPr>
          <w:rFonts w:eastAsiaTheme="minorHAnsi"/>
          <w:sz w:val="20"/>
          <w:szCs w:val="20"/>
          <w:vertAlign w:val="superscript"/>
          <w:lang w:eastAsia="en-US"/>
        </w:rPr>
        <w:t>(</w:t>
      </w:r>
      <w:r w:rsidRPr="003E4656">
        <w:rPr>
          <w:rFonts w:ascii="Garamond" w:eastAsiaTheme="minorHAnsi" w:hAnsi="Garamond"/>
          <w:sz w:val="20"/>
          <w:szCs w:val="20"/>
          <w:vertAlign w:val="superscript"/>
          <w:lang w:eastAsia="en-US"/>
        </w:rPr>
        <w:t>1)</w:t>
      </w:r>
      <w:r w:rsidRPr="00180F73">
        <w:rPr>
          <w:rFonts w:ascii="Garamond" w:eastAsiaTheme="minorHAnsi" w:hAnsi="Garamond"/>
          <w:sz w:val="20"/>
          <w:szCs w:val="20"/>
          <w:lang w:eastAsia="en-US"/>
        </w:rPr>
        <w:t xml:space="preserve"> Kuptohet si ekzaminim makroskopik i zhardhokëve ose </w:t>
      </w:r>
      <w:r w:rsidR="0080558D">
        <w:rPr>
          <w:rFonts w:ascii="Garamond" w:eastAsiaTheme="minorHAnsi" w:hAnsi="Garamond"/>
          <w:sz w:val="20"/>
          <w:szCs w:val="20"/>
          <w:lang w:eastAsia="en-US"/>
        </w:rPr>
        <w:t xml:space="preserve">i </w:t>
      </w:r>
      <w:r w:rsidRPr="00180F73">
        <w:rPr>
          <w:rFonts w:ascii="Garamond" w:eastAsiaTheme="minorHAnsi" w:hAnsi="Garamond"/>
          <w:sz w:val="20"/>
          <w:szCs w:val="20"/>
          <w:lang w:eastAsia="en-US"/>
        </w:rPr>
        <w:t>kulturave.</w:t>
      </w:r>
    </w:p>
    <w:p w14:paraId="13E2998D" w14:textId="77777777" w:rsidR="005B4D1C" w:rsidRPr="00180F73" w:rsidRDefault="005B4D1C" w:rsidP="005B4D1C">
      <w:pPr>
        <w:tabs>
          <w:tab w:val="left" w:pos="1194"/>
        </w:tabs>
        <w:rPr>
          <w:rFonts w:ascii="Garamond" w:eastAsiaTheme="minorHAnsi" w:hAnsi="Garamond"/>
          <w:sz w:val="20"/>
          <w:szCs w:val="20"/>
          <w:lang w:eastAsia="en-US"/>
        </w:rPr>
      </w:pPr>
      <w:r w:rsidRPr="003E4656">
        <w:rPr>
          <w:rFonts w:ascii="Garamond" w:eastAsiaTheme="minorHAnsi" w:hAnsi="Garamond"/>
          <w:sz w:val="20"/>
          <w:szCs w:val="20"/>
          <w:vertAlign w:val="superscript"/>
          <w:lang w:eastAsia="en-US"/>
        </w:rPr>
        <w:t>(2)</w:t>
      </w:r>
      <w:r w:rsidRPr="00180F73">
        <w:rPr>
          <w:rFonts w:ascii="Garamond" w:eastAsiaTheme="minorHAnsi" w:hAnsi="Garamond"/>
          <w:sz w:val="20"/>
          <w:szCs w:val="20"/>
          <w:lang w:eastAsia="en-US"/>
        </w:rPr>
        <w:t xml:space="preserve"> U gjendën simptoma, u mor një mostër dhe testimi laboratorik konfirmoi pranin e dëmtuesit të specifikuar.</w:t>
      </w:r>
    </w:p>
    <w:p w14:paraId="75C24DAC" w14:textId="2A72C311" w:rsidR="00A63C3A" w:rsidRPr="00180F73" w:rsidRDefault="00A63C3A" w:rsidP="002271C4">
      <w:pPr>
        <w:jc w:val="both"/>
        <w:rPr>
          <w:b/>
        </w:rPr>
      </w:pPr>
    </w:p>
    <w:p w14:paraId="423AC6E1" w14:textId="77777777" w:rsidR="00990EF3" w:rsidRPr="003D0B46" w:rsidRDefault="00990EF3" w:rsidP="00990EF3">
      <w:pPr>
        <w:ind w:firstLine="284"/>
        <w:jc w:val="center"/>
        <w:rPr>
          <w:rFonts w:ascii="Garamond" w:eastAsiaTheme="minorHAnsi" w:hAnsi="Garamond"/>
          <w:lang w:eastAsia="en-US"/>
        </w:rPr>
      </w:pPr>
      <w:r w:rsidRPr="003D0B46">
        <w:rPr>
          <w:rFonts w:ascii="Garamond" w:eastAsiaTheme="minorHAnsi" w:hAnsi="Garamond"/>
          <w:lang w:eastAsia="en-US"/>
        </w:rPr>
        <w:t>ANEKSI III</w:t>
      </w:r>
    </w:p>
    <w:p w14:paraId="585802C9" w14:textId="77777777" w:rsidR="003D0B46" w:rsidRDefault="003D0B46" w:rsidP="003D0B46">
      <w:pPr>
        <w:ind w:firstLine="284"/>
        <w:rPr>
          <w:rFonts w:ascii="Garamond" w:eastAsiaTheme="minorHAnsi" w:hAnsi="Garamond"/>
          <w:b/>
          <w:bCs/>
          <w:lang w:eastAsia="en-US"/>
        </w:rPr>
      </w:pPr>
    </w:p>
    <w:p w14:paraId="00661F48" w14:textId="0DF3DE94" w:rsidR="00990EF3" w:rsidRPr="00180F73" w:rsidRDefault="00990EF3" w:rsidP="00123B24">
      <w:pPr>
        <w:ind w:firstLine="284"/>
        <w:rPr>
          <w:rFonts w:ascii="Garamond" w:eastAsiaTheme="minorHAnsi" w:hAnsi="Garamond"/>
          <w:b/>
          <w:bCs/>
          <w:lang w:eastAsia="en-US"/>
        </w:rPr>
      </w:pPr>
      <w:r w:rsidRPr="00180F73">
        <w:rPr>
          <w:rFonts w:ascii="Garamond" w:eastAsiaTheme="minorHAnsi" w:hAnsi="Garamond"/>
          <w:b/>
          <w:bCs/>
          <w:lang w:eastAsia="en-US"/>
        </w:rPr>
        <w:t xml:space="preserve">Hulumtimi i përmendur në shkronjën “a” të pikës 2 të nenit 5, shkronja </w:t>
      </w:r>
      <w:r w:rsidR="003E4656">
        <w:rPr>
          <w:rFonts w:ascii="Garamond" w:eastAsiaTheme="minorHAnsi" w:hAnsi="Garamond"/>
          <w:b/>
          <w:bCs/>
          <w:lang w:eastAsia="en-US"/>
        </w:rPr>
        <w:t>“</w:t>
      </w:r>
      <w:r w:rsidRPr="00180F73">
        <w:rPr>
          <w:rFonts w:ascii="Garamond" w:eastAsiaTheme="minorHAnsi" w:hAnsi="Garamond"/>
          <w:b/>
          <w:bCs/>
          <w:lang w:eastAsia="en-US"/>
        </w:rPr>
        <w:t>a</w:t>
      </w:r>
      <w:r w:rsidR="003E4656">
        <w:rPr>
          <w:rFonts w:ascii="Garamond" w:eastAsiaTheme="minorHAnsi" w:hAnsi="Garamond"/>
          <w:b/>
          <w:bCs/>
          <w:lang w:eastAsia="en-US"/>
        </w:rPr>
        <w:t>”</w:t>
      </w:r>
      <w:r w:rsidRPr="00180F73">
        <w:rPr>
          <w:rFonts w:ascii="Garamond" w:eastAsiaTheme="minorHAnsi" w:hAnsi="Garamond"/>
          <w:b/>
          <w:bCs/>
          <w:lang w:eastAsia="en-US"/>
        </w:rPr>
        <w:t xml:space="preserve"> e paragrafit të parë të pikës 3 të nenit 5, dhe shkronja </w:t>
      </w:r>
      <w:r w:rsidR="003E4656">
        <w:rPr>
          <w:rFonts w:ascii="Garamond" w:eastAsiaTheme="minorHAnsi" w:hAnsi="Garamond"/>
          <w:b/>
          <w:bCs/>
          <w:lang w:eastAsia="en-US"/>
        </w:rPr>
        <w:t>“</w:t>
      </w:r>
      <w:r w:rsidRPr="00180F73">
        <w:rPr>
          <w:rFonts w:ascii="Garamond" w:eastAsiaTheme="minorHAnsi" w:hAnsi="Garamond"/>
          <w:b/>
          <w:bCs/>
          <w:lang w:eastAsia="en-US"/>
        </w:rPr>
        <w:t>a</w:t>
      </w:r>
      <w:r w:rsidR="003E4656">
        <w:rPr>
          <w:rFonts w:ascii="Garamond" w:eastAsiaTheme="minorHAnsi" w:hAnsi="Garamond"/>
          <w:b/>
          <w:bCs/>
          <w:lang w:eastAsia="en-US"/>
        </w:rPr>
        <w:t>”</w:t>
      </w:r>
      <w:r w:rsidRPr="00180F73">
        <w:rPr>
          <w:rFonts w:ascii="Garamond" w:eastAsiaTheme="minorHAnsi" w:hAnsi="Garamond"/>
          <w:b/>
          <w:bCs/>
          <w:lang w:eastAsia="en-US"/>
        </w:rPr>
        <w:t xml:space="preserve"> e paragrafit të parë të pikës 4 të nenit 5</w:t>
      </w:r>
    </w:p>
    <w:p w14:paraId="44F97C46" w14:textId="4D14E85B" w:rsidR="00990EF3" w:rsidRPr="00180F73" w:rsidRDefault="00990EF3" w:rsidP="00990EF3">
      <w:pPr>
        <w:ind w:firstLine="284"/>
        <w:jc w:val="both"/>
        <w:rPr>
          <w:rFonts w:ascii="Garamond" w:eastAsiaTheme="minorHAnsi" w:hAnsi="Garamond"/>
          <w:b/>
          <w:bCs/>
          <w:lang w:eastAsia="en-US"/>
        </w:rPr>
      </w:pPr>
      <w:r w:rsidRPr="00180F73">
        <w:rPr>
          <w:rFonts w:ascii="Garamond" w:eastAsiaTheme="minorHAnsi" w:hAnsi="Garamond"/>
          <w:lang w:eastAsia="en-US"/>
        </w:rPr>
        <w:t xml:space="preserve">Hulumtimi i përmendur në shkronjën </w:t>
      </w:r>
      <w:r w:rsidR="003E4656">
        <w:rPr>
          <w:rFonts w:ascii="Garamond" w:eastAsiaTheme="minorHAnsi" w:hAnsi="Garamond"/>
          <w:lang w:eastAsia="en-US"/>
        </w:rPr>
        <w:t>“</w:t>
      </w:r>
      <w:r w:rsidRPr="00180F73">
        <w:rPr>
          <w:rFonts w:ascii="Garamond" w:eastAsiaTheme="minorHAnsi" w:hAnsi="Garamond"/>
          <w:lang w:eastAsia="en-US"/>
        </w:rPr>
        <w:t>a</w:t>
      </w:r>
      <w:r w:rsidR="003E4656">
        <w:rPr>
          <w:rFonts w:ascii="Garamond" w:eastAsiaTheme="minorHAnsi" w:hAnsi="Garamond"/>
          <w:lang w:eastAsia="en-US"/>
        </w:rPr>
        <w:t>”</w:t>
      </w:r>
      <w:r w:rsidRPr="00180F73">
        <w:rPr>
          <w:rFonts w:ascii="Garamond" w:eastAsiaTheme="minorHAnsi" w:hAnsi="Garamond"/>
          <w:lang w:eastAsia="en-US"/>
        </w:rPr>
        <w:t xml:space="preserve"> të pikës 2 të nenit 5, shkronja </w:t>
      </w:r>
      <w:r w:rsidR="003E4656">
        <w:rPr>
          <w:rFonts w:ascii="Garamond" w:eastAsiaTheme="minorHAnsi" w:hAnsi="Garamond"/>
          <w:lang w:eastAsia="en-US"/>
        </w:rPr>
        <w:t>“</w:t>
      </w:r>
      <w:r w:rsidRPr="00180F73">
        <w:rPr>
          <w:rFonts w:ascii="Garamond" w:eastAsiaTheme="minorHAnsi" w:hAnsi="Garamond"/>
          <w:lang w:eastAsia="en-US"/>
        </w:rPr>
        <w:t>a</w:t>
      </w:r>
      <w:r w:rsidR="003E4656">
        <w:rPr>
          <w:rFonts w:ascii="Garamond" w:eastAsiaTheme="minorHAnsi" w:hAnsi="Garamond"/>
          <w:lang w:eastAsia="en-US"/>
        </w:rPr>
        <w:t>”</w:t>
      </w:r>
      <w:r w:rsidRPr="00180F73">
        <w:rPr>
          <w:rFonts w:ascii="Garamond" w:eastAsiaTheme="minorHAnsi" w:hAnsi="Garamond"/>
          <w:lang w:eastAsia="en-US"/>
        </w:rPr>
        <w:t xml:space="preserve"> e paragrafit të parë të pikës 3 të nenit 5, dhe në shkronjën </w:t>
      </w:r>
      <w:r w:rsidR="003E4656">
        <w:rPr>
          <w:rFonts w:ascii="Garamond" w:eastAsiaTheme="minorHAnsi" w:hAnsi="Garamond"/>
          <w:lang w:eastAsia="en-US"/>
        </w:rPr>
        <w:t>“</w:t>
      </w:r>
      <w:r w:rsidRPr="00180F73">
        <w:rPr>
          <w:rFonts w:ascii="Garamond" w:eastAsiaTheme="minorHAnsi" w:hAnsi="Garamond"/>
          <w:lang w:eastAsia="en-US"/>
        </w:rPr>
        <w:t>a</w:t>
      </w:r>
      <w:r w:rsidR="003E4656">
        <w:rPr>
          <w:rFonts w:ascii="Garamond" w:eastAsiaTheme="minorHAnsi" w:hAnsi="Garamond"/>
          <w:lang w:eastAsia="en-US"/>
        </w:rPr>
        <w:t>”</w:t>
      </w:r>
      <w:r w:rsidRPr="00180F73">
        <w:rPr>
          <w:rFonts w:ascii="Garamond" w:eastAsiaTheme="minorHAnsi" w:hAnsi="Garamond"/>
          <w:lang w:eastAsia="en-US"/>
        </w:rPr>
        <w:t xml:space="preserve"> të paragrafit të parë të pikës 4 të nenit 5, do të ketë të bëjë me element</w:t>
      </w:r>
      <w:r w:rsidR="008E21ED">
        <w:rPr>
          <w:rFonts w:ascii="Garamond" w:eastAsiaTheme="minorHAnsi" w:hAnsi="Garamond"/>
          <w:lang w:eastAsia="en-US"/>
        </w:rPr>
        <w:t>e</w:t>
      </w:r>
      <w:r w:rsidRPr="00180F73">
        <w:rPr>
          <w:rFonts w:ascii="Garamond" w:eastAsiaTheme="minorHAnsi" w:hAnsi="Garamond"/>
          <w:lang w:eastAsia="en-US"/>
        </w:rPr>
        <w:t>t e mëposht</w:t>
      </w:r>
      <w:r w:rsidR="008E21ED">
        <w:rPr>
          <w:rFonts w:ascii="Garamond" w:eastAsiaTheme="minorHAnsi" w:hAnsi="Garamond"/>
          <w:lang w:eastAsia="en-US"/>
        </w:rPr>
        <w:t>me</w:t>
      </w:r>
      <w:r w:rsidRPr="00180F73">
        <w:rPr>
          <w:rFonts w:ascii="Garamond" w:eastAsiaTheme="minorHAnsi" w:hAnsi="Garamond"/>
          <w:lang w:eastAsia="en-US"/>
        </w:rPr>
        <w:t>, sipas rastit:</w:t>
      </w:r>
    </w:p>
    <w:p w14:paraId="48AA600E" w14:textId="5B9C3275"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1</w:t>
      </w:r>
      <w:r w:rsidR="003E4656">
        <w:rPr>
          <w:rFonts w:ascii="Garamond" w:eastAsiaTheme="minorHAnsi" w:hAnsi="Garamond"/>
          <w:lang w:eastAsia="en-US"/>
        </w:rPr>
        <w:t>.</w:t>
      </w:r>
      <w:r w:rsidRPr="00180F73">
        <w:rPr>
          <w:rFonts w:ascii="Garamond" w:eastAsiaTheme="minorHAnsi" w:hAnsi="Garamond"/>
          <w:lang w:eastAsia="en-US"/>
        </w:rPr>
        <w:t xml:space="preserve"> </w:t>
      </w:r>
      <w:r w:rsidR="003E4656" w:rsidRPr="00180F73">
        <w:rPr>
          <w:rFonts w:ascii="Garamond" w:eastAsiaTheme="minorHAnsi" w:hAnsi="Garamond"/>
          <w:lang w:eastAsia="en-US"/>
        </w:rPr>
        <w:t xml:space="preserve">Vendet </w:t>
      </w:r>
      <w:r w:rsidRPr="00180F73">
        <w:rPr>
          <w:rFonts w:ascii="Garamond" w:eastAsiaTheme="minorHAnsi" w:hAnsi="Garamond"/>
          <w:lang w:eastAsia="en-US"/>
        </w:rPr>
        <w:t>e prodhimit:</w:t>
      </w:r>
    </w:p>
    <w:p w14:paraId="1C49D5A1" w14:textId="076C9830"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a) të rritura ose duke u rritur, patateve të cilat janë klonisht të lidhura me patatet e gjetura të infektuara me dëmtuesin e specifikuar;</w:t>
      </w:r>
    </w:p>
    <w:p w14:paraId="12EF8FF7" w14:textId="12488B12"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b) rritja ose rritja e domateve</w:t>
      </w:r>
      <w:r w:rsidR="003E4656">
        <w:rPr>
          <w:rFonts w:ascii="Garamond" w:eastAsiaTheme="minorHAnsi" w:hAnsi="Garamond"/>
          <w:lang w:eastAsia="en-US"/>
        </w:rPr>
        <w:t>,</w:t>
      </w:r>
      <w:r w:rsidRPr="00180F73">
        <w:rPr>
          <w:rFonts w:ascii="Garamond" w:eastAsiaTheme="minorHAnsi" w:hAnsi="Garamond"/>
          <w:lang w:eastAsia="en-US"/>
        </w:rPr>
        <w:t xml:space="preserve"> të cilat janë nga i njëjti burim me domatet e gjetura të infektuara me dëmtuesin e specifikuar;</w:t>
      </w:r>
    </w:p>
    <w:p w14:paraId="49D01B3A" w14:textId="040BFFD8"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c) të rritura ose duke u rritur, patateve ose domateve të cilat janë vendosur nën kontroll zyrtar</w:t>
      </w:r>
      <w:r w:rsidR="003E4656">
        <w:rPr>
          <w:rFonts w:ascii="Garamond" w:eastAsiaTheme="minorHAnsi" w:hAnsi="Garamond"/>
          <w:lang w:eastAsia="en-US"/>
        </w:rPr>
        <w:t>,</w:t>
      </w:r>
      <w:r w:rsidRPr="00180F73">
        <w:rPr>
          <w:rFonts w:ascii="Garamond" w:eastAsiaTheme="minorHAnsi" w:hAnsi="Garamond"/>
          <w:lang w:eastAsia="en-US"/>
        </w:rPr>
        <w:t xml:space="preserve"> për shkak të pranisë së dyshuar të dëmtuesit të specifikuar;</w:t>
      </w:r>
    </w:p>
    <w:p w14:paraId="616E75D7" w14:textId="614D727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ç) të rritura ose duke u rritur, patateve të cilat janë klonisht të lidhura me patatet që janë rritur në vendet e prodhimit të gjetura të infektuara me dëmtuesin e specifikuar;</w:t>
      </w:r>
    </w:p>
    <w:p w14:paraId="067E0E0F" w14:textId="73B365D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lastRenderedPageBreak/>
        <w:t xml:space="preserve">d) rritjen e patateve ose </w:t>
      </w:r>
      <w:r w:rsidR="003E4656">
        <w:rPr>
          <w:rFonts w:ascii="Garamond" w:eastAsiaTheme="minorHAnsi" w:hAnsi="Garamond"/>
          <w:lang w:eastAsia="en-US"/>
        </w:rPr>
        <w:t xml:space="preserve">e </w:t>
      </w:r>
      <w:r w:rsidRPr="00180F73">
        <w:rPr>
          <w:rFonts w:ascii="Garamond" w:eastAsiaTheme="minorHAnsi" w:hAnsi="Garamond"/>
          <w:lang w:eastAsia="en-US"/>
        </w:rPr>
        <w:t>domateve dhe të vendosura në afërsi të vendeve të infektuara të prodhimit, duke përfshirë vendet e tilla të prodhimit që ndajnë pajisjet dhe pajisjet e prodhimit drejtpërdrejt ose nëpërmjet një kontraktori të përbashkët;</w:t>
      </w:r>
    </w:p>
    <w:p w14:paraId="41F627FD" w14:textId="5028BE62"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e) përdorimi i ujit sipërfaqësor për ujitje ose spërkatje nga çdo burim i konfirmuar ose i dyshuar se është i infektuar me dëmtuesin e specifikuar;</w:t>
      </w:r>
    </w:p>
    <w:p w14:paraId="2096D036" w14:textId="461C8F97"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ë) përdorimi i ujit sipërfaqësor për ujitje ose spërkatje nga një burim i përdorur i përbashkët me vendet e prodhimit të konfirmuara ose të dyshuara se janë të infektuara me dëmtuesin e specifikuar;</w:t>
      </w:r>
    </w:p>
    <w:p w14:paraId="2ACF9ECF" w14:textId="50BD7377"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f) të përmbytur ose që janë përmbytur me ujë sipërfaqësor të konfirmuar ose të dyshuar se janë të infektuar me dëmtuesin e specifikuar; dhe</w:t>
      </w:r>
    </w:p>
    <w:p w14:paraId="3FE1AEEC" w14:textId="4D187F5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2</w:t>
      </w:r>
      <w:r w:rsidR="004C61B4">
        <w:rPr>
          <w:rFonts w:ascii="Garamond" w:eastAsiaTheme="minorHAnsi" w:hAnsi="Garamond"/>
          <w:lang w:eastAsia="en-US"/>
        </w:rPr>
        <w:t xml:space="preserve">. </w:t>
      </w:r>
      <w:r w:rsidR="004C61B4" w:rsidRPr="00180F73">
        <w:rPr>
          <w:rFonts w:ascii="Garamond" w:eastAsiaTheme="minorHAnsi" w:hAnsi="Garamond"/>
          <w:lang w:eastAsia="en-US"/>
        </w:rPr>
        <w:t xml:space="preserve">Ujërat </w:t>
      </w:r>
      <w:r w:rsidRPr="00180F73">
        <w:rPr>
          <w:rFonts w:ascii="Garamond" w:eastAsiaTheme="minorHAnsi" w:hAnsi="Garamond"/>
          <w:lang w:eastAsia="en-US"/>
        </w:rPr>
        <w:t>sipërfaqësore të përdorura për ujitje ose spërkatje të bimëve të specifikuara ose që kanë përmbytur fusha ose vende prodhimi të konfirmuara se janë të infektuara me dëmtuesin e specifikuar.</w:t>
      </w:r>
    </w:p>
    <w:p w14:paraId="50006F85" w14:textId="77777777" w:rsidR="00990EF3" w:rsidRPr="00180F73" w:rsidRDefault="00990EF3" w:rsidP="00990EF3">
      <w:pPr>
        <w:ind w:firstLine="284"/>
        <w:jc w:val="both"/>
        <w:rPr>
          <w:rFonts w:ascii="Garamond" w:eastAsiaTheme="minorHAnsi" w:hAnsi="Garamond"/>
          <w:lang w:eastAsia="en-US"/>
        </w:rPr>
      </w:pPr>
    </w:p>
    <w:p w14:paraId="794E0C9D" w14:textId="77777777" w:rsidR="00990EF3" w:rsidRPr="00180F73" w:rsidRDefault="00990EF3" w:rsidP="00990EF3">
      <w:pPr>
        <w:ind w:firstLine="284"/>
        <w:jc w:val="both"/>
        <w:rPr>
          <w:rFonts w:ascii="Garamond" w:eastAsiaTheme="minorHAnsi" w:hAnsi="Garamond"/>
          <w:lang w:eastAsia="en-US"/>
        </w:rPr>
      </w:pPr>
    </w:p>
    <w:p w14:paraId="4246E1E4" w14:textId="77777777" w:rsidR="00990EF3" w:rsidRPr="003000E8" w:rsidRDefault="00990EF3" w:rsidP="00990EF3">
      <w:pPr>
        <w:ind w:firstLine="284"/>
        <w:jc w:val="center"/>
        <w:rPr>
          <w:rFonts w:ascii="Garamond" w:eastAsiaTheme="minorHAnsi" w:hAnsi="Garamond"/>
          <w:lang w:eastAsia="en-US"/>
        </w:rPr>
      </w:pPr>
      <w:r w:rsidRPr="003000E8">
        <w:rPr>
          <w:rFonts w:ascii="Garamond" w:eastAsiaTheme="minorHAnsi" w:hAnsi="Garamond"/>
          <w:lang w:eastAsia="en-US"/>
        </w:rPr>
        <w:t>ANEKSI IV</w:t>
      </w:r>
    </w:p>
    <w:p w14:paraId="3454AF3C" w14:textId="77777777" w:rsidR="00990EF3" w:rsidRPr="003000E8" w:rsidRDefault="00990EF3" w:rsidP="00990EF3">
      <w:pPr>
        <w:ind w:firstLine="284"/>
        <w:jc w:val="center"/>
        <w:rPr>
          <w:rFonts w:ascii="Garamond" w:eastAsiaTheme="minorHAnsi" w:hAnsi="Garamond"/>
          <w:lang w:eastAsia="en-US"/>
        </w:rPr>
      </w:pPr>
    </w:p>
    <w:p w14:paraId="2FD36E9C" w14:textId="689BEC42" w:rsidR="00990EF3" w:rsidRPr="00180F73" w:rsidRDefault="003000E8" w:rsidP="00123B24">
      <w:pPr>
        <w:ind w:firstLine="284"/>
        <w:jc w:val="both"/>
        <w:rPr>
          <w:rFonts w:ascii="Garamond" w:eastAsiaTheme="minorHAnsi" w:hAnsi="Garamond"/>
          <w:b/>
          <w:bCs/>
          <w:lang w:eastAsia="en-US"/>
        </w:rPr>
      </w:pPr>
      <w:r w:rsidRPr="00180F73">
        <w:rPr>
          <w:rFonts w:ascii="Garamond" w:eastAsiaTheme="minorHAnsi" w:hAnsi="Garamond"/>
          <w:b/>
          <w:bCs/>
          <w:lang w:eastAsia="en-US"/>
        </w:rPr>
        <w:t>Element</w:t>
      </w:r>
      <w:r>
        <w:rPr>
          <w:rFonts w:ascii="Garamond" w:eastAsiaTheme="minorHAnsi" w:hAnsi="Garamond"/>
          <w:b/>
          <w:bCs/>
          <w:lang w:eastAsia="en-US"/>
        </w:rPr>
        <w:t>e</w:t>
      </w:r>
      <w:r w:rsidRPr="00180F73">
        <w:rPr>
          <w:rFonts w:ascii="Garamond" w:eastAsiaTheme="minorHAnsi" w:hAnsi="Garamond"/>
          <w:b/>
          <w:bCs/>
          <w:lang w:eastAsia="en-US"/>
        </w:rPr>
        <w:t xml:space="preserve">t </w:t>
      </w:r>
      <w:r w:rsidR="00990EF3" w:rsidRPr="00180F73">
        <w:rPr>
          <w:rFonts w:ascii="Garamond" w:eastAsiaTheme="minorHAnsi" w:hAnsi="Garamond"/>
          <w:b/>
          <w:bCs/>
          <w:lang w:eastAsia="en-US"/>
        </w:rPr>
        <w:t xml:space="preserve">për përcaktimin e artikujve si të infektuar me gjasë nga dëmtuesi i specifikuar në përputhje me shkronjat </w:t>
      </w:r>
      <w:r w:rsidR="00123B24">
        <w:rPr>
          <w:rFonts w:ascii="Garamond" w:eastAsiaTheme="minorHAnsi" w:hAnsi="Garamond"/>
          <w:b/>
          <w:bCs/>
          <w:lang w:eastAsia="en-US"/>
        </w:rPr>
        <w:t>“</w:t>
      </w:r>
      <w:r w:rsidR="00990EF3" w:rsidRPr="00180F73">
        <w:rPr>
          <w:rFonts w:ascii="Garamond" w:eastAsiaTheme="minorHAnsi" w:hAnsi="Garamond"/>
          <w:b/>
          <w:bCs/>
          <w:lang w:eastAsia="en-US"/>
        </w:rPr>
        <w:t>ii</w:t>
      </w:r>
      <w:r w:rsidR="00123B24">
        <w:rPr>
          <w:rFonts w:ascii="Garamond" w:eastAsiaTheme="minorHAnsi" w:hAnsi="Garamond"/>
          <w:b/>
          <w:bCs/>
          <w:lang w:eastAsia="en-US"/>
        </w:rPr>
        <w:t>”</w:t>
      </w:r>
      <w:r w:rsidR="00990EF3" w:rsidRPr="00180F73">
        <w:rPr>
          <w:rFonts w:ascii="Garamond" w:eastAsiaTheme="minorHAnsi" w:hAnsi="Garamond"/>
          <w:b/>
          <w:bCs/>
          <w:lang w:eastAsia="en-US"/>
        </w:rPr>
        <w:t xml:space="preserve">, </w:t>
      </w:r>
      <w:r w:rsidR="00123B24">
        <w:rPr>
          <w:rFonts w:ascii="Garamond" w:eastAsiaTheme="minorHAnsi" w:hAnsi="Garamond"/>
          <w:b/>
          <w:bCs/>
          <w:lang w:eastAsia="en-US"/>
        </w:rPr>
        <w:t>“</w:t>
      </w:r>
      <w:r w:rsidR="00990EF3" w:rsidRPr="00180F73">
        <w:rPr>
          <w:rFonts w:ascii="Garamond" w:eastAsiaTheme="minorHAnsi" w:hAnsi="Garamond"/>
          <w:b/>
          <w:bCs/>
          <w:lang w:eastAsia="en-US"/>
        </w:rPr>
        <w:t>b</w:t>
      </w:r>
      <w:r w:rsidR="00123B24">
        <w:rPr>
          <w:rFonts w:ascii="Garamond" w:eastAsiaTheme="minorHAnsi" w:hAnsi="Garamond"/>
          <w:b/>
          <w:bCs/>
          <w:lang w:eastAsia="en-US"/>
        </w:rPr>
        <w:t>”</w:t>
      </w:r>
      <w:r w:rsidR="00990EF3" w:rsidRPr="00180F73">
        <w:rPr>
          <w:rFonts w:ascii="Garamond" w:eastAsiaTheme="minorHAnsi" w:hAnsi="Garamond"/>
          <w:b/>
          <w:bCs/>
          <w:lang w:eastAsia="en-US"/>
        </w:rPr>
        <w:t xml:space="preserve"> të pikës 2 të nenit 5 dhe shkronja </w:t>
      </w:r>
      <w:r w:rsidR="00123B24">
        <w:rPr>
          <w:rFonts w:ascii="Garamond" w:eastAsiaTheme="minorHAnsi" w:hAnsi="Garamond"/>
          <w:b/>
          <w:bCs/>
          <w:lang w:eastAsia="en-US"/>
        </w:rPr>
        <w:t>“</w:t>
      </w:r>
      <w:r w:rsidR="00990EF3" w:rsidRPr="00180F73">
        <w:rPr>
          <w:rFonts w:ascii="Garamond" w:eastAsiaTheme="minorHAnsi" w:hAnsi="Garamond"/>
          <w:b/>
          <w:bCs/>
          <w:lang w:eastAsia="en-US"/>
        </w:rPr>
        <w:t>b</w:t>
      </w:r>
      <w:r w:rsidR="00123B24">
        <w:rPr>
          <w:rFonts w:ascii="Garamond" w:eastAsiaTheme="minorHAnsi" w:hAnsi="Garamond"/>
          <w:b/>
          <w:bCs/>
          <w:lang w:eastAsia="en-US"/>
        </w:rPr>
        <w:t>”</w:t>
      </w:r>
      <w:r w:rsidR="00990EF3" w:rsidRPr="00180F73">
        <w:rPr>
          <w:rFonts w:ascii="Garamond" w:eastAsiaTheme="minorHAnsi" w:hAnsi="Garamond"/>
          <w:b/>
          <w:bCs/>
          <w:lang w:eastAsia="en-US"/>
        </w:rPr>
        <w:t xml:space="preserve"> e paragrafit të dytë të pikës 4 të nenit 5 dhe për përcaktimin e përhapjes së mundshme të dëmtuesit të specifikuar në përputhje me shkronjën </w:t>
      </w:r>
      <w:r w:rsidR="00123B24">
        <w:rPr>
          <w:rFonts w:ascii="Garamond" w:eastAsiaTheme="minorHAnsi" w:hAnsi="Garamond"/>
          <w:b/>
          <w:bCs/>
          <w:lang w:eastAsia="en-US"/>
        </w:rPr>
        <w:t>“</w:t>
      </w:r>
      <w:r w:rsidR="00990EF3" w:rsidRPr="00180F73">
        <w:rPr>
          <w:rFonts w:ascii="Garamond" w:eastAsiaTheme="minorHAnsi" w:hAnsi="Garamond"/>
          <w:b/>
          <w:bCs/>
          <w:lang w:eastAsia="en-US"/>
        </w:rPr>
        <w:t>c</w:t>
      </w:r>
      <w:r w:rsidR="00123B24">
        <w:rPr>
          <w:rFonts w:ascii="Garamond" w:eastAsiaTheme="minorHAnsi" w:hAnsi="Garamond"/>
          <w:b/>
          <w:bCs/>
          <w:lang w:eastAsia="en-US"/>
        </w:rPr>
        <w:t xml:space="preserve">” </w:t>
      </w:r>
      <w:r w:rsidR="00990EF3" w:rsidRPr="00180F73">
        <w:rPr>
          <w:rFonts w:ascii="Garamond" w:eastAsiaTheme="minorHAnsi" w:hAnsi="Garamond"/>
          <w:b/>
          <w:bCs/>
          <w:lang w:eastAsia="en-US"/>
        </w:rPr>
        <w:t xml:space="preserve">të pikës 2 të nenit 5 dhe shkronjës </w:t>
      </w:r>
      <w:r w:rsidR="00123B24">
        <w:rPr>
          <w:rFonts w:ascii="Garamond" w:eastAsiaTheme="minorHAnsi" w:hAnsi="Garamond"/>
          <w:b/>
          <w:bCs/>
          <w:lang w:eastAsia="en-US"/>
        </w:rPr>
        <w:t>“</w:t>
      </w:r>
      <w:r w:rsidR="00990EF3" w:rsidRPr="00180F73">
        <w:rPr>
          <w:rFonts w:ascii="Garamond" w:eastAsiaTheme="minorHAnsi" w:hAnsi="Garamond"/>
          <w:b/>
          <w:bCs/>
          <w:lang w:eastAsia="en-US"/>
        </w:rPr>
        <w:t>b</w:t>
      </w:r>
      <w:r w:rsidR="00123B24">
        <w:rPr>
          <w:rFonts w:ascii="Garamond" w:eastAsiaTheme="minorHAnsi" w:hAnsi="Garamond"/>
          <w:b/>
          <w:bCs/>
          <w:lang w:eastAsia="en-US"/>
        </w:rPr>
        <w:t xml:space="preserve">” </w:t>
      </w:r>
      <w:r w:rsidR="00990EF3" w:rsidRPr="00180F73">
        <w:rPr>
          <w:rFonts w:ascii="Garamond" w:eastAsiaTheme="minorHAnsi" w:hAnsi="Garamond"/>
          <w:b/>
          <w:bCs/>
          <w:lang w:eastAsia="en-US"/>
        </w:rPr>
        <w:t>paragrafit të parë të pikës 4 të nenit 5</w:t>
      </w:r>
    </w:p>
    <w:p w14:paraId="7FBE426D" w14:textId="34E3F6DF"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1. Element</w:t>
      </w:r>
      <w:r w:rsidR="003000E8">
        <w:rPr>
          <w:rFonts w:ascii="Garamond" w:eastAsiaTheme="minorHAnsi" w:hAnsi="Garamond"/>
          <w:lang w:eastAsia="en-US"/>
        </w:rPr>
        <w:t>e</w:t>
      </w:r>
      <w:r w:rsidRPr="00180F73">
        <w:rPr>
          <w:rFonts w:ascii="Garamond" w:eastAsiaTheme="minorHAnsi" w:hAnsi="Garamond"/>
          <w:lang w:eastAsia="en-US"/>
        </w:rPr>
        <w:t xml:space="preserve">t që merren parasysh për përcaktimin e një rasti si të infektuar me gjasë nga dëmtuesi i specifikuar në përputhje me shkronjën </w:t>
      </w:r>
      <w:r w:rsidR="00123B24">
        <w:rPr>
          <w:rFonts w:ascii="Garamond" w:eastAsiaTheme="minorHAnsi" w:hAnsi="Garamond"/>
          <w:lang w:eastAsia="en-US"/>
        </w:rPr>
        <w:t>“</w:t>
      </w:r>
      <w:r w:rsidRPr="00180F73">
        <w:rPr>
          <w:rFonts w:ascii="Garamond" w:eastAsiaTheme="minorHAnsi" w:hAnsi="Garamond"/>
          <w:lang w:eastAsia="en-US"/>
        </w:rPr>
        <w:t>ii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lang w:eastAsia="en-US"/>
        </w:rPr>
        <w:t>b</w:t>
      </w:r>
      <w:r w:rsidR="00123B24">
        <w:rPr>
          <w:rFonts w:ascii="Garamond" w:eastAsiaTheme="minorHAnsi" w:hAnsi="Garamond"/>
          <w:lang w:eastAsia="en-US"/>
        </w:rPr>
        <w:t>”</w:t>
      </w:r>
      <w:r w:rsidRPr="00180F73">
        <w:rPr>
          <w:rFonts w:ascii="Garamond" w:eastAsiaTheme="minorHAnsi" w:hAnsi="Garamond"/>
          <w:lang w:eastAsia="en-US"/>
        </w:rPr>
        <w:t xml:space="preserve"> të pikës 2 të nenin 5, dhe nënparagrafi e dytë të shkronjës</w:t>
      </w:r>
      <w:r w:rsidR="00123B24">
        <w:rPr>
          <w:rFonts w:ascii="Garamond" w:eastAsiaTheme="minorHAnsi" w:hAnsi="Garamond"/>
          <w:lang w:eastAsia="en-US"/>
        </w:rPr>
        <w:t xml:space="preserve"> “</w:t>
      </w:r>
      <w:r w:rsidRPr="00180F73">
        <w:rPr>
          <w:rFonts w:ascii="Garamond" w:eastAsiaTheme="minorHAnsi" w:hAnsi="Garamond"/>
          <w:lang w:eastAsia="en-US"/>
        </w:rPr>
        <w:t>b</w:t>
      </w:r>
      <w:r w:rsidR="00123B24">
        <w:rPr>
          <w:rFonts w:ascii="Garamond" w:eastAsiaTheme="minorHAnsi" w:hAnsi="Garamond"/>
          <w:lang w:eastAsia="en-US"/>
        </w:rPr>
        <w:t>”</w:t>
      </w:r>
      <w:r w:rsidRPr="00180F73">
        <w:rPr>
          <w:rFonts w:ascii="Garamond" w:eastAsiaTheme="minorHAnsi" w:hAnsi="Garamond"/>
          <w:lang w:eastAsia="en-US"/>
        </w:rPr>
        <w:t xml:space="preserve"> të pikës 4 të nenit 5, janë si më poshtë:</w:t>
      </w:r>
    </w:p>
    <w:p w14:paraId="415B3BF3" w14:textId="7AFF20CC"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a) bimët e specifikuara të rritura në një vend prodhimi të përcaktuar si të infektuar në përputhje me shkronjën</w:t>
      </w:r>
      <w:r w:rsid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 </w:t>
      </w:r>
    </w:p>
    <w:p w14:paraId="7AEF06B3" w14:textId="75D41BA9"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b) vendi</w:t>
      </w:r>
      <w:r w:rsidR="00123B24">
        <w:rPr>
          <w:rFonts w:ascii="Garamond" w:eastAsiaTheme="minorHAnsi" w:hAnsi="Garamond"/>
          <w:lang w:eastAsia="en-US"/>
        </w:rPr>
        <w:t>/</w:t>
      </w:r>
      <w:r w:rsidRPr="00180F73">
        <w:rPr>
          <w:rFonts w:ascii="Garamond" w:eastAsiaTheme="minorHAnsi" w:hAnsi="Garamond"/>
          <w:lang w:eastAsia="en-US"/>
        </w:rPr>
        <w:t>et e prodhimit me ndonjë hallkë prodhimi me bimët e specifikuara të përcaktuara si të infektuara në përputhje me shkronjën</w:t>
      </w:r>
      <w:r w:rsid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 duke përfshirë ato që ndajnë pajisjet dhe pajisjet e prodhimit drejtpërdrejt ose nëpërmjet një kontraktori të përbashkët;</w:t>
      </w:r>
    </w:p>
    <w:p w14:paraId="566C8376" w14:textId="330A6638"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xml:space="preserve">c) bimët e specifikuara të prodhuara në vendet e prodhimit të përmendura në shkronjën </w:t>
      </w:r>
      <w:r w:rsidR="00123B24">
        <w:rPr>
          <w:rFonts w:ascii="Garamond" w:eastAsiaTheme="minorHAnsi" w:hAnsi="Garamond"/>
          <w:lang w:eastAsia="en-US"/>
        </w:rPr>
        <w:t>“</w:t>
      </w:r>
      <w:r w:rsidRPr="00180F73">
        <w:rPr>
          <w:rFonts w:ascii="Garamond" w:eastAsiaTheme="minorHAnsi" w:hAnsi="Garamond"/>
          <w:lang w:eastAsia="en-US"/>
        </w:rPr>
        <w:t>b</w:t>
      </w:r>
      <w:r w:rsidR="00123B24">
        <w:rPr>
          <w:rFonts w:ascii="Garamond" w:eastAsiaTheme="minorHAnsi" w:hAnsi="Garamond"/>
          <w:lang w:eastAsia="en-US"/>
        </w:rPr>
        <w:t>”</w:t>
      </w:r>
      <w:r w:rsidRPr="00180F73">
        <w:rPr>
          <w:rFonts w:ascii="Garamond" w:eastAsiaTheme="minorHAnsi" w:hAnsi="Garamond"/>
          <w:lang w:eastAsia="en-US"/>
        </w:rPr>
        <w:t xml:space="preserve"> ose të pranishme në këto vende prodhimi gjatë periudhës kur bimët e specifikuara janë përcaktuar si të infektuara</w:t>
      </w:r>
      <w:r w:rsidR="00123B24">
        <w:rPr>
          <w:rFonts w:ascii="Garamond" w:eastAsiaTheme="minorHAnsi" w:hAnsi="Garamond"/>
          <w:lang w:eastAsia="en-US"/>
        </w:rPr>
        <w:t>,</w:t>
      </w:r>
      <w:r w:rsidRPr="00180F73">
        <w:rPr>
          <w:rFonts w:ascii="Garamond" w:eastAsiaTheme="minorHAnsi" w:hAnsi="Garamond"/>
          <w:lang w:eastAsia="en-US"/>
        </w:rPr>
        <w:t xml:space="preserve"> në përputhje me shkronjën nenin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 pika ishin të pranishme në vendin e prodhimit të përmendur në shkronjën </w:t>
      </w:r>
      <w:r w:rsidR="00123B24">
        <w:rPr>
          <w:rFonts w:ascii="Garamond" w:eastAsiaTheme="minorHAnsi" w:hAnsi="Garamond"/>
          <w:lang w:eastAsia="en-US"/>
        </w:rPr>
        <w:t>“</w:t>
      </w:r>
      <w:r w:rsidRPr="00180F73">
        <w:rPr>
          <w:rFonts w:ascii="Garamond" w:eastAsiaTheme="minorHAnsi" w:hAnsi="Garamond"/>
          <w:lang w:eastAsia="en-US"/>
        </w:rPr>
        <w:t>a</w:t>
      </w:r>
      <w:r w:rsidR="00123B24">
        <w:rPr>
          <w:rFonts w:ascii="Garamond" w:eastAsiaTheme="minorHAnsi" w:hAnsi="Garamond"/>
          <w:lang w:eastAsia="en-US"/>
        </w:rPr>
        <w:t>”</w:t>
      </w:r>
      <w:r w:rsidRPr="00180F73">
        <w:rPr>
          <w:rFonts w:ascii="Garamond" w:eastAsiaTheme="minorHAnsi" w:hAnsi="Garamond"/>
          <w:lang w:eastAsia="en-US"/>
        </w:rPr>
        <w:t>;</w:t>
      </w:r>
    </w:p>
    <w:p w14:paraId="347E3BBA" w14:textId="6A83972E"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bCs/>
          <w:lang w:eastAsia="en-US"/>
        </w:rPr>
        <w:t>ç</w:t>
      </w:r>
      <w:r w:rsidRPr="00180F73">
        <w:rPr>
          <w:rFonts w:ascii="Garamond" w:eastAsiaTheme="minorHAnsi" w:hAnsi="Garamond"/>
          <w:lang w:eastAsia="en-US"/>
        </w:rPr>
        <w:t xml:space="preserve">) ambientet që trajtojnë bimët e specifikuara nga vendet e prodhimit të përmendura në shkronjat </w:t>
      </w:r>
      <w:r w:rsidR="00123B24">
        <w:rPr>
          <w:rFonts w:ascii="Garamond" w:eastAsiaTheme="minorHAnsi" w:hAnsi="Garamond"/>
          <w:lang w:eastAsia="en-US"/>
        </w:rPr>
        <w:t>“</w:t>
      </w:r>
      <w:r w:rsidRPr="00180F73">
        <w:rPr>
          <w:rFonts w:ascii="Garamond" w:eastAsiaTheme="minorHAnsi" w:hAnsi="Garamond"/>
          <w:lang w:eastAsia="en-US"/>
        </w:rPr>
        <w:t>a</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lang w:eastAsia="en-US"/>
        </w:rPr>
        <w:t>b</w:t>
      </w:r>
      <w:r w:rsidR="00123B24">
        <w:rPr>
          <w:rFonts w:ascii="Garamond" w:eastAsiaTheme="minorHAnsi" w:hAnsi="Garamond"/>
          <w:lang w:eastAsia="en-US"/>
        </w:rPr>
        <w:t>”</w:t>
      </w:r>
      <w:r w:rsidRPr="00180F73">
        <w:rPr>
          <w:rFonts w:ascii="Garamond" w:eastAsiaTheme="minorHAnsi" w:hAnsi="Garamond"/>
          <w:lang w:eastAsia="en-US"/>
        </w:rPr>
        <w:t xml:space="preserve"> dhe </w:t>
      </w:r>
      <w:r w:rsidR="00123B24">
        <w:rPr>
          <w:rFonts w:ascii="Garamond" w:eastAsiaTheme="minorHAnsi" w:hAnsi="Garamond"/>
          <w:lang w:eastAsia="en-US"/>
        </w:rPr>
        <w:t>“</w:t>
      </w:r>
      <w:r w:rsidRPr="00180F73">
        <w:rPr>
          <w:rFonts w:ascii="Garamond" w:eastAsiaTheme="minorHAnsi" w:hAnsi="Garamond"/>
          <w:lang w:eastAsia="en-US"/>
        </w:rPr>
        <w:t>c</w:t>
      </w:r>
      <w:r w:rsidR="00123B24">
        <w:rPr>
          <w:rFonts w:ascii="Garamond" w:eastAsiaTheme="minorHAnsi" w:hAnsi="Garamond"/>
          <w:lang w:eastAsia="en-US"/>
        </w:rPr>
        <w:t>”</w:t>
      </w:r>
      <w:r w:rsidRPr="00180F73">
        <w:rPr>
          <w:rFonts w:ascii="Garamond" w:eastAsiaTheme="minorHAnsi" w:hAnsi="Garamond"/>
          <w:lang w:eastAsia="en-US"/>
        </w:rPr>
        <w:t>;</w:t>
      </w:r>
    </w:p>
    <w:p w14:paraId="6EFE18DC" w14:textId="400EF7B7"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d) çdo makineri, automjet, anije, magazinë ose njësi të tyre, dhe çdo objekt tjetër, duke përfshirë materialin e ambalazhit, që mund të ketë rënë në kontakt me bimët e specifikuara të përcaktuara si të infektuara</w:t>
      </w:r>
      <w:r w:rsidR="00123B24">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w:t>
      </w:r>
      <w:r w:rsidRPr="00180F73">
        <w:rPr>
          <w:rFonts w:ascii="Garamond" w:eastAsiaTheme="minorHAnsi" w:hAnsi="Garamond"/>
          <w:lang w:eastAsia="en-US"/>
        </w:rPr>
        <w:t xml:space="preserve">, </w:t>
      </w:r>
      <w:r w:rsidR="00123B24">
        <w:rPr>
          <w:rFonts w:ascii="Garamond" w:eastAsiaTheme="minorHAnsi" w:hAnsi="Garamond"/>
          <w:lang w:eastAsia="en-US"/>
        </w:rPr>
        <w:t>“</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 të nenit 5;</w:t>
      </w:r>
    </w:p>
    <w:p w14:paraId="736026D9" w14:textId="7E4D6565"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e) ndonjë nga bimët e specifikuara të ruajtura ose në kontakt me ndonjë nga strukturat ose objektet e renditura në pikën e mëparshme, përpara pastrimit dhe dezinfektimit të strukturave dhe objekteve të tilla;</w:t>
      </w:r>
    </w:p>
    <w:p w14:paraId="28267A80" w14:textId="40A52E65" w:rsidR="00990EF3" w:rsidRPr="00180F73" w:rsidRDefault="00990EF3" w:rsidP="00990EF3">
      <w:pPr>
        <w:ind w:firstLine="284"/>
        <w:jc w:val="both"/>
        <w:rPr>
          <w:rFonts w:ascii="Garamond" w:hAnsi="Garamond"/>
        </w:rPr>
      </w:pPr>
      <w:r w:rsidRPr="00180F73">
        <w:rPr>
          <w:rFonts w:ascii="Garamond" w:eastAsiaTheme="minorHAnsi" w:hAnsi="Garamond"/>
          <w:lang w:eastAsia="en-US"/>
        </w:rPr>
        <w:t xml:space="preserve">ë) si rezultat i hulumtimit dhe testimit në përputhje me shkronjën nenin </w:t>
      </w:r>
      <w:r w:rsidR="00123B24">
        <w:rPr>
          <w:rFonts w:ascii="Garamond" w:eastAsiaTheme="minorHAnsi" w:hAnsi="Garamond"/>
          <w:lang w:eastAsia="en-US"/>
        </w:rPr>
        <w:t>“</w:t>
      </w:r>
      <w:r w:rsidRPr="00180F73">
        <w:rPr>
          <w:rFonts w:ascii="Garamond" w:eastAsiaTheme="minorHAnsi" w:hAnsi="Garamond"/>
          <w:lang w:eastAsia="en-US"/>
        </w:rPr>
        <w:t>a</w:t>
      </w:r>
      <w:r w:rsidR="00123B24">
        <w:rPr>
          <w:rFonts w:ascii="Garamond" w:eastAsiaTheme="minorHAnsi" w:hAnsi="Garamond"/>
          <w:lang w:eastAsia="en-US"/>
        </w:rPr>
        <w:t>”,</w:t>
      </w:r>
      <w:r w:rsidRPr="00180F73">
        <w:rPr>
          <w:rFonts w:ascii="Garamond" w:eastAsiaTheme="minorHAnsi" w:hAnsi="Garamond"/>
          <w:lang w:eastAsia="en-US"/>
        </w:rPr>
        <w:t xml:space="preserve"> të pikës 2</w:t>
      </w:r>
      <w:r w:rsidR="00123B24">
        <w:rPr>
          <w:rFonts w:ascii="Garamond" w:eastAsiaTheme="minorHAnsi" w:hAnsi="Garamond"/>
          <w:lang w:eastAsia="en-US"/>
        </w:rPr>
        <w:t>,</w:t>
      </w:r>
      <w:r w:rsidRPr="00180F73">
        <w:rPr>
          <w:rFonts w:ascii="Garamond" w:eastAsiaTheme="minorHAnsi" w:hAnsi="Garamond"/>
          <w:lang w:eastAsia="en-US"/>
        </w:rPr>
        <w:t xml:space="preserve"> të nenit 5, pika në rastin e patateve, ato zhardhokët ose bimët e klonuara gjenetikisht të njëjta, dhe në rastin e domates, ato bimë me të njëjtin burim si bimët e specifikuara të përcaktuara për t</w:t>
      </w:r>
      <w:r w:rsidR="00123B24">
        <w:rPr>
          <w:rFonts w:ascii="Garamond" w:eastAsiaTheme="minorHAnsi" w:hAnsi="Garamond"/>
          <w:lang w:eastAsia="en-US"/>
        </w:rPr>
        <w:t>’</w:t>
      </w:r>
      <w:r w:rsidRPr="00180F73">
        <w:rPr>
          <w:rFonts w:ascii="Garamond" w:eastAsiaTheme="minorHAnsi" w:hAnsi="Garamond"/>
          <w:lang w:eastAsia="en-US"/>
        </w:rPr>
        <w:t>u infektuar</w:t>
      </w:r>
      <w:r w:rsidR="00123B24">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123B24">
        <w:rPr>
          <w:rFonts w:ascii="Garamond" w:eastAsiaTheme="minorHAnsi" w:hAnsi="Garamond"/>
          <w:lang w:eastAsia="en-US"/>
        </w:rPr>
        <w:t>“</w:t>
      </w:r>
      <w:r w:rsidRPr="00180F73">
        <w:rPr>
          <w:rFonts w:ascii="Garamond" w:eastAsiaTheme="minorHAnsi" w:hAnsi="Garamond"/>
          <w:lang w:eastAsia="en-US"/>
        </w:rPr>
        <w:t>i</w:t>
      </w:r>
      <w:r w:rsidR="00123B24">
        <w:rPr>
          <w:rFonts w:ascii="Garamond" w:eastAsiaTheme="minorHAnsi" w:hAnsi="Garamond"/>
          <w:lang w:eastAsia="en-US"/>
        </w:rPr>
        <w:t>” “</w:t>
      </w:r>
      <w:r w:rsidRPr="00180F73">
        <w:rPr>
          <w:rFonts w:ascii="Garamond" w:eastAsiaTheme="minorHAnsi" w:hAnsi="Garamond"/>
          <w:bCs/>
          <w:lang w:eastAsia="en-US"/>
        </w:rPr>
        <w:t>ç</w:t>
      </w:r>
      <w:r w:rsidR="00123B24">
        <w:rPr>
          <w:rFonts w:ascii="Garamond" w:eastAsiaTheme="minorHAnsi" w:hAnsi="Garamond"/>
          <w:lang w:eastAsia="en-US"/>
        </w:rPr>
        <w:t>”,</w:t>
      </w:r>
      <w:r w:rsidRPr="00180F73">
        <w:rPr>
          <w:rFonts w:ascii="Garamond" w:eastAsiaTheme="minorHAnsi" w:hAnsi="Garamond"/>
          <w:lang w:eastAsia="en-US"/>
        </w:rPr>
        <w:t xml:space="preserve"> të pikës 2</w:t>
      </w:r>
      <w:r w:rsidR="00123B24">
        <w:rPr>
          <w:rFonts w:ascii="Garamond" w:eastAsiaTheme="minorHAnsi" w:hAnsi="Garamond"/>
          <w:lang w:eastAsia="en-US"/>
        </w:rPr>
        <w:t>,</w:t>
      </w:r>
      <w:r w:rsidRPr="00180F73">
        <w:rPr>
          <w:rFonts w:ascii="Garamond" w:eastAsiaTheme="minorHAnsi" w:hAnsi="Garamond"/>
          <w:lang w:eastAsia="en-US"/>
        </w:rPr>
        <w:t xml:space="preserve"> të nenit 5, dhe për të cilat, megjithëse mund të kenë rezultuar negative për dëmtuesin e specifikuar, duket se infeksioni është e mundshme përmes një lidhje klonale;</w:t>
      </w:r>
    </w:p>
    <w:p w14:paraId="27605961" w14:textId="6698AD08"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f) vendi</w:t>
      </w:r>
      <w:r w:rsidR="0080558D">
        <w:rPr>
          <w:rFonts w:ascii="Garamond" w:eastAsiaTheme="minorHAnsi" w:hAnsi="Garamond"/>
          <w:lang w:eastAsia="en-US"/>
        </w:rPr>
        <w:t>/</w:t>
      </w:r>
      <w:r w:rsidRPr="00180F73">
        <w:rPr>
          <w:rFonts w:ascii="Garamond" w:eastAsiaTheme="minorHAnsi" w:hAnsi="Garamond"/>
          <w:lang w:eastAsia="en-US"/>
        </w:rPr>
        <w:t xml:space="preserve">et e prodhimit të bimëve të specifikuara të përmendura në shkronjën </w:t>
      </w:r>
      <w:r w:rsidR="00123B24">
        <w:rPr>
          <w:rFonts w:ascii="Garamond" w:eastAsiaTheme="minorHAnsi" w:hAnsi="Garamond"/>
          <w:lang w:eastAsia="en-US"/>
        </w:rPr>
        <w:t>“</w:t>
      </w:r>
      <w:r w:rsidRPr="00180F73">
        <w:rPr>
          <w:rFonts w:ascii="Garamond" w:eastAsiaTheme="minorHAnsi" w:hAnsi="Garamond"/>
          <w:lang w:eastAsia="en-US"/>
        </w:rPr>
        <w:t>ë</w:t>
      </w:r>
      <w:r w:rsidR="00123B24">
        <w:rPr>
          <w:rFonts w:ascii="Garamond" w:eastAsiaTheme="minorHAnsi" w:hAnsi="Garamond"/>
          <w:lang w:eastAsia="en-US"/>
        </w:rPr>
        <w:t>”</w:t>
      </w:r>
      <w:r w:rsidRPr="00180F73">
        <w:rPr>
          <w:rFonts w:ascii="Garamond" w:eastAsiaTheme="minorHAnsi" w:hAnsi="Garamond"/>
          <w:lang w:eastAsia="en-US"/>
        </w:rPr>
        <w:t>;</w:t>
      </w:r>
    </w:p>
    <w:p w14:paraId="75DF2227" w14:textId="176D4BFD"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lastRenderedPageBreak/>
        <w:t>i) vendi</w:t>
      </w:r>
      <w:r w:rsidR="0080558D">
        <w:rPr>
          <w:rFonts w:ascii="Garamond" w:eastAsiaTheme="minorHAnsi" w:hAnsi="Garamond"/>
          <w:lang w:eastAsia="en-US"/>
        </w:rPr>
        <w:t>/</w:t>
      </w:r>
      <w:r w:rsidRPr="00180F73">
        <w:rPr>
          <w:rFonts w:ascii="Garamond" w:eastAsiaTheme="minorHAnsi" w:hAnsi="Garamond"/>
          <w:lang w:eastAsia="en-US"/>
        </w:rPr>
        <w:t xml:space="preserve">et e prodhimit të bimëve të specifikuara që përdorin ujë për ujitje ose spërkatje të përcaktuara si të infektuara sipas nënparagrafi të tretë të shkronjës </w:t>
      </w:r>
      <w:r w:rsidR="005905D4">
        <w:rPr>
          <w:rFonts w:ascii="Garamond" w:eastAsiaTheme="minorHAnsi" w:hAnsi="Garamond"/>
          <w:lang w:eastAsia="en-US"/>
        </w:rPr>
        <w:t>“</w:t>
      </w:r>
      <w:r w:rsidRPr="00180F73">
        <w:rPr>
          <w:rFonts w:ascii="Garamond" w:eastAsiaTheme="minorHAnsi" w:hAnsi="Garamond"/>
          <w:lang w:eastAsia="en-US"/>
        </w:rPr>
        <w:t>a</w:t>
      </w:r>
      <w:r w:rsidR="005905D4">
        <w:rPr>
          <w:rFonts w:ascii="Garamond" w:eastAsiaTheme="minorHAnsi" w:hAnsi="Garamond"/>
          <w:lang w:eastAsia="en-US"/>
        </w:rPr>
        <w:t>”,</w:t>
      </w:r>
      <w:r w:rsidRPr="00180F73">
        <w:rPr>
          <w:rFonts w:ascii="Garamond" w:eastAsiaTheme="minorHAnsi" w:hAnsi="Garamond"/>
          <w:lang w:eastAsia="en-US"/>
        </w:rPr>
        <w:t xml:space="preserve"> të pikës 4</w:t>
      </w:r>
      <w:r w:rsidR="005905D4">
        <w:rPr>
          <w:rFonts w:ascii="Garamond" w:eastAsiaTheme="minorHAnsi" w:hAnsi="Garamond"/>
          <w:lang w:eastAsia="en-US"/>
        </w:rPr>
        <w:t>,</w:t>
      </w:r>
      <w:r w:rsidRPr="00180F73">
        <w:rPr>
          <w:rFonts w:ascii="Garamond" w:eastAsiaTheme="minorHAnsi" w:hAnsi="Garamond"/>
          <w:lang w:eastAsia="en-US"/>
        </w:rPr>
        <w:t xml:space="preserve"> të nenit 5;</w:t>
      </w:r>
    </w:p>
    <w:p w14:paraId="62F05C99" w14:textId="7DD825EB"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g) bimët e specifikuara të prodhuara në vendet e prodhimit të përmbytura me ujë sipërfaqësor të konfirmuar të infektuar.</w:t>
      </w:r>
    </w:p>
    <w:p w14:paraId="1271EC8C" w14:textId="6BB55D9D"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2. Element</w:t>
      </w:r>
      <w:r w:rsidR="008E21ED">
        <w:rPr>
          <w:rFonts w:ascii="Garamond" w:eastAsiaTheme="minorHAnsi" w:hAnsi="Garamond"/>
          <w:lang w:eastAsia="en-US"/>
        </w:rPr>
        <w:t>e</w:t>
      </w:r>
      <w:r w:rsidRPr="00180F73">
        <w:rPr>
          <w:rFonts w:ascii="Garamond" w:eastAsiaTheme="minorHAnsi" w:hAnsi="Garamond"/>
          <w:lang w:eastAsia="en-US"/>
        </w:rPr>
        <w:t>t që duhen marrë parasysh në përcaktimin e përhapjes së mundshme të dëmtuesit të specifikuar</w:t>
      </w:r>
      <w:r w:rsidR="005905D4">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5905D4">
        <w:rPr>
          <w:rFonts w:ascii="Garamond" w:eastAsiaTheme="minorHAnsi" w:hAnsi="Garamond"/>
          <w:lang w:eastAsia="en-US"/>
        </w:rPr>
        <w:t>“</w:t>
      </w:r>
      <w:r w:rsidRPr="00180F73">
        <w:rPr>
          <w:rFonts w:ascii="Garamond" w:eastAsiaTheme="minorHAnsi" w:hAnsi="Garamond"/>
          <w:lang w:eastAsia="en-US"/>
        </w:rPr>
        <w:t>c</w:t>
      </w:r>
      <w:r w:rsidR="005905D4">
        <w:rPr>
          <w:rFonts w:ascii="Garamond" w:eastAsiaTheme="minorHAnsi" w:hAnsi="Garamond"/>
          <w:lang w:eastAsia="en-US"/>
        </w:rPr>
        <w:t>”,</w:t>
      </w:r>
      <w:r w:rsidRPr="00180F73">
        <w:rPr>
          <w:rFonts w:ascii="Garamond" w:eastAsiaTheme="minorHAnsi" w:hAnsi="Garamond"/>
          <w:lang w:eastAsia="en-US"/>
        </w:rPr>
        <w:t xml:space="preserve"> të pikës 2</w:t>
      </w:r>
      <w:r w:rsidR="005905D4">
        <w:rPr>
          <w:rFonts w:ascii="Garamond" w:eastAsiaTheme="minorHAnsi" w:hAnsi="Garamond"/>
          <w:lang w:eastAsia="en-US"/>
        </w:rPr>
        <w:t>,</w:t>
      </w:r>
      <w:r w:rsidRPr="00180F73">
        <w:rPr>
          <w:rFonts w:ascii="Garamond" w:eastAsiaTheme="minorHAnsi" w:hAnsi="Garamond"/>
          <w:lang w:eastAsia="en-US"/>
        </w:rPr>
        <w:t xml:space="preserve"> të nenit 5 dhe nënparagrafi të</w:t>
      </w:r>
      <w:r w:rsidR="00180F73">
        <w:rPr>
          <w:rFonts w:ascii="Garamond" w:eastAsiaTheme="minorHAnsi" w:hAnsi="Garamond"/>
          <w:lang w:eastAsia="en-US"/>
        </w:rPr>
        <w:t xml:space="preserve"> </w:t>
      </w:r>
      <w:r w:rsidRPr="00180F73">
        <w:rPr>
          <w:rFonts w:ascii="Garamond" w:eastAsiaTheme="minorHAnsi" w:hAnsi="Garamond"/>
          <w:lang w:eastAsia="en-US"/>
        </w:rPr>
        <w:t>parë të</w:t>
      </w:r>
      <w:r w:rsidR="00180F73">
        <w:rPr>
          <w:rFonts w:ascii="Garamond" w:eastAsiaTheme="minorHAnsi" w:hAnsi="Garamond"/>
          <w:lang w:eastAsia="en-US"/>
        </w:rPr>
        <w:t xml:space="preserve"> </w:t>
      </w:r>
      <w:r w:rsidRPr="00180F73">
        <w:rPr>
          <w:rFonts w:ascii="Garamond" w:eastAsiaTheme="minorHAnsi" w:hAnsi="Garamond"/>
          <w:lang w:eastAsia="en-US"/>
        </w:rPr>
        <w:t xml:space="preserve">shkronjës </w:t>
      </w:r>
      <w:r w:rsidR="005905D4">
        <w:rPr>
          <w:rFonts w:ascii="Garamond" w:eastAsiaTheme="minorHAnsi" w:hAnsi="Garamond"/>
          <w:lang w:eastAsia="en-US"/>
        </w:rPr>
        <w:t>“</w:t>
      </w:r>
      <w:r w:rsidRPr="00180F73">
        <w:rPr>
          <w:rFonts w:ascii="Garamond" w:eastAsiaTheme="minorHAnsi" w:hAnsi="Garamond"/>
          <w:lang w:eastAsia="en-US"/>
        </w:rPr>
        <w:t>b</w:t>
      </w:r>
      <w:r w:rsidR="005905D4">
        <w:rPr>
          <w:rFonts w:ascii="Garamond" w:eastAsiaTheme="minorHAnsi" w:hAnsi="Garamond"/>
          <w:lang w:eastAsia="en-US"/>
        </w:rPr>
        <w:t>”,</w:t>
      </w:r>
      <w:r w:rsidRPr="00180F73">
        <w:rPr>
          <w:rFonts w:ascii="Garamond" w:eastAsiaTheme="minorHAnsi" w:hAnsi="Garamond"/>
          <w:lang w:eastAsia="en-US"/>
        </w:rPr>
        <w:t xml:space="preserve"> të pikës 4</w:t>
      </w:r>
      <w:r w:rsidR="005905D4">
        <w:rPr>
          <w:rFonts w:ascii="Garamond" w:eastAsiaTheme="minorHAnsi" w:hAnsi="Garamond"/>
          <w:lang w:eastAsia="en-US"/>
        </w:rPr>
        <w:t>,</w:t>
      </w:r>
      <w:r w:rsidRPr="00180F73">
        <w:rPr>
          <w:rFonts w:ascii="Garamond" w:eastAsiaTheme="minorHAnsi" w:hAnsi="Garamond"/>
          <w:lang w:eastAsia="en-US"/>
        </w:rPr>
        <w:t xml:space="preserve"> të nenit 5, janë si më poshtë:</w:t>
      </w:r>
    </w:p>
    <w:p w14:paraId="24C369C8" w14:textId="5EE1E61F"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xml:space="preserve">a) në zonën e shënuar si të përcaktuar në bazë të shkronjës </w:t>
      </w:r>
      <w:r w:rsidR="003014E0">
        <w:rPr>
          <w:rFonts w:ascii="Garamond" w:eastAsiaTheme="minorHAnsi" w:hAnsi="Garamond"/>
          <w:lang w:eastAsia="en-US"/>
        </w:rPr>
        <w:t>“</w:t>
      </w:r>
      <w:r w:rsidRPr="00180F73">
        <w:rPr>
          <w:rFonts w:ascii="Garamond" w:eastAsiaTheme="minorHAnsi" w:hAnsi="Garamond"/>
          <w:lang w:eastAsia="en-US"/>
        </w:rPr>
        <w:t>b</w:t>
      </w:r>
      <w:r w:rsidR="003014E0">
        <w:rPr>
          <w:rFonts w:ascii="Garamond" w:eastAsiaTheme="minorHAnsi" w:hAnsi="Garamond"/>
          <w:lang w:eastAsia="en-US"/>
        </w:rPr>
        <w:t>”,</w:t>
      </w:r>
      <w:r w:rsidRPr="00180F73">
        <w:rPr>
          <w:rFonts w:ascii="Garamond" w:eastAsiaTheme="minorHAnsi" w:hAnsi="Garamond"/>
          <w:lang w:eastAsia="en-US"/>
        </w:rPr>
        <w:t xml:space="preserve"> të pikës 2</w:t>
      </w:r>
      <w:r w:rsidR="003014E0">
        <w:rPr>
          <w:rFonts w:ascii="Garamond" w:eastAsiaTheme="minorHAnsi" w:hAnsi="Garamond"/>
          <w:lang w:eastAsia="en-US"/>
        </w:rPr>
        <w:t>,</w:t>
      </w:r>
      <w:r w:rsidRPr="00180F73">
        <w:rPr>
          <w:rFonts w:ascii="Garamond" w:eastAsiaTheme="minorHAnsi" w:hAnsi="Garamond"/>
          <w:lang w:eastAsia="en-US"/>
        </w:rPr>
        <w:t xml:space="preserve"> të nenit 5:</w:t>
      </w:r>
    </w:p>
    <w:p w14:paraId="77BDE43C" w14:textId="69EA2AAF"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w:t>
      </w:r>
      <w:r w:rsidR="005905D4">
        <w:rPr>
          <w:rFonts w:ascii="Garamond" w:eastAsiaTheme="minorHAnsi" w:hAnsi="Garamond"/>
          <w:lang w:eastAsia="en-US"/>
        </w:rPr>
        <w:t>.</w:t>
      </w:r>
      <w:r w:rsidRPr="00180F73">
        <w:rPr>
          <w:rFonts w:ascii="Garamond" w:eastAsiaTheme="minorHAnsi" w:hAnsi="Garamond"/>
          <w:lang w:eastAsia="en-US"/>
        </w:rPr>
        <w:t xml:space="preserve"> afërsia e vendeve të tjera të prodhimit ku rriten bimët e specifikuara</w:t>
      </w:r>
      <w:r w:rsidR="003014E0">
        <w:rPr>
          <w:rFonts w:ascii="Garamond" w:eastAsiaTheme="minorHAnsi" w:hAnsi="Garamond"/>
          <w:lang w:eastAsia="en-US"/>
        </w:rPr>
        <w:t>;</w:t>
      </w:r>
    </w:p>
    <w:p w14:paraId="4AE9D60C" w14:textId="2B978A24"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ii</w:t>
      </w:r>
      <w:r w:rsidR="005905D4">
        <w:rPr>
          <w:rFonts w:ascii="Garamond" w:eastAsiaTheme="minorHAnsi" w:hAnsi="Garamond"/>
          <w:lang w:eastAsia="en-US"/>
        </w:rPr>
        <w:t>.</w:t>
      </w:r>
      <w:r w:rsidRPr="00180F73">
        <w:rPr>
          <w:rFonts w:ascii="Garamond" w:eastAsiaTheme="minorHAnsi" w:hAnsi="Garamond"/>
          <w:lang w:eastAsia="en-US"/>
        </w:rPr>
        <w:t xml:space="preserve"> prodhimi dhe përdorimi i përbashkët i rezervave të zhardhokëve për mbjellje;</w:t>
      </w:r>
    </w:p>
    <w:p w14:paraId="07C554C4" w14:textId="755D69B4"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iii</w:t>
      </w:r>
      <w:r w:rsidR="005905D4">
        <w:rPr>
          <w:rFonts w:ascii="Garamond" w:eastAsiaTheme="minorHAnsi" w:hAnsi="Garamond"/>
          <w:lang w:eastAsia="en-US"/>
        </w:rPr>
        <w:t>.</w:t>
      </w:r>
      <w:r w:rsidRPr="00180F73">
        <w:rPr>
          <w:rFonts w:ascii="Garamond" w:eastAsiaTheme="minorHAnsi" w:hAnsi="Garamond"/>
          <w:lang w:eastAsia="en-US"/>
        </w:rPr>
        <w:t xml:space="preserve"> vendet e prodhimit që përdorin ujërat sipërfaqësore për ujitje ose spërkatje të bimëve të specifikuara</w:t>
      </w:r>
      <w:r w:rsidR="003014E0">
        <w:rPr>
          <w:rFonts w:ascii="Garamond" w:eastAsiaTheme="minorHAnsi" w:hAnsi="Garamond"/>
          <w:lang w:eastAsia="en-US"/>
        </w:rPr>
        <w:t>,</w:t>
      </w:r>
      <w:r w:rsidRPr="00180F73">
        <w:rPr>
          <w:rFonts w:ascii="Garamond" w:eastAsiaTheme="minorHAnsi" w:hAnsi="Garamond"/>
          <w:lang w:eastAsia="en-US"/>
        </w:rPr>
        <w:t xml:space="preserve"> në rastet kur ka ose ka pasur risk të rrjedhjes së ujit sipërfaqësor nga ose përmbytjes së, vendeve të prodhimit të përcaktuara për t</w:t>
      </w:r>
      <w:r w:rsidR="003014E0">
        <w:rPr>
          <w:rFonts w:ascii="Garamond" w:eastAsiaTheme="minorHAnsi" w:hAnsi="Garamond"/>
          <w:lang w:eastAsia="en-US"/>
        </w:rPr>
        <w:t>’</w:t>
      </w:r>
      <w:r w:rsidRPr="00180F73">
        <w:rPr>
          <w:rFonts w:ascii="Garamond" w:eastAsiaTheme="minorHAnsi" w:hAnsi="Garamond"/>
          <w:lang w:eastAsia="en-US"/>
        </w:rPr>
        <w:t>u infektuar</w:t>
      </w:r>
      <w:r w:rsidR="003014E0">
        <w:rPr>
          <w:rFonts w:ascii="Garamond" w:eastAsiaTheme="minorHAnsi" w:hAnsi="Garamond"/>
          <w:lang w:eastAsia="en-US"/>
        </w:rPr>
        <w:t>,</w:t>
      </w:r>
      <w:r w:rsidRPr="00180F73">
        <w:rPr>
          <w:rFonts w:ascii="Garamond" w:eastAsiaTheme="minorHAnsi" w:hAnsi="Garamond"/>
          <w:lang w:eastAsia="en-US"/>
        </w:rPr>
        <w:t xml:space="preserve"> në përputhje me shkronjën </w:t>
      </w:r>
      <w:r w:rsidR="003014E0">
        <w:rPr>
          <w:rFonts w:ascii="Garamond" w:eastAsiaTheme="minorHAnsi" w:hAnsi="Garamond"/>
          <w:lang w:eastAsia="en-US"/>
        </w:rPr>
        <w:t>“</w:t>
      </w:r>
      <w:r w:rsidRPr="00180F73">
        <w:rPr>
          <w:rFonts w:ascii="Garamond" w:eastAsiaTheme="minorHAnsi" w:hAnsi="Garamond"/>
          <w:lang w:eastAsia="en-US"/>
        </w:rPr>
        <w:t>i</w:t>
      </w:r>
      <w:r w:rsidR="003014E0">
        <w:rPr>
          <w:rFonts w:ascii="Garamond" w:eastAsiaTheme="minorHAnsi" w:hAnsi="Garamond"/>
          <w:lang w:eastAsia="en-US"/>
        </w:rPr>
        <w:t>”, “</w:t>
      </w:r>
      <w:r w:rsidRPr="00180F73">
        <w:rPr>
          <w:rFonts w:ascii="Garamond" w:eastAsiaTheme="minorHAnsi" w:hAnsi="Garamond"/>
          <w:lang w:eastAsia="en-US"/>
        </w:rPr>
        <w:t>b</w:t>
      </w:r>
      <w:r w:rsidR="003014E0">
        <w:rPr>
          <w:rFonts w:ascii="Garamond" w:eastAsiaTheme="minorHAnsi" w:hAnsi="Garamond"/>
          <w:lang w:eastAsia="en-US"/>
        </w:rPr>
        <w:t>”,</w:t>
      </w:r>
      <w:r w:rsidRPr="00180F73">
        <w:rPr>
          <w:rFonts w:ascii="Garamond" w:eastAsiaTheme="minorHAnsi" w:hAnsi="Garamond"/>
          <w:lang w:eastAsia="en-US"/>
        </w:rPr>
        <w:t xml:space="preserve"> të pikës 2 të nenit 5;</w:t>
      </w:r>
    </w:p>
    <w:p w14:paraId="2F2DAA71" w14:textId="20C5A1ED"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b) në rastet kur uji sipërfaqësor është përcaktuar si i infektuar në përputhje me nënparagrafi e tretë të pikës 4 të nenit 5:</w:t>
      </w:r>
    </w:p>
    <w:p w14:paraId="05F07ED5" w14:textId="1BAD226B"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w:t>
      </w:r>
      <w:r w:rsidR="003000E8">
        <w:rPr>
          <w:rFonts w:ascii="Garamond" w:eastAsiaTheme="minorHAnsi" w:hAnsi="Garamond"/>
          <w:lang w:eastAsia="en-US"/>
        </w:rPr>
        <w:t>.</w:t>
      </w:r>
      <w:r w:rsidRPr="00180F73">
        <w:rPr>
          <w:rFonts w:ascii="Garamond" w:eastAsiaTheme="minorHAnsi" w:hAnsi="Garamond"/>
          <w:lang w:eastAsia="en-US"/>
        </w:rPr>
        <w:t xml:space="preserve"> vendi</w:t>
      </w:r>
      <w:r w:rsidR="003000E8">
        <w:rPr>
          <w:rFonts w:ascii="Garamond" w:eastAsiaTheme="minorHAnsi" w:hAnsi="Garamond"/>
          <w:lang w:eastAsia="en-US"/>
        </w:rPr>
        <w:t>/</w:t>
      </w:r>
      <w:r w:rsidRPr="00180F73">
        <w:rPr>
          <w:rFonts w:ascii="Garamond" w:eastAsiaTheme="minorHAnsi" w:hAnsi="Garamond"/>
          <w:lang w:eastAsia="en-US"/>
        </w:rPr>
        <w:t>et e prodhimit që prodhojnë bimë të specifikuara ngjitur ose në risk nga përmbytjet nga uji sipërfaqësor i përcaktuar si i infektuar;</w:t>
      </w:r>
    </w:p>
    <w:p w14:paraId="763E5352" w14:textId="4153BDE6"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ii</w:t>
      </w:r>
      <w:r w:rsidR="003000E8">
        <w:rPr>
          <w:rFonts w:ascii="Garamond" w:eastAsiaTheme="minorHAnsi" w:hAnsi="Garamond"/>
          <w:lang w:eastAsia="en-US"/>
        </w:rPr>
        <w:t>.</w:t>
      </w:r>
      <w:r w:rsidRPr="00180F73">
        <w:rPr>
          <w:rFonts w:ascii="Garamond" w:eastAsiaTheme="minorHAnsi" w:hAnsi="Garamond"/>
          <w:lang w:eastAsia="en-US"/>
        </w:rPr>
        <w:t xml:space="preserve"> çdo basen ujitës të veçantë të lidhur me ujin sipërfaqësor të përcaktuar si të infektuar;</w:t>
      </w:r>
    </w:p>
    <w:p w14:paraId="500F557E" w14:textId="23585252"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iii</w:t>
      </w:r>
      <w:r w:rsidR="003000E8">
        <w:rPr>
          <w:rFonts w:ascii="Garamond" w:eastAsiaTheme="minorHAnsi" w:hAnsi="Garamond"/>
          <w:lang w:eastAsia="en-US"/>
        </w:rPr>
        <w:t>.</w:t>
      </w:r>
      <w:r w:rsidRPr="00180F73">
        <w:rPr>
          <w:rFonts w:ascii="Garamond" w:eastAsiaTheme="minorHAnsi" w:hAnsi="Garamond"/>
          <w:lang w:eastAsia="en-US"/>
        </w:rPr>
        <w:t xml:space="preserve"> ujëmbajtës të lidhur me ujin sipërfaqësor të përcaktuar si të infektuar, duke marrë parasysh:</w:t>
      </w:r>
    </w:p>
    <w:p w14:paraId="774FA168" w14:textId="30B183FD"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drejtimi</w:t>
      </w:r>
      <w:r w:rsidR="003014E0">
        <w:rPr>
          <w:rFonts w:ascii="Garamond" w:eastAsiaTheme="minorHAnsi" w:hAnsi="Garamond"/>
          <w:lang w:eastAsia="en-US"/>
        </w:rPr>
        <w:t>n</w:t>
      </w:r>
      <w:r w:rsidRPr="00180F73">
        <w:rPr>
          <w:rFonts w:ascii="Garamond" w:eastAsiaTheme="minorHAnsi" w:hAnsi="Garamond"/>
          <w:lang w:eastAsia="en-US"/>
        </w:rPr>
        <w:t xml:space="preserve"> dhe shpejtësi</w:t>
      </w:r>
      <w:r w:rsidR="003014E0">
        <w:rPr>
          <w:rFonts w:ascii="Garamond" w:eastAsiaTheme="minorHAnsi" w:hAnsi="Garamond"/>
          <w:lang w:eastAsia="en-US"/>
        </w:rPr>
        <w:t>në</w:t>
      </w:r>
      <w:r w:rsidRPr="00180F73">
        <w:rPr>
          <w:rFonts w:ascii="Garamond" w:eastAsiaTheme="minorHAnsi" w:hAnsi="Garamond"/>
          <w:lang w:eastAsia="en-US"/>
        </w:rPr>
        <w:t xml:space="preserve"> e rrjedhës së ujit të përcaktuar si të infektuar</w:t>
      </w:r>
      <w:r w:rsidR="00687A79">
        <w:rPr>
          <w:rFonts w:ascii="Garamond" w:eastAsiaTheme="minorHAnsi" w:hAnsi="Garamond"/>
          <w:lang w:eastAsia="en-US"/>
        </w:rPr>
        <w:t>;</w:t>
      </w:r>
    </w:p>
    <w:p w14:paraId="44EFFC6E" w14:textId="77777777" w:rsidR="00990EF3" w:rsidRPr="00180F73" w:rsidRDefault="00990EF3" w:rsidP="00990EF3">
      <w:pPr>
        <w:ind w:firstLine="284"/>
        <w:jc w:val="both"/>
        <w:rPr>
          <w:rFonts w:ascii="Garamond" w:eastAsiaTheme="minorHAnsi" w:hAnsi="Garamond"/>
          <w:lang w:eastAsia="en-US"/>
        </w:rPr>
      </w:pPr>
      <w:r w:rsidRPr="00180F73">
        <w:rPr>
          <w:rFonts w:ascii="Garamond" w:eastAsiaTheme="minorHAnsi" w:hAnsi="Garamond"/>
          <w:lang w:eastAsia="en-US"/>
        </w:rPr>
        <w:t xml:space="preserve">- pranin e bimëve bujtëse të egra </w:t>
      </w:r>
      <w:r w:rsidRPr="00180F73">
        <w:rPr>
          <w:rFonts w:ascii="Garamond" w:hAnsi="Garamond"/>
        </w:rPr>
        <w:t>solanaceous</w:t>
      </w:r>
      <w:r w:rsidRPr="00180F73">
        <w:rPr>
          <w:rFonts w:ascii="Garamond" w:eastAsiaTheme="minorHAnsi" w:hAnsi="Garamond"/>
          <w:lang w:eastAsia="en-US"/>
        </w:rPr>
        <w:t>.</w:t>
      </w:r>
    </w:p>
    <w:p w14:paraId="45B3E64C" w14:textId="77777777" w:rsidR="00990EF3" w:rsidRPr="00180F73" w:rsidRDefault="00990EF3" w:rsidP="00990EF3">
      <w:pPr>
        <w:ind w:firstLine="284"/>
        <w:jc w:val="both"/>
        <w:rPr>
          <w:rFonts w:ascii="Garamond" w:hAnsi="Garamond"/>
        </w:rPr>
      </w:pPr>
    </w:p>
    <w:p w14:paraId="21EE35F3" w14:textId="77777777" w:rsidR="00990EF3" w:rsidRPr="003000E8" w:rsidRDefault="00990EF3" w:rsidP="00990EF3">
      <w:pPr>
        <w:tabs>
          <w:tab w:val="left" w:pos="2340"/>
        </w:tabs>
        <w:ind w:firstLine="284"/>
        <w:jc w:val="center"/>
        <w:rPr>
          <w:rFonts w:ascii="Garamond" w:hAnsi="Garamond"/>
        </w:rPr>
      </w:pPr>
      <w:r w:rsidRPr="003000E8">
        <w:rPr>
          <w:rFonts w:ascii="Garamond" w:hAnsi="Garamond"/>
        </w:rPr>
        <w:t>ANEKSI V</w:t>
      </w:r>
    </w:p>
    <w:p w14:paraId="4A986A37" w14:textId="77777777" w:rsidR="00990EF3" w:rsidRPr="00180F73" w:rsidRDefault="00990EF3" w:rsidP="00990EF3">
      <w:pPr>
        <w:tabs>
          <w:tab w:val="left" w:pos="2340"/>
        </w:tabs>
        <w:ind w:firstLine="284"/>
        <w:jc w:val="center"/>
        <w:rPr>
          <w:rFonts w:ascii="Garamond" w:hAnsi="Garamond"/>
          <w:b/>
          <w:bCs/>
        </w:rPr>
      </w:pPr>
    </w:p>
    <w:p w14:paraId="542FAFFF" w14:textId="6728056E" w:rsidR="00990EF3" w:rsidRPr="00180F73" w:rsidRDefault="00990EF3" w:rsidP="003000E8">
      <w:pPr>
        <w:tabs>
          <w:tab w:val="left" w:pos="2340"/>
        </w:tabs>
        <w:ind w:firstLine="284"/>
        <w:rPr>
          <w:rFonts w:ascii="Garamond" w:hAnsi="Garamond"/>
          <w:b/>
          <w:bCs/>
        </w:rPr>
      </w:pPr>
      <w:r w:rsidRPr="00180F73">
        <w:rPr>
          <w:rFonts w:ascii="Garamond" w:hAnsi="Garamond"/>
          <w:b/>
          <w:bCs/>
        </w:rPr>
        <w:t>Masat e çrrënjosjes</w:t>
      </w:r>
      <w:r w:rsidR="002B5AD2">
        <w:rPr>
          <w:rFonts w:ascii="Garamond" w:hAnsi="Garamond"/>
          <w:b/>
          <w:bCs/>
        </w:rPr>
        <w:t>,</w:t>
      </w:r>
      <w:r w:rsidRPr="00180F73">
        <w:rPr>
          <w:rFonts w:ascii="Garamond" w:hAnsi="Garamond"/>
          <w:b/>
          <w:bCs/>
        </w:rPr>
        <w:t xml:space="preserve"> siç referohen në nenin 6</w:t>
      </w:r>
    </w:p>
    <w:p w14:paraId="72DCCC64"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1. Masat e përmendura në pikën 1 të nenit 6 do të jenë një ose më shumë nga sa vijon:</w:t>
      </w:r>
    </w:p>
    <w:p w14:paraId="1B9A08B9" w14:textId="701EB0A7" w:rsidR="00990EF3" w:rsidRPr="00180F73" w:rsidRDefault="00990EF3" w:rsidP="00990EF3">
      <w:pPr>
        <w:tabs>
          <w:tab w:val="left" w:pos="2340"/>
        </w:tabs>
        <w:ind w:firstLine="284"/>
        <w:jc w:val="both"/>
        <w:rPr>
          <w:rFonts w:ascii="Garamond" w:hAnsi="Garamond"/>
        </w:rPr>
      </w:pPr>
      <w:r w:rsidRPr="00180F73">
        <w:rPr>
          <w:rFonts w:ascii="Garamond" w:hAnsi="Garamond"/>
        </w:rPr>
        <w:t>a) përdorimi si ushqim për kafshët pas trajtimit termik, në mënyrë që të mos ketë risk për mbijetesën e dëmtuesit të specifikuar;</w:t>
      </w:r>
    </w:p>
    <w:p w14:paraId="7F4D665D" w14:textId="18B5E84C"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b) asgjësimi në një vend të dedikuar të depozitimit të mbetjeve të miratuar zyrtarisht në të cilin nuk ka risk të identifikueshëm të përhapjes </w:t>
      </w:r>
      <w:r w:rsidR="002B5AD2">
        <w:rPr>
          <w:rFonts w:ascii="Garamond" w:hAnsi="Garamond"/>
        </w:rPr>
        <w:t>s</w:t>
      </w:r>
      <w:r w:rsidRPr="00180F73">
        <w:rPr>
          <w:rFonts w:ascii="Garamond" w:hAnsi="Garamond"/>
        </w:rPr>
        <w:t>ë dëmtuesit të specifikuar në mjedis, p.sh. përmes kullimit në tokë bujqësore;</w:t>
      </w:r>
    </w:p>
    <w:p w14:paraId="575CF0B9" w14:textId="1C07934A" w:rsidR="00990EF3" w:rsidRPr="00180F73" w:rsidRDefault="00990EF3" w:rsidP="00990EF3">
      <w:pPr>
        <w:tabs>
          <w:tab w:val="left" w:pos="2340"/>
        </w:tabs>
        <w:ind w:firstLine="284"/>
        <w:jc w:val="both"/>
        <w:rPr>
          <w:rFonts w:ascii="Garamond" w:hAnsi="Garamond"/>
        </w:rPr>
      </w:pPr>
      <w:r w:rsidRPr="00180F73">
        <w:rPr>
          <w:rFonts w:ascii="Garamond" w:hAnsi="Garamond"/>
        </w:rPr>
        <w:t>c) djegia;</w:t>
      </w:r>
    </w:p>
    <w:p w14:paraId="238BDBA0" w14:textId="3A5D8CC5" w:rsidR="00990EF3" w:rsidRPr="00180F73" w:rsidRDefault="00990EF3" w:rsidP="00990EF3">
      <w:pPr>
        <w:tabs>
          <w:tab w:val="left" w:pos="2340"/>
        </w:tabs>
        <w:ind w:firstLine="284"/>
        <w:jc w:val="both"/>
        <w:rPr>
          <w:rFonts w:ascii="Garamond" w:hAnsi="Garamond"/>
        </w:rPr>
      </w:pPr>
      <w:r w:rsidRPr="00180F73">
        <w:rPr>
          <w:rFonts w:ascii="Garamond" w:eastAsiaTheme="minorHAnsi" w:hAnsi="Garamond"/>
          <w:bCs/>
          <w:lang w:eastAsia="en-US"/>
        </w:rPr>
        <w:t>ç</w:t>
      </w:r>
      <w:r w:rsidRPr="00180F73">
        <w:rPr>
          <w:rFonts w:ascii="Garamond" w:hAnsi="Garamond"/>
        </w:rPr>
        <w:t>) përpunimi industrial nëpërmjet dorëzimit të drejtpërdrejtë dhe të menjëhershëm në një fabrikë përpunimi me objekte të miratuara zyrtarisht të depozitimit të mbetjeve, për të cilat është vërtetuar se nuk ka risk të identifikueshëm të përhapjes së dëmtuesit të specifikuar, dhe me një sistem pastrimi dhe dezinfektimi</w:t>
      </w:r>
      <w:r w:rsidR="001C34A1">
        <w:rPr>
          <w:rFonts w:ascii="Garamond" w:hAnsi="Garamond"/>
        </w:rPr>
        <w:t>,</w:t>
      </w:r>
      <w:r w:rsidRPr="00180F73">
        <w:rPr>
          <w:rFonts w:ascii="Garamond" w:hAnsi="Garamond"/>
        </w:rPr>
        <w:t xml:space="preserve"> të paktën automjetet në nisje;</w:t>
      </w:r>
    </w:p>
    <w:p w14:paraId="47754A9D" w14:textId="18488D8F" w:rsidR="00990EF3" w:rsidRPr="00180F73" w:rsidRDefault="00990EF3" w:rsidP="00990EF3">
      <w:pPr>
        <w:tabs>
          <w:tab w:val="left" w:pos="2340"/>
        </w:tabs>
        <w:ind w:firstLine="284"/>
        <w:jc w:val="both"/>
        <w:rPr>
          <w:rFonts w:ascii="Garamond" w:hAnsi="Garamond"/>
        </w:rPr>
      </w:pPr>
      <w:r w:rsidRPr="00180F73">
        <w:rPr>
          <w:rFonts w:ascii="Garamond" w:hAnsi="Garamond"/>
        </w:rPr>
        <w:t>d) masa të tjera, me kusht që të jetë vërtetuar se nuk ka risk të identifikueshëm të përhapjes së dëmtuesit të specifikuar; masat e tilla dhe arsyetimi i tyre duhet t</w:t>
      </w:r>
      <w:r w:rsidR="001C34A1">
        <w:rPr>
          <w:rFonts w:ascii="Garamond" w:hAnsi="Garamond"/>
        </w:rPr>
        <w:t>’</w:t>
      </w:r>
      <w:r w:rsidRPr="00180F73">
        <w:rPr>
          <w:rFonts w:ascii="Garamond" w:hAnsi="Garamond"/>
        </w:rPr>
        <w:t>i njoftohen dhe t</w:t>
      </w:r>
      <w:r w:rsidR="001C34A1">
        <w:rPr>
          <w:rFonts w:ascii="Garamond" w:hAnsi="Garamond"/>
        </w:rPr>
        <w:t>ë</w:t>
      </w:r>
      <w:r w:rsidRPr="00180F73">
        <w:rPr>
          <w:rFonts w:ascii="Garamond" w:hAnsi="Garamond"/>
        </w:rPr>
        <w:t xml:space="preserve"> miratohen nga SPMB-ja.</w:t>
      </w:r>
    </w:p>
    <w:p w14:paraId="44F42D58" w14:textId="4A785DD5"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Çdo mbetje e mbetur e lidhur dhe që rrjedh nga sa më sipër, do të asgjësohet me metoda të miratuara zyrtarisht në përputhje me </w:t>
      </w:r>
      <w:r w:rsidR="0089313E" w:rsidRPr="00180F73">
        <w:rPr>
          <w:rFonts w:ascii="Garamond" w:hAnsi="Garamond"/>
        </w:rPr>
        <w:t xml:space="preserve">aneksin </w:t>
      </w:r>
      <w:r w:rsidRPr="00180F73">
        <w:rPr>
          <w:rFonts w:ascii="Garamond" w:hAnsi="Garamond"/>
        </w:rPr>
        <w:t>VI.</w:t>
      </w:r>
    </w:p>
    <w:p w14:paraId="4A2A106D" w14:textId="4F6BE1B7" w:rsidR="00990EF3" w:rsidRPr="00180F73" w:rsidRDefault="00990EF3" w:rsidP="00990EF3">
      <w:pPr>
        <w:tabs>
          <w:tab w:val="left" w:pos="2340"/>
        </w:tabs>
        <w:ind w:firstLine="284"/>
        <w:jc w:val="both"/>
        <w:rPr>
          <w:rFonts w:ascii="Garamond" w:hAnsi="Garamond"/>
        </w:rPr>
      </w:pPr>
      <w:r w:rsidRPr="00180F73">
        <w:rPr>
          <w:rFonts w:ascii="Garamond" w:hAnsi="Garamond"/>
        </w:rPr>
        <w:t>2. Përdorimi ose asgjësimi i duhur i bimëve të specifikuara të përcaktuara si potencialisht të infektuara</w:t>
      </w:r>
      <w:r w:rsidR="00AE20BB">
        <w:rPr>
          <w:rFonts w:ascii="Garamond" w:hAnsi="Garamond"/>
        </w:rPr>
        <w:t>,</w:t>
      </w:r>
      <w:r w:rsidRPr="00180F73">
        <w:rPr>
          <w:rFonts w:ascii="Garamond" w:hAnsi="Garamond"/>
        </w:rPr>
        <w:t xml:space="preserve"> në përputhje me pikën 2 të nenit 6, kryhet nën kontrollin e AKVMB-së. AKVMB</w:t>
      </w:r>
      <w:r w:rsidR="0089313E">
        <w:rPr>
          <w:rFonts w:ascii="Garamond" w:hAnsi="Garamond"/>
        </w:rPr>
        <w:t>-ja</w:t>
      </w:r>
      <w:r w:rsidRPr="00180F73">
        <w:rPr>
          <w:rFonts w:ascii="Garamond" w:hAnsi="Garamond"/>
        </w:rPr>
        <w:t xml:space="preserve"> miraton përdorimet e mëposhtme dhe depozitimin e mbetjeve përkatëse, të këtyre bimëve të specifikuara:</w:t>
      </w:r>
    </w:p>
    <w:p w14:paraId="4AC50714" w14:textId="2DC6448A" w:rsidR="00990EF3" w:rsidRPr="00180F73" w:rsidRDefault="00990EF3" w:rsidP="00990EF3">
      <w:pPr>
        <w:tabs>
          <w:tab w:val="left" w:pos="2340"/>
        </w:tabs>
        <w:ind w:firstLine="284"/>
        <w:jc w:val="both"/>
        <w:rPr>
          <w:rFonts w:ascii="Garamond" w:hAnsi="Garamond"/>
        </w:rPr>
      </w:pPr>
      <w:r w:rsidRPr="00180F73">
        <w:rPr>
          <w:rFonts w:ascii="Garamond" w:hAnsi="Garamond"/>
        </w:rPr>
        <w:t>a) për zhardhokët e patates:</w:t>
      </w:r>
    </w:p>
    <w:p w14:paraId="03AD702C" w14:textId="78BF09D6" w:rsidR="00990EF3" w:rsidRPr="00180F73" w:rsidRDefault="00990EF3" w:rsidP="00990EF3">
      <w:pPr>
        <w:tabs>
          <w:tab w:val="left" w:pos="2340"/>
        </w:tabs>
        <w:ind w:firstLine="284"/>
        <w:jc w:val="both"/>
        <w:rPr>
          <w:rFonts w:ascii="Garamond" w:hAnsi="Garamond"/>
        </w:rPr>
      </w:pPr>
      <w:r w:rsidRPr="00180F73">
        <w:rPr>
          <w:rFonts w:ascii="Garamond" w:hAnsi="Garamond"/>
        </w:rPr>
        <w:lastRenderedPageBreak/>
        <w:t>i</w:t>
      </w:r>
      <w:r w:rsidR="004F70C0">
        <w:rPr>
          <w:rFonts w:ascii="Garamond" w:hAnsi="Garamond"/>
        </w:rPr>
        <w:t>.</w:t>
      </w:r>
      <w:r w:rsidRPr="00180F73">
        <w:rPr>
          <w:rFonts w:ascii="Garamond" w:hAnsi="Garamond"/>
        </w:rPr>
        <w:t xml:space="preserve"> përdorimi si zhardhok i destinuar për konsum, i ambalazhuar gati për shpërndarje direket dhe përdorim</w:t>
      </w:r>
      <w:r w:rsidR="00AE20BB">
        <w:rPr>
          <w:rFonts w:ascii="Garamond" w:hAnsi="Garamond"/>
        </w:rPr>
        <w:t>,</w:t>
      </w:r>
      <w:r w:rsidRPr="00180F73">
        <w:rPr>
          <w:rFonts w:ascii="Garamond" w:hAnsi="Garamond"/>
        </w:rPr>
        <w:t xml:space="preserve"> pa riambalazhuar, në një vendndodhje me objekte të përshtatshme për depozitimin e mbetjeve. Zhardhokët për mbjellje mund të trajtohen vetëm në të njëjtin vend, nëse kjo bëhet veçmas ose pas pastrimit dhe dezinfektimit; ose</w:t>
      </w:r>
    </w:p>
    <w:p w14:paraId="2FB4FCA9" w14:textId="3AC47F6F"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përdorimi si zhardhok i destinuar për përpunim industrial dhe i destinuar për shpërndarje direkt dhe të menjëhershëm në një fabrikë përpunimi me objekte të përshtatshme për depozitimin e mbetjeve dhe një sistem pastrimi dhe dezinfektimi të paktën automjeteve që nisen; ose</w:t>
      </w:r>
    </w:p>
    <w:p w14:paraId="4D4DAD78" w14:textId="55D29CD9" w:rsidR="00990EF3" w:rsidRPr="00180F73" w:rsidRDefault="00990EF3" w:rsidP="00990EF3">
      <w:pPr>
        <w:tabs>
          <w:tab w:val="left" w:pos="2340"/>
        </w:tabs>
        <w:ind w:firstLine="284"/>
        <w:jc w:val="both"/>
        <w:rPr>
          <w:rFonts w:ascii="Garamond" w:hAnsi="Garamond"/>
        </w:rPr>
      </w:pPr>
      <w:r w:rsidRPr="00180F73">
        <w:rPr>
          <w:rFonts w:ascii="Garamond" w:hAnsi="Garamond"/>
        </w:rPr>
        <w:t>iii</w:t>
      </w:r>
      <w:r w:rsidR="004F70C0">
        <w:rPr>
          <w:rFonts w:ascii="Garamond" w:hAnsi="Garamond"/>
        </w:rPr>
        <w:t>.</w:t>
      </w:r>
      <w:r w:rsidRPr="00180F73">
        <w:rPr>
          <w:rFonts w:ascii="Garamond" w:hAnsi="Garamond"/>
        </w:rPr>
        <w:t xml:space="preserve"> ndonjë përdorim ose asgjësim tjetër, me kusht që të vërtetohet se nuk ka risk të identifikueshëm të përhapjes së dëmtuesit të specifikuar dhe që i nënshtrohet miratimit nga AKVMB</w:t>
      </w:r>
      <w:r w:rsidR="0080558D">
        <w:rPr>
          <w:rFonts w:ascii="Garamond" w:hAnsi="Garamond"/>
        </w:rPr>
        <w:t>-ja</w:t>
      </w:r>
      <w:r w:rsidRPr="00180F73">
        <w:rPr>
          <w:rFonts w:ascii="Garamond" w:hAnsi="Garamond"/>
        </w:rPr>
        <w:t>;</w:t>
      </w:r>
    </w:p>
    <w:p w14:paraId="3804B8C6" w14:textId="2A4026B2" w:rsidR="00990EF3" w:rsidRPr="00180F73" w:rsidRDefault="00990EF3" w:rsidP="00990EF3">
      <w:pPr>
        <w:tabs>
          <w:tab w:val="left" w:pos="2340"/>
        </w:tabs>
        <w:ind w:firstLine="284"/>
        <w:jc w:val="both"/>
        <w:rPr>
          <w:rFonts w:ascii="Garamond" w:hAnsi="Garamond"/>
        </w:rPr>
      </w:pPr>
      <w:r w:rsidRPr="00180F73">
        <w:rPr>
          <w:rFonts w:ascii="Garamond" w:hAnsi="Garamond"/>
        </w:rPr>
        <w:t>b) për pjesët e tjera të bimëve të bimëve të specifikuara, duke përfshirë mbetjet e kërcellit dhe gjetheve:</w:t>
      </w:r>
    </w:p>
    <w:p w14:paraId="28315827" w14:textId="23F705ED"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shkatërrimi; ose</w:t>
      </w:r>
    </w:p>
    <w:p w14:paraId="080F89F1" w14:textId="0DCC6586"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ndonjë përdorim ose asgjësim tjetër, me kusht që të vërtetohet se nuk ka risk të identifikueshëm të përhapjes së dëmtuesit të specifikuar dhe që i nënshtrohet miratimit nga AKVMB</w:t>
      </w:r>
      <w:r w:rsidR="0080558D">
        <w:rPr>
          <w:rFonts w:ascii="Garamond" w:hAnsi="Garamond"/>
        </w:rPr>
        <w:t>-ja</w:t>
      </w:r>
      <w:r w:rsidRPr="00180F73">
        <w:rPr>
          <w:rFonts w:ascii="Garamond" w:hAnsi="Garamond"/>
        </w:rPr>
        <w:t>.</w:t>
      </w:r>
    </w:p>
    <w:p w14:paraId="3E69793E"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3. Metodat e duhura për pastrimin dhe dezinfektimin e objekteve të përmendura në pikën 3 të nenit 6 do të jenë ato për të cilat është vërtetuar se nuk ka risk të identifikueshëm të përhapjes së dëmtuesit të specifikuar dhe do të përdoren nën mbikëqyrjen e AKVMB-së. </w:t>
      </w:r>
    </w:p>
    <w:p w14:paraId="5EDCD666" w14:textId="7348325E" w:rsidR="00990EF3" w:rsidRPr="00180F73" w:rsidRDefault="00990EF3" w:rsidP="00990EF3">
      <w:pPr>
        <w:tabs>
          <w:tab w:val="left" w:pos="2340"/>
        </w:tabs>
        <w:ind w:firstLine="284"/>
        <w:jc w:val="both"/>
        <w:rPr>
          <w:rFonts w:ascii="Garamond" w:hAnsi="Garamond"/>
        </w:rPr>
      </w:pPr>
      <w:r w:rsidRPr="00180F73">
        <w:rPr>
          <w:rFonts w:ascii="Garamond" w:hAnsi="Garamond"/>
        </w:rPr>
        <w:t>4. Seria e masave që do të zbatohen nga AKVMB</w:t>
      </w:r>
      <w:r w:rsidR="00E81629">
        <w:rPr>
          <w:rFonts w:ascii="Garamond" w:hAnsi="Garamond"/>
        </w:rPr>
        <w:t>-j</w:t>
      </w:r>
      <w:r w:rsidR="00FD4B83">
        <w:rPr>
          <w:rFonts w:ascii="Garamond" w:hAnsi="Garamond"/>
        </w:rPr>
        <w:t>a</w:t>
      </w:r>
      <w:r w:rsidR="00E81629">
        <w:rPr>
          <w:rFonts w:ascii="Garamond" w:hAnsi="Garamond"/>
        </w:rPr>
        <w:t xml:space="preserve"> </w:t>
      </w:r>
      <w:r w:rsidRPr="00180F73">
        <w:rPr>
          <w:rFonts w:ascii="Garamond" w:hAnsi="Garamond"/>
        </w:rPr>
        <w:t>brenda zonës</w:t>
      </w:r>
      <w:r w:rsidR="0080558D">
        <w:rPr>
          <w:rFonts w:ascii="Garamond" w:hAnsi="Garamond"/>
        </w:rPr>
        <w:t>/</w:t>
      </w:r>
      <w:r w:rsidRPr="00180F73">
        <w:rPr>
          <w:rFonts w:ascii="Garamond" w:hAnsi="Garamond"/>
        </w:rPr>
        <w:t>ave të shënuara, të përcaktuara në përputhje me nenin 5 dhe të përmendura në pikën 4 të nenin 6, do të përfshijnë masat e përcaktuara në pikat 4.1 dhe 4.2:</w:t>
      </w:r>
    </w:p>
    <w:p w14:paraId="5919F4F9" w14:textId="3841E98B"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4.1. Masat që duhen marrë në vendet e prodhimit të përcaktuara si të infektuara në përputhje me shkronjën </w:t>
      </w:r>
      <w:r w:rsidR="00AE20BB">
        <w:rPr>
          <w:rFonts w:ascii="Garamond" w:hAnsi="Garamond"/>
        </w:rPr>
        <w:t>“</w:t>
      </w:r>
      <w:r w:rsidRPr="00180F73">
        <w:rPr>
          <w:rFonts w:ascii="Garamond" w:hAnsi="Garamond"/>
        </w:rPr>
        <w:t>i</w:t>
      </w:r>
      <w:r w:rsidR="00AE20BB">
        <w:rPr>
          <w:rFonts w:ascii="Garamond" w:hAnsi="Garamond"/>
        </w:rPr>
        <w:t>”</w:t>
      </w:r>
      <w:r w:rsidRPr="00180F73">
        <w:rPr>
          <w:rFonts w:ascii="Garamond" w:hAnsi="Garamond"/>
        </w:rPr>
        <w:t xml:space="preserve">, </w:t>
      </w:r>
      <w:r w:rsidR="00AE20BB">
        <w:rPr>
          <w:rFonts w:ascii="Garamond" w:hAnsi="Garamond"/>
        </w:rPr>
        <w:t>“</w:t>
      </w:r>
      <w:r w:rsidRPr="00180F73">
        <w:rPr>
          <w:rFonts w:ascii="Garamond" w:eastAsiaTheme="minorHAnsi" w:hAnsi="Garamond"/>
          <w:bCs/>
          <w:lang w:eastAsia="en-US"/>
        </w:rPr>
        <w:t>ç</w:t>
      </w:r>
      <w:r w:rsidR="00AE20BB">
        <w:rPr>
          <w:rFonts w:ascii="Garamond" w:hAnsi="Garamond"/>
        </w:rPr>
        <w:t>”</w:t>
      </w:r>
      <w:r w:rsidRPr="00180F73">
        <w:rPr>
          <w:rFonts w:ascii="Garamond" w:hAnsi="Garamond"/>
        </w:rPr>
        <w:t xml:space="preserve"> të pikës 2 të nenit 5:</w:t>
      </w:r>
    </w:p>
    <w:p w14:paraId="1BC10C60" w14:textId="50448CAF"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4.1.1. Në një vendndodhje prodhimi ose njësi të prodhimit të bimëve të mbrojtura të përcaktuara si të infektuara në përputhje me shkronjën </w:t>
      </w:r>
      <w:r w:rsidR="00AE20BB">
        <w:rPr>
          <w:rFonts w:ascii="Garamond" w:hAnsi="Garamond"/>
        </w:rPr>
        <w:t>“</w:t>
      </w:r>
      <w:r w:rsidRPr="00180F73">
        <w:rPr>
          <w:rFonts w:ascii="Garamond" w:hAnsi="Garamond"/>
        </w:rPr>
        <w:t>i</w:t>
      </w:r>
      <w:r w:rsidR="00AE20BB">
        <w:rPr>
          <w:rFonts w:ascii="Garamond" w:hAnsi="Garamond"/>
        </w:rPr>
        <w:t>”</w:t>
      </w:r>
      <w:r w:rsidRPr="00180F73">
        <w:rPr>
          <w:rFonts w:ascii="Garamond" w:hAnsi="Garamond"/>
        </w:rPr>
        <w:t xml:space="preserve">, </w:t>
      </w:r>
      <w:r w:rsidR="00AE20BB">
        <w:rPr>
          <w:rFonts w:ascii="Garamond" w:hAnsi="Garamond"/>
        </w:rPr>
        <w:t>“</w:t>
      </w:r>
      <w:r w:rsidRPr="00180F73">
        <w:rPr>
          <w:rFonts w:ascii="Garamond" w:eastAsiaTheme="minorHAnsi" w:hAnsi="Garamond"/>
          <w:bCs/>
          <w:lang w:eastAsia="en-US"/>
        </w:rPr>
        <w:t>ç</w:t>
      </w:r>
      <w:r w:rsidR="00AE20BB">
        <w:rPr>
          <w:rFonts w:ascii="Garamond" w:hAnsi="Garamond"/>
        </w:rPr>
        <w:t>”,</w:t>
      </w:r>
      <w:r w:rsidRPr="00180F73">
        <w:rPr>
          <w:rFonts w:ascii="Garamond" w:hAnsi="Garamond"/>
        </w:rPr>
        <w:t xml:space="preserve"> të pikës 2</w:t>
      </w:r>
      <w:r w:rsidR="00AE20BB">
        <w:rPr>
          <w:rFonts w:ascii="Garamond" w:hAnsi="Garamond"/>
        </w:rPr>
        <w:t>,</w:t>
      </w:r>
      <w:r w:rsidRPr="00180F73">
        <w:rPr>
          <w:rFonts w:ascii="Garamond" w:hAnsi="Garamond"/>
        </w:rPr>
        <w:t xml:space="preserve"> të nenit 5, të gjitha masat e përcaktuara në pikat 1, 2 dhe 3, ose të gjitha masat e përcaktuara në pikat 4, 5, 6 dhe 7 do </w:t>
      </w:r>
      <w:r w:rsidR="00AE20BB">
        <w:rPr>
          <w:rFonts w:ascii="Garamond" w:hAnsi="Garamond"/>
        </w:rPr>
        <w:t xml:space="preserve">të </w:t>
      </w:r>
      <w:r w:rsidRPr="00180F73">
        <w:rPr>
          <w:rFonts w:ascii="Garamond" w:hAnsi="Garamond"/>
        </w:rPr>
        <w:t>m</w:t>
      </w:r>
      <w:r w:rsidR="00AE20BB">
        <w:rPr>
          <w:rFonts w:ascii="Garamond" w:hAnsi="Garamond"/>
        </w:rPr>
        <w:t>e</w:t>
      </w:r>
      <w:r w:rsidRPr="00180F73">
        <w:rPr>
          <w:rFonts w:ascii="Garamond" w:hAnsi="Garamond"/>
        </w:rPr>
        <w:t>rren:</w:t>
      </w:r>
    </w:p>
    <w:p w14:paraId="3F72838C" w14:textId="7779BECE"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AE20BB">
        <w:rPr>
          <w:rFonts w:ascii="Garamond" w:hAnsi="Garamond"/>
        </w:rPr>
        <w:t>.</w:t>
      </w:r>
      <w:r w:rsidRPr="00180F73">
        <w:rPr>
          <w:rFonts w:ascii="Garamond" w:hAnsi="Garamond"/>
        </w:rPr>
        <w:t xml:space="preserve"> </w:t>
      </w:r>
      <w:r w:rsidR="00AE20BB" w:rsidRPr="00180F73">
        <w:rPr>
          <w:rFonts w:ascii="Garamond" w:hAnsi="Garamond"/>
        </w:rPr>
        <w:t xml:space="preserve">Gjatë </w:t>
      </w:r>
      <w:r w:rsidRPr="00180F73">
        <w:rPr>
          <w:rFonts w:ascii="Garamond" w:hAnsi="Garamond"/>
        </w:rPr>
        <w:t>katër v</w:t>
      </w:r>
      <w:r w:rsidR="00AE20BB">
        <w:rPr>
          <w:rFonts w:ascii="Garamond" w:hAnsi="Garamond"/>
        </w:rPr>
        <w:t>jetëve</w:t>
      </w:r>
      <w:r w:rsidRPr="00180F73">
        <w:rPr>
          <w:rFonts w:ascii="Garamond" w:hAnsi="Garamond"/>
        </w:rPr>
        <w:t xml:space="preserve"> të par</w:t>
      </w:r>
      <w:r w:rsidR="00AE20BB">
        <w:rPr>
          <w:rFonts w:ascii="Garamond" w:hAnsi="Garamond"/>
        </w:rPr>
        <w:t>ë</w:t>
      </w:r>
      <w:r w:rsidRPr="00180F73">
        <w:rPr>
          <w:rFonts w:ascii="Garamond" w:hAnsi="Garamond"/>
        </w:rPr>
        <w:t xml:space="preserve"> të rritjes pas atij të përcaktimit të infeksionit, eliminimi i bimëve të specifikuara të pakultivuara, si dhe të bimëve të tjera bujtëse të egra solanaceous të dëmtuesit të specifikuar, dhe ndalimin e mbjelljes së bimëve të specifikuara, të farave të patates dhe të domateve, duke marrë parasysh biologjinë e dëmtuesit të specifikuar, të bimëve të kultivuara bujtëse solanaceous, dhe të bimëve të llojeve të </w:t>
      </w:r>
      <w:r w:rsidRPr="00180F73">
        <w:rPr>
          <w:rFonts w:ascii="Garamond" w:hAnsi="Garamond"/>
          <w:i/>
          <w:iCs/>
        </w:rPr>
        <w:t>Brassica</w:t>
      </w:r>
      <w:r w:rsidRPr="00180F73">
        <w:rPr>
          <w:rFonts w:ascii="Garamond" w:hAnsi="Garamond"/>
        </w:rPr>
        <w:t>, për të cilat ekziston një risk i identifikuar i mbijetesës së dëmtuesit të specifikuar;</w:t>
      </w:r>
    </w:p>
    <w:p w14:paraId="12C63802" w14:textId="0C1EEA3C" w:rsidR="00990EF3" w:rsidRPr="00180F73" w:rsidRDefault="00990EF3" w:rsidP="00D452CE">
      <w:pPr>
        <w:tabs>
          <w:tab w:val="left" w:pos="2340"/>
        </w:tabs>
        <w:ind w:firstLine="284"/>
        <w:jc w:val="both"/>
        <w:rPr>
          <w:rFonts w:ascii="Garamond" w:hAnsi="Garamond"/>
        </w:rPr>
      </w:pPr>
      <w:r w:rsidRPr="00180F73">
        <w:rPr>
          <w:rFonts w:ascii="Garamond" w:hAnsi="Garamond"/>
        </w:rPr>
        <w:t>2</w:t>
      </w:r>
      <w:r w:rsidR="00AE20BB">
        <w:rPr>
          <w:rFonts w:ascii="Garamond" w:hAnsi="Garamond"/>
        </w:rPr>
        <w:t>.</w:t>
      </w:r>
      <w:r w:rsidRPr="00180F73">
        <w:rPr>
          <w:rFonts w:ascii="Garamond" w:hAnsi="Garamond"/>
        </w:rPr>
        <w:t xml:space="preserve"> </w:t>
      </w:r>
      <w:r w:rsidR="00AE20BB" w:rsidRPr="00180F73">
        <w:rPr>
          <w:rFonts w:ascii="Garamond" w:hAnsi="Garamond"/>
        </w:rPr>
        <w:t xml:space="preserve">Nga </w:t>
      </w:r>
      <w:r w:rsidRPr="00180F73">
        <w:rPr>
          <w:rFonts w:ascii="Garamond" w:hAnsi="Garamond"/>
        </w:rPr>
        <w:t>viti i pestë pas atij të përcaktimit të infeksionit, pas plotësimit të kushteve të</w:t>
      </w:r>
      <w:r w:rsidR="00D452CE">
        <w:rPr>
          <w:rFonts w:ascii="Garamond" w:hAnsi="Garamond"/>
        </w:rPr>
        <w:t xml:space="preserve"> </w:t>
      </w:r>
      <w:r w:rsidRPr="00180F73">
        <w:rPr>
          <w:rFonts w:ascii="Garamond" w:hAnsi="Garamond"/>
        </w:rPr>
        <w:t>pikës 1 dhe me kusht që vendndodhja i prodhimit të jetë gjetur i pastër nga bimët e specifikuara të pakultivuara dhe nga bimët bujtëse të egra solanaceous gjatë kontrolleve zyrtare për të paktën dy v</w:t>
      </w:r>
      <w:r w:rsidR="00D452CE">
        <w:rPr>
          <w:rFonts w:ascii="Garamond" w:hAnsi="Garamond"/>
        </w:rPr>
        <w:t>jet</w:t>
      </w:r>
      <w:r w:rsidRPr="00180F73">
        <w:rPr>
          <w:rFonts w:ascii="Garamond" w:hAnsi="Garamond"/>
        </w:rPr>
        <w:t xml:space="preserve"> radhazi të rritjes para mbjelljes, do të lejohen të mbillen vetëm zhardhokët e patates, të ndryshëm nga ato të destinuara për riprodhimin e patateve të tjera, dhe zhardhokët e vjel</w:t>
      </w:r>
      <w:r w:rsidR="0080558D">
        <w:rPr>
          <w:rFonts w:ascii="Garamond" w:hAnsi="Garamond"/>
        </w:rPr>
        <w:t>ë</w:t>
      </w:r>
      <w:r w:rsidRPr="00180F73">
        <w:rPr>
          <w:rFonts w:ascii="Garamond" w:hAnsi="Garamond"/>
        </w:rPr>
        <w:t xml:space="preserve"> të patates ose bimët e domates, sipas rastit, do të testohen</w:t>
      </w:r>
      <w:r w:rsidR="00C5236C">
        <w:rPr>
          <w:rFonts w:ascii="Garamond" w:hAnsi="Garamond"/>
        </w:rPr>
        <w:t>,</w:t>
      </w:r>
      <w:r w:rsidRPr="00180F73">
        <w:rPr>
          <w:rFonts w:ascii="Garamond" w:hAnsi="Garamond"/>
        </w:rPr>
        <w:t xml:space="preserve"> në përputhje me </w:t>
      </w:r>
      <w:r w:rsidR="00C5236C" w:rsidRPr="00180F73">
        <w:rPr>
          <w:rFonts w:ascii="Garamond" w:hAnsi="Garamond"/>
        </w:rPr>
        <w:t xml:space="preserve">aneksin </w:t>
      </w:r>
      <w:r w:rsidRPr="00180F73">
        <w:rPr>
          <w:rFonts w:ascii="Garamond" w:hAnsi="Garamond"/>
        </w:rPr>
        <w:t xml:space="preserve">I; </w:t>
      </w:r>
    </w:p>
    <w:p w14:paraId="595F5295" w14:textId="7900B77F" w:rsidR="00990EF3" w:rsidRPr="00180F73" w:rsidRDefault="00990EF3" w:rsidP="00990EF3">
      <w:pPr>
        <w:tabs>
          <w:tab w:val="left" w:pos="2340"/>
        </w:tabs>
        <w:ind w:firstLine="284"/>
        <w:jc w:val="both"/>
        <w:rPr>
          <w:rFonts w:ascii="Garamond" w:hAnsi="Garamond"/>
        </w:rPr>
      </w:pPr>
      <w:r w:rsidRPr="00180F73">
        <w:rPr>
          <w:rFonts w:ascii="Garamond" w:hAnsi="Garamond"/>
        </w:rPr>
        <w:t>3</w:t>
      </w:r>
      <w:r w:rsidR="00C5236C">
        <w:rPr>
          <w:rFonts w:ascii="Garamond" w:hAnsi="Garamond"/>
        </w:rPr>
        <w:t>.</w:t>
      </w:r>
      <w:r w:rsidRPr="00180F73">
        <w:rPr>
          <w:rFonts w:ascii="Garamond" w:hAnsi="Garamond"/>
        </w:rPr>
        <w:t xml:space="preserve"> </w:t>
      </w:r>
      <w:r w:rsidR="00C5236C" w:rsidRPr="00180F73">
        <w:rPr>
          <w:rFonts w:ascii="Garamond" w:hAnsi="Garamond"/>
        </w:rPr>
        <w:t xml:space="preserve">Pas </w:t>
      </w:r>
      <w:r w:rsidRPr="00180F73">
        <w:rPr>
          <w:rFonts w:ascii="Garamond" w:hAnsi="Garamond"/>
        </w:rPr>
        <w:t>prodhimit të parë të bimëve të specifikuara siç përmendet në pikën 2, dhe pas një cikli të përshtatshëm qarkullimi prej të paktën dy vjetësh nëse do të rriten zhardhokët për mbjellje, do të kryhet një vrojtim siç parashikohet në nenin 3; ose</w:t>
      </w:r>
    </w:p>
    <w:p w14:paraId="38EFFE43" w14:textId="42586FEF" w:rsidR="00990EF3" w:rsidRPr="00180F73" w:rsidRDefault="00990EF3" w:rsidP="00990EF3">
      <w:pPr>
        <w:tabs>
          <w:tab w:val="left" w:pos="2340"/>
        </w:tabs>
        <w:ind w:firstLine="284"/>
        <w:jc w:val="both"/>
        <w:rPr>
          <w:rFonts w:ascii="Garamond" w:hAnsi="Garamond"/>
        </w:rPr>
      </w:pPr>
      <w:r w:rsidRPr="00180F73">
        <w:rPr>
          <w:rFonts w:ascii="Garamond" w:hAnsi="Garamond"/>
        </w:rPr>
        <w:t>4</w:t>
      </w:r>
      <w:r w:rsidR="00C5236C">
        <w:rPr>
          <w:rFonts w:ascii="Garamond" w:hAnsi="Garamond"/>
        </w:rPr>
        <w:t>.</w:t>
      </w:r>
      <w:r w:rsidRPr="00180F73">
        <w:rPr>
          <w:rFonts w:ascii="Garamond" w:hAnsi="Garamond"/>
        </w:rPr>
        <w:t xml:space="preserve"> </w:t>
      </w:r>
      <w:r w:rsidR="00C5236C" w:rsidRPr="00180F73">
        <w:rPr>
          <w:rFonts w:ascii="Garamond" w:hAnsi="Garamond"/>
        </w:rPr>
        <w:t xml:space="preserve">Gjatë </w:t>
      </w:r>
      <w:r w:rsidRPr="00180F73">
        <w:rPr>
          <w:rFonts w:ascii="Garamond" w:hAnsi="Garamond"/>
        </w:rPr>
        <w:t>pesë v</w:t>
      </w:r>
      <w:r w:rsidR="00A6755C">
        <w:rPr>
          <w:rFonts w:ascii="Garamond" w:hAnsi="Garamond"/>
        </w:rPr>
        <w:t>jetëve</w:t>
      </w:r>
      <w:r w:rsidRPr="00180F73">
        <w:rPr>
          <w:rFonts w:ascii="Garamond" w:hAnsi="Garamond"/>
        </w:rPr>
        <w:t xml:space="preserve"> të para të rritjes pas atij të përcaktimit të infeksionit, eliminimi i bimëve të specifikuara të pakultivuara, si dhe të bimëve të egra bujtëse solanaceous të dëmtuesit të specifikuar;</w:t>
      </w:r>
    </w:p>
    <w:p w14:paraId="69FA2BE6" w14:textId="426F7618" w:rsidR="00990EF3" w:rsidRPr="00180F73" w:rsidRDefault="00990EF3" w:rsidP="00990EF3">
      <w:pPr>
        <w:tabs>
          <w:tab w:val="left" w:pos="2340"/>
        </w:tabs>
        <w:ind w:firstLine="284"/>
        <w:jc w:val="both"/>
        <w:rPr>
          <w:rFonts w:ascii="Garamond" w:hAnsi="Garamond"/>
        </w:rPr>
      </w:pPr>
      <w:r w:rsidRPr="00180F73">
        <w:rPr>
          <w:rFonts w:ascii="Garamond" w:hAnsi="Garamond"/>
        </w:rPr>
        <w:t>5</w:t>
      </w:r>
      <w:r w:rsidR="00C5236C">
        <w:rPr>
          <w:rFonts w:ascii="Garamond" w:hAnsi="Garamond"/>
        </w:rPr>
        <w:t>.</w:t>
      </w:r>
      <w:r w:rsidRPr="00180F73">
        <w:rPr>
          <w:rFonts w:ascii="Garamond" w:hAnsi="Garamond"/>
        </w:rPr>
        <w:t xml:space="preserve"> </w:t>
      </w:r>
      <w:r w:rsidR="00C5236C" w:rsidRPr="00180F73">
        <w:rPr>
          <w:rFonts w:ascii="Garamond" w:hAnsi="Garamond"/>
        </w:rPr>
        <w:t xml:space="preserve">Gjatë </w:t>
      </w:r>
      <w:r w:rsidRPr="00180F73">
        <w:rPr>
          <w:rFonts w:ascii="Garamond" w:hAnsi="Garamond"/>
        </w:rPr>
        <w:t>tre v</w:t>
      </w:r>
      <w:r w:rsidR="00BC64B2">
        <w:rPr>
          <w:rFonts w:ascii="Garamond" w:hAnsi="Garamond"/>
        </w:rPr>
        <w:t>jetëve</w:t>
      </w:r>
      <w:r w:rsidRPr="00180F73">
        <w:rPr>
          <w:rFonts w:ascii="Garamond" w:hAnsi="Garamond"/>
        </w:rPr>
        <w:t xml:space="preserve"> të para pas atij të përcaktimit të infeksionit, mirëmbajtja e vendndodhjes së prodhimit, qoftë në ugar të pambjell</w:t>
      </w:r>
      <w:r w:rsidR="0080558D">
        <w:rPr>
          <w:rFonts w:ascii="Garamond" w:hAnsi="Garamond"/>
        </w:rPr>
        <w:t>ë</w:t>
      </w:r>
      <w:r w:rsidRPr="00180F73">
        <w:rPr>
          <w:rFonts w:ascii="Garamond" w:hAnsi="Garamond"/>
        </w:rPr>
        <w:t>, ose në drithëra sipas riskut të identifikuar, ose në kullota të përhershme me kositje të shpeshta të afërta ose kullotje intensive, ose si bar për prodhimin e farës;</w:t>
      </w:r>
    </w:p>
    <w:p w14:paraId="3D731569" w14:textId="746F6B9B" w:rsidR="00990EF3" w:rsidRPr="00180F73" w:rsidRDefault="00990EF3" w:rsidP="00990EF3">
      <w:pPr>
        <w:tabs>
          <w:tab w:val="left" w:pos="2340"/>
        </w:tabs>
        <w:ind w:firstLine="284"/>
        <w:jc w:val="both"/>
        <w:rPr>
          <w:rFonts w:ascii="Garamond" w:hAnsi="Garamond"/>
        </w:rPr>
      </w:pPr>
      <w:r w:rsidRPr="00180F73">
        <w:rPr>
          <w:rFonts w:ascii="Garamond" w:hAnsi="Garamond"/>
        </w:rPr>
        <w:t>6</w:t>
      </w:r>
      <w:r w:rsidR="00C5236C">
        <w:rPr>
          <w:rFonts w:ascii="Garamond" w:hAnsi="Garamond"/>
        </w:rPr>
        <w:t>.</w:t>
      </w:r>
      <w:r w:rsidRPr="00180F73">
        <w:rPr>
          <w:rFonts w:ascii="Garamond" w:hAnsi="Garamond"/>
        </w:rPr>
        <w:t xml:space="preserve"> </w:t>
      </w:r>
      <w:r w:rsidR="00C5236C" w:rsidRPr="00180F73">
        <w:rPr>
          <w:rFonts w:ascii="Garamond" w:hAnsi="Garamond"/>
        </w:rPr>
        <w:t xml:space="preserve">Gjatë </w:t>
      </w:r>
      <w:r w:rsidRPr="00180F73">
        <w:rPr>
          <w:rFonts w:ascii="Garamond" w:hAnsi="Garamond"/>
        </w:rPr>
        <w:t>viteve të katërt</w:t>
      </w:r>
      <w:r w:rsidR="002037AE">
        <w:rPr>
          <w:rFonts w:ascii="Garamond" w:hAnsi="Garamond"/>
        </w:rPr>
        <w:t>a</w:t>
      </w:r>
      <w:r w:rsidRPr="00180F73">
        <w:rPr>
          <w:rFonts w:ascii="Garamond" w:hAnsi="Garamond"/>
        </w:rPr>
        <w:t xml:space="preserve"> dhe të pest</w:t>
      </w:r>
      <w:r w:rsidR="002037AE">
        <w:rPr>
          <w:rFonts w:ascii="Garamond" w:hAnsi="Garamond"/>
        </w:rPr>
        <w:t>a</w:t>
      </w:r>
      <w:r w:rsidRPr="00180F73">
        <w:rPr>
          <w:rFonts w:ascii="Garamond" w:hAnsi="Garamond"/>
        </w:rPr>
        <w:t xml:space="preserve"> pas atij të përcaktimit të infeksionit, mbjellja e bimëve jobujtëse të dëmtuesit të specifikuar, për të cilat nuk ekziston risk i identifikuar për mbijetesën ose përhapjen e dëmtuesit të specifikuar;</w:t>
      </w:r>
    </w:p>
    <w:p w14:paraId="0309247B" w14:textId="5844F5D1" w:rsidR="00990EF3" w:rsidRPr="00180F73" w:rsidRDefault="00990EF3" w:rsidP="00990EF3">
      <w:pPr>
        <w:tabs>
          <w:tab w:val="left" w:pos="2340"/>
        </w:tabs>
        <w:ind w:firstLine="284"/>
        <w:jc w:val="both"/>
        <w:rPr>
          <w:rFonts w:ascii="Garamond" w:hAnsi="Garamond"/>
        </w:rPr>
      </w:pPr>
      <w:r w:rsidRPr="00180F73">
        <w:rPr>
          <w:rFonts w:ascii="Garamond" w:hAnsi="Garamond"/>
        </w:rPr>
        <w:lastRenderedPageBreak/>
        <w:t>7</w:t>
      </w:r>
      <w:r w:rsidR="002037AE">
        <w:rPr>
          <w:rFonts w:ascii="Garamond" w:hAnsi="Garamond"/>
        </w:rPr>
        <w:t xml:space="preserve">. </w:t>
      </w:r>
      <w:r w:rsidR="002037AE" w:rsidRPr="00180F73">
        <w:rPr>
          <w:rFonts w:ascii="Garamond" w:hAnsi="Garamond"/>
        </w:rPr>
        <w:t xml:space="preserve">Nga </w:t>
      </w:r>
      <w:r w:rsidRPr="00180F73">
        <w:rPr>
          <w:rFonts w:ascii="Garamond" w:hAnsi="Garamond"/>
        </w:rPr>
        <w:t>viti i gjashtë pas atij të përcaktimit të infeksionit, dhe me kusht që pikat 4, 5 dhe 6 janë plotësuar dhe se vendndodhja i prodhimit ka qenë i pastër nga bimët e specifikuara të pakultivuara, si dhe nga bimët bujtëse të egra solanaceous të dëmtuesit të specifikuar gjatë kontrolleve zyrtare për të paktën dy v</w:t>
      </w:r>
      <w:r w:rsidR="00723C12">
        <w:rPr>
          <w:rFonts w:ascii="Garamond" w:hAnsi="Garamond"/>
        </w:rPr>
        <w:t>jet</w:t>
      </w:r>
      <w:r w:rsidRPr="00180F73">
        <w:rPr>
          <w:rFonts w:ascii="Garamond" w:hAnsi="Garamond"/>
        </w:rPr>
        <w:t xml:space="preserve"> e njëpasnjësh</w:t>
      </w:r>
      <w:r w:rsidR="00723C12">
        <w:rPr>
          <w:rFonts w:ascii="Garamond" w:hAnsi="Garamond"/>
        </w:rPr>
        <w:t>ë</w:t>
      </w:r>
      <w:r w:rsidRPr="00180F73">
        <w:rPr>
          <w:rFonts w:ascii="Garamond" w:hAnsi="Garamond"/>
        </w:rPr>
        <w:t>m të rritjes para mbjelljes, do të lejohet prodhimi i zhardhokëve për mbjellje ose i zhardhokëve të tjerë, dhe zhardhokët e vjel</w:t>
      </w:r>
      <w:r w:rsidR="0080558D">
        <w:rPr>
          <w:rFonts w:ascii="Garamond" w:hAnsi="Garamond"/>
        </w:rPr>
        <w:t>ë</w:t>
      </w:r>
      <w:r w:rsidRPr="00180F73">
        <w:rPr>
          <w:rFonts w:ascii="Garamond" w:hAnsi="Garamond"/>
        </w:rPr>
        <w:t xml:space="preserve"> ose bimët e domates, sipas rastit, do të testohet në përputhje me </w:t>
      </w:r>
      <w:r w:rsidR="0080558D" w:rsidRPr="00180F73">
        <w:rPr>
          <w:rFonts w:ascii="Garamond" w:hAnsi="Garamond"/>
        </w:rPr>
        <w:t xml:space="preserve">aneksin </w:t>
      </w:r>
      <w:r w:rsidRPr="00180F73">
        <w:rPr>
          <w:rFonts w:ascii="Garamond" w:hAnsi="Garamond"/>
        </w:rPr>
        <w:t>I.</w:t>
      </w:r>
    </w:p>
    <w:p w14:paraId="11BC99BF" w14:textId="2E9E9684" w:rsidR="00990EF3" w:rsidRPr="00180F73" w:rsidRDefault="00990EF3" w:rsidP="00990EF3">
      <w:pPr>
        <w:tabs>
          <w:tab w:val="left" w:pos="2340"/>
        </w:tabs>
        <w:ind w:firstLine="284"/>
        <w:jc w:val="both"/>
        <w:rPr>
          <w:rFonts w:ascii="Garamond" w:hAnsi="Garamond"/>
        </w:rPr>
      </w:pPr>
      <w:r w:rsidRPr="00180F73">
        <w:rPr>
          <w:rFonts w:ascii="Garamond" w:hAnsi="Garamond"/>
        </w:rPr>
        <w:t>4.1.2. Në të gjitha vendndodhjet e tjera të prodhimit të vendit të infektuar të prodhimit dhe me kusht që AKVMB</w:t>
      </w:r>
      <w:r w:rsidR="00697ABE">
        <w:rPr>
          <w:rFonts w:ascii="Garamond" w:hAnsi="Garamond"/>
        </w:rPr>
        <w:t>-ja</w:t>
      </w:r>
      <w:r w:rsidRPr="00180F73">
        <w:rPr>
          <w:rFonts w:ascii="Garamond" w:hAnsi="Garamond"/>
        </w:rPr>
        <w:t xml:space="preserve"> të kenë vërtetuar se risku i bimëve të specifikuara të pakultivuara dhe i bimëve bujtëse të egra solanaceous të dëmtuesit të specifikuar</w:t>
      </w:r>
      <w:r w:rsidR="00C14916">
        <w:rPr>
          <w:rFonts w:ascii="Garamond" w:hAnsi="Garamond"/>
        </w:rPr>
        <w:t>,</w:t>
      </w:r>
      <w:r w:rsidRPr="00180F73">
        <w:rPr>
          <w:rFonts w:ascii="Garamond" w:hAnsi="Garamond"/>
        </w:rPr>
        <w:t xml:space="preserve"> sipas rastit është eliminuar, do të zbatohen kushtet e mëposhtme:</w:t>
      </w:r>
    </w:p>
    <w:p w14:paraId="0B62E372" w14:textId="770B8C22"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C14916">
        <w:rPr>
          <w:rFonts w:ascii="Garamond" w:hAnsi="Garamond"/>
        </w:rPr>
        <w:t xml:space="preserve">. </w:t>
      </w:r>
      <w:r w:rsidRPr="00180F73">
        <w:rPr>
          <w:rFonts w:ascii="Garamond" w:hAnsi="Garamond"/>
        </w:rPr>
        <w:t>Bimët e certifikuara të zhardhokëve të patates mund të mbillen në vendndodhjet e prodhimit ku, të paktën gjatë dy viteve, nuk janë rritur patate ose bimë të tjera të kultivuara bujtëse solanaceous dhe janë plotësuar të gjitha kërkesat e mëposhtme:</w:t>
      </w:r>
    </w:p>
    <w:p w14:paraId="6BBC4296" w14:textId="0D34CEF3" w:rsidR="00990EF3" w:rsidRPr="00180F73" w:rsidRDefault="00990EF3" w:rsidP="00990EF3">
      <w:pPr>
        <w:tabs>
          <w:tab w:val="left" w:pos="2340"/>
        </w:tabs>
        <w:ind w:firstLine="284"/>
        <w:jc w:val="both"/>
        <w:rPr>
          <w:rFonts w:ascii="Garamond" w:hAnsi="Garamond"/>
        </w:rPr>
      </w:pPr>
      <w:r w:rsidRPr="00180F73">
        <w:rPr>
          <w:rFonts w:ascii="Garamond" w:hAnsi="Garamond"/>
        </w:rPr>
        <w:t>a) hulumtimet e kryera nga AKVMB</w:t>
      </w:r>
      <w:r w:rsidR="00697ABE">
        <w:rPr>
          <w:rFonts w:ascii="Garamond" w:hAnsi="Garamond"/>
        </w:rPr>
        <w:t>-ja</w:t>
      </w:r>
      <w:r w:rsidRPr="00180F73">
        <w:rPr>
          <w:rFonts w:ascii="Garamond" w:hAnsi="Garamond"/>
        </w:rPr>
        <w:t xml:space="preserve"> kanë treguar se burimi i infeksionit në vendin e prodhimit ka qenë vetëm klonal dhe jo nga kontakti me grupe të tjera zhardhokësh;</w:t>
      </w:r>
    </w:p>
    <w:p w14:paraId="30535AD8" w14:textId="3433FF6E" w:rsidR="00990EF3" w:rsidRPr="00180F73" w:rsidRDefault="00990EF3" w:rsidP="00990EF3">
      <w:pPr>
        <w:tabs>
          <w:tab w:val="left" w:pos="2340"/>
        </w:tabs>
        <w:ind w:firstLine="284"/>
        <w:jc w:val="both"/>
        <w:rPr>
          <w:rFonts w:ascii="Garamond" w:hAnsi="Garamond"/>
        </w:rPr>
      </w:pPr>
      <w:r w:rsidRPr="00180F73">
        <w:rPr>
          <w:rFonts w:ascii="Garamond" w:hAnsi="Garamond"/>
        </w:rPr>
        <w:t>b) këto hulumtime bazohen në të dhënat e testimit të të gjitha pjesëve të tjera të patates që janë rritur në vendin e prodhimit, si dhe në hulumtimet e burimeve të tjera të mundshme të infektimit, dhe veçanërisht në rrugët ujore aty pranë;</w:t>
      </w:r>
    </w:p>
    <w:p w14:paraId="08D0EF1B" w14:textId="49DAF5F4" w:rsidR="00990EF3" w:rsidRPr="00180F73" w:rsidRDefault="00990EF3" w:rsidP="00990EF3">
      <w:pPr>
        <w:tabs>
          <w:tab w:val="left" w:pos="2340"/>
        </w:tabs>
        <w:ind w:firstLine="284"/>
        <w:jc w:val="both"/>
        <w:rPr>
          <w:rFonts w:ascii="Garamond" w:hAnsi="Garamond"/>
        </w:rPr>
      </w:pPr>
      <w:r w:rsidRPr="00180F73">
        <w:rPr>
          <w:rFonts w:ascii="Garamond" w:hAnsi="Garamond"/>
        </w:rPr>
        <w:t>c) zhardhokët e prodhuar në këto vendndodhje prodhimi janë testuar përpara tregtimit, në përputhje me aneksin I.</w:t>
      </w:r>
    </w:p>
    <w:p w14:paraId="5271A218" w14:textId="14190D18"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C14916">
        <w:rPr>
          <w:rFonts w:ascii="Garamond" w:hAnsi="Garamond"/>
        </w:rPr>
        <w:t>.</w:t>
      </w:r>
      <w:r w:rsidRPr="00180F73">
        <w:rPr>
          <w:rFonts w:ascii="Garamond" w:hAnsi="Garamond"/>
        </w:rPr>
        <w:t xml:space="preserve"> Në raste të tjera, do të zbatohen kushtet e mëposhtme:</w:t>
      </w:r>
    </w:p>
    <w:p w14:paraId="6C6450E7" w14:textId="701A670E" w:rsidR="00990EF3" w:rsidRPr="00180F73" w:rsidRDefault="00990EF3" w:rsidP="00990EF3">
      <w:pPr>
        <w:tabs>
          <w:tab w:val="left" w:pos="2340"/>
        </w:tabs>
        <w:ind w:firstLine="284"/>
        <w:jc w:val="both"/>
        <w:rPr>
          <w:rFonts w:ascii="Garamond" w:hAnsi="Garamond"/>
        </w:rPr>
      </w:pPr>
      <w:r w:rsidRPr="00180F73">
        <w:rPr>
          <w:rFonts w:ascii="Garamond" w:hAnsi="Garamond"/>
        </w:rPr>
        <w:t>a) në vitin e rritjes që pason atë të përcaktimit të infeksionit:</w:t>
      </w:r>
    </w:p>
    <w:p w14:paraId="5F80941E" w14:textId="20181AB4"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në rastin e patates, ose nuk do të mbillen zhardhokët ose bimët</w:t>
      </w:r>
      <w:r w:rsidR="00C14916">
        <w:rPr>
          <w:rFonts w:ascii="Garamond" w:hAnsi="Garamond"/>
        </w:rPr>
        <w:t>,</w:t>
      </w:r>
      <w:r w:rsidRPr="00180F73">
        <w:rPr>
          <w:rFonts w:ascii="Garamond" w:hAnsi="Garamond"/>
        </w:rPr>
        <w:t xml:space="preserve"> ose farërat e patates, dhe asnjë bimë bujtëse tjetër e kultivuar solanaceous e dëmtuesit të specifikuar, ose zhardhokët e certifikuar për mbjellje mund të mbillen vetëm për prodhimin e zhardhokëve për konsum;</w:t>
      </w:r>
    </w:p>
    <w:p w14:paraId="102D13A3" w14:textId="77777777" w:rsidR="00C14916" w:rsidRDefault="00990EF3" w:rsidP="00C14916">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në rastin e domates, bimët e domates të rritura nga farat, të cilat plotësojnë kërkesat e </w:t>
      </w:r>
      <w:r w:rsidR="00C14916" w:rsidRPr="00180F73">
        <w:rPr>
          <w:rFonts w:ascii="Garamond" w:hAnsi="Garamond"/>
        </w:rPr>
        <w:t xml:space="preserve">urdhrit </w:t>
      </w:r>
      <w:r w:rsidRPr="00180F73">
        <w:rPr>
          <w:rFonts w:ascii="Garamond" w:hAnsi="Garamond"/>
        </w:rPr>
        <w:t>nr. 113</w:t>
      </w:r>
      <w:r w:rsidRPr="00180F73">
        <w:rPr>
          <w:rFonts w:ascii="Garamond" w:hAnsi="Garamond"/>
          <w:vertAlign w:val="superscript"/>
        </w:rPr>
        <w:t>(1)</w:t>
      </w:r>
      <w:r w:rsidRPr="00180F73">
        <w:rPr>
          <w:rFonts w:ascii="Garamond" w:hAnsi="Garamond"/>
        </w:rPr>
        <w:t xml:space="preserve"> mund të mbillen vetëm për prodhim frutash;</w:t>
      </w:r>
    </w:p>
    <w:p w14:paraId="5D199E27" w14:textId="19ACAB1C" w:rsidR="00990EF3" w:rsidRPr="00180F73" w:rsidRDefault="00990EF3" w:rsidP="00C14916">
      <w:pPr>
        <w:tabs>
          <w:tab w:val="left" w:pos="2340"/>
        </w:tabs>
        <w:ind w:firstLine="284"/>
        <w:jc w:val="both"/>
        <w:rPr>
          <w:rFonts w:ascii="Garamond" w:hAnsi="Garamond"/>
        </w:rPr>
      </w:pPr>
      <w:r w:rsidRPr="00180F73">
        <w:rPr>
          <w:rFonts w:ascii="Garamond" w:hAnsi="Garamond"/>
        </w:rPr>
        <w:t>b) në vitin e dytë të rritjes pas atij të përcaktimit të infeksionit:</w:t>
      </w:r>
    </w:p>
    <w:p w14:paraId="3AD523D9" w14:textId="533EC789"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vetëm zhardhokët e certifikuar për mbjellje ose zhardhokët për mbjellje të testuar për mungesën e dëmtuesit të specifikuar dhe të rritur nën kontrollin zyrtar në vende të prodhimit të ndryshme nga ato të përmendura në pikën 4.1 do të mbillen për prodhimin e zhardhokëve për mbjellje ose zhardhokët të tjerë;</w:t>
      </w:r>
    </w:p>
    <w:p w14:paraId="1DCD01F8" w14:textId="150144D3"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vetëm bimë domate të rritura nga farat që plotësojnë kërkesat e </w:t>
      </w:r>
      <w:r w:rsidR="0020175B" w:rsidRPr="00180F73">
        <w:rPr>
          <w:rFonts w:ascii="Garamond" w:hAnsi="Garamond"/>
        </w:rPr>
        <w:t xml:space="preserve">urdhrit </w:t>
      </w:r>
      <w:r w:rsidRPr="00180F73">
        <w:rPr>
          <w:rFonts w:ascii="Garamond" w:hAnsi="Garamond"/>
        </w:rPr>
        <w:t xml:space="preserve">nr. 113 ose, nëse shumohen në mënyrë vegjetative, nga bimë domate të prodhuara nga fara të tilla dhe të rritura nën kontrollin zyrtar në vendet e prodhimit të ndryshme nga ato të përmendura në pikën 4.1 do të mbillen për prodhim bimor ose frutash; </w:t>
      </w:r>
    </w:p>
    <w:p w14:paraId="5CD13B2B" w14:textId="3FF086FC" w:rsidR="00990EF3" w:rsidRPr="00180F73" w:rsidRDefault="00990EF3" w:rsidP="00990EF3">
      <w:pPr>
        <w:tabs>
          <w:tab w:val="left" w:pos="2340"/>
        </w:tabs>
        <w:ind w:firstLine="284"/>
        <w:jc w:val="both"/>
        <w:rPr>
          <w:rFonts w:ascii="Garamond" w:hAnsi="Garamond"/>
        </w:rPr>
      </w:pPr>
      <w:r w:rsidRPr="00180F73">
        <w:rPr>
          <w:rFonts w:ascii="Garamond" w:hAnsi="Garamond"/>
        </w:rPr>
        <w:t>c) për të paktën në vitin e tretë të rritjes pas atij të përcaktimit të infeksionit:</w:t>
      </w:r>
    </w:p>
    <w:p w14:paraId="61D7C3AD" w14:textId="73ECC8B4"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vetëm zhardhokët e certifikuar për mbjellje ose zhardhokët për mbjellje të rritura nën kontrollin zyrtar do të mbillen për prodhimin e zhardhokëve për mbjellje ose zhardhokëve të tjerë;</w:t>
      </w:r>
    </w:p>
    <w:p w14:paraId="2D7AA2A2" w14:textId="0853316D"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vetëm bimët e domates të rritura nga farat që plotësojnë kërkesat e </w:t>
      </w:r>
      <w:r w:rsidR="0080558D" w:rsidRPr="00180F73">
        <w:rPr>
          <w:rFonts w:ascii="Garamond" w:hAnsi="Garamond"/>
        </w:rPr>
        <w:t xml:space="preserve">urdhrit </w:t>
      </w:r>
      <w:r w:rsidRPr="00180F73">
        <w:rPr>
          <w:rFonts w:ascii="Garamond" w:hAnsi="Garamond"/>
        </w:rPr>
        <w:t>nr. 113 ose bimët e domates të rritura nën kontrollin zyrtar nga këto bimë do të mbillen ose për prodhim bimore ose frutash;</w:t>
      </w:r>
    </w:p>
    <w:p w14:paraId="54BDF213" w14:textId="78F2A80D" w:rsidR="00990EF3" w:rsidRPr="00180F73" w:rsidRDefault="00990EF3" w:rsidP="00990EF3">
      <w:pPr>
        <w:tabs>
          <w:tab w:val="left" w:pos="2340"/>
        </w:tabs>
        <w:ind w:firstLine="284"/>
        <w:jc w:val="both"/>
        <w:rPr>
          <w:rFonts w:ascii="Garamond" w:hAnsi="Garamond"/>
        </w:rPr>
      </w:pPr>
      <w:r w:rsidRPr="00180F73">
        <w:rPr>
          <w:rFonts w:ascii="Garamond" w:eastAsiaTheme="minorHAnsi" w:hAnsi="Garamond"/>
          <w:bCs/>
          <w:lang w:eastAsia="en-US"/>
        </w:rPr>
        <w:t>ç</w:t>
      </w:r>
      <w:r w:rsidRPr="00180F73">
        <w:rPr>
          <w:rFonts w:ascii="Garamond" w:hAnsi="Garamond"/>
        </w:rPr>
        <w:t xml:space="preserve">) në secilin prej viteve të rritjes të përmendura në shkronjat </w:t>
      </w:r>
      <w:r w:rsidR="00314D2A">
        <w:rPr>
          <w:rFonts w:ascii="Garamond" w:hAnsi="Garamond"/>
        </w:rPr>
        <w:t>“</w:t>
      </w:r>
      <w:r w:rsidRPr="00180F73">
        <w:rPr>
          <w:rFonts w:ascii="Garamond" w:hAnsi="Garamond"/>
        </w:rPr>
        <w:t>a</w:t>
      </w:r>
      <w:r w:rsidR="00314D2A">
        <w:rPr>
          <w:rFonts w:ascii="Garamond" w:hAnsi="Garamond"/>
        </w:rPr>
        <w:t>”</w:t>
      </w:r>
      <w:r w:rsidRPr="00180F73">
        <w:rPr>
          <w:rFonts w:ascii="Garamond" w:hAnsi="Garamond"/>
        </w:rPr>
        <w:t xml:space="preserve">, </w:t>
      </w:r>
      <w:r w:rsidR="00314D2A">
        <w:rPr>
          <w:rFonts w:ascii="Garamond" w:hAnsi="Garamond"/>
        </w:rPr>
        <w:t>“</w:t>
      </w:r>
      <w:r w:rsidRPr="00180F73">
        <w:rPr>
          <w:rFonts w:ascii="Garamond" w:hAnsi="Garamond"/>
        </w:rPr>
        <w:t>b</w:t>
      </w:r>
      <w:r w:rsidR="00314D2A">
        <w:rPr>
          <w:rFonts w:ascii="Garamond" w:hAnsi="Garamond"/>
        </w:rPr>
        <w:t>”</w:t>
      </w:r>
      <w:r w:rsidRPr="00180F73">
        <w:rPr>
          <w:rFonts w:ascii="Garamond" w:hAnsi="Garamond"/>
        </w:rPr>
        <w:t xml:space="preserve"> dhe </w:t>
      </w:r>
      <w:r w:rsidR="00314D2A">
        <w:rPr>
          <w:rFonts w:ascii="Garamond" w:hAnsi="Garamond"/>
        </w:rPr>
        <w:t>“</w:t>
      </w:r>
      <w:r w:rsidRPr="00180F73">
        <w:rPr>
          <w:rFonts w:ascii="Garamond" w:hAnsi="Garamond"/>
        </w:rPr>
        <w:t>c</w:t>
      </w:r>
      <w:r w:rsidR="00314D2A">
        <w:rPr>
          <w:rFonts w:ascii="Garamond" w:hAnsi="Garamond"/>
        </w:rPr>
        <w:t>”</w:t>
      </w:r>
      <w:r w:rsidRPr="00180F73">
        <w:rPr>
          <w:rFonts w:ascii="Garamond" w:hAnsi="Garamond"/>
        </w:rPr>
        <w:t>, do të merren masa për të eliminuar bimët të pakultivuara të patates dhe bimët bujtëse të egra solanaceous të dëmtuesit të specifikuar</w:t>
      </w:r>
      <w:r w:rsidR="00314D2A">
        <w:rPr>
          <w:rFonts w:ascii="Garamond" w:hAnsi="Garamond"/>
        </w:rPr>
        <w:t>,</w:t>
      </w:r>
      <w:r w:rsidRPr="00180F73">
        <w:rPr>
          <w:rFonts w:ascii="Garamond" w:hAnsi="Garamond"/>
        </w:rPr>
        <w:t xml:space="preserve"> nëse janë të pranishëm, dhe do të kryhen kontrolle zyrtare të kulturave në rritje në kohë të përshtatshme dhe në çdo vendndodhje prodhimi të patates, zhardhokët e vjel</w:t>
      </w:r>
      <w:r w:rsidR="0080558D">
        <w:rPr>
          <w:rFonts w:ascii="Garamond" w:hAnsi="Garamond"/>
        </w:rPr>
        <w:t>ë</w:t>
      </w:r>
      <w:r w:rsidRPr="00180F73">
        <w:rPr>
          <w:rFonts w:ascii="Garamond" w:hAnsi="Garamond"/>
        </w:rPr>
        <w:t xml:space="preserve"> do të testohen në përputhje me aneksin I.</w:t>
      </w:r>
    </w:p>
    <w:p w14:paraId="16807D6C" w14:textId="4AE7D3F2" w:rsidR="00990EF3" w:rsidRPr="00180F73" w:rsidRDefault="00990EF3" w:rsidP="00990EF3">
      <w:pPr>
        <w:tabs>
          <w:tab w:val="left" w:pos="2340"/>
        </w:tabs>
        <w:ind w:firstLine="284"/>
        <w:jc w:val="both"/>
        <w:rPr>
          <w:rFonts w:ascii="Garamond" w:hAnsi="Garamond"/>
        </w:rPr>
      </w:pPr>
      <w:r w:rsidRPr="00180F73">
        <w:rPr>
          <w:rFonts w:ascii="Garamond" w:hAnsi="Garamond"/>
        </w:rPr>
        <w:lastRenderedPageBreak/>
        <w:t xml:space="preserve">4.1.3. Menjëherë pas përcaktimit të infeksionit në përputhje me shkronjën </w:t>
      </w:r>
      <w:r w:rsidR="00314D2A">
        <w:rPr>
          <w:rFonts w:ascii="Garamond" w:hAnsi="Garamond"/>
        </w:rPr>
        <w:t>“</w:t>
      </w:r>
      <w:r w:rsidRPr="00180F73">
        <w:rPr>
          <w:rFonts w:ascii="Garamond" w:hAnsi="Garamond"/>
        </w:rPr>
        <w:t>i</w:t>
      </w:r>
      <w:r w:rsidR="00314D2A">
        <w:rPr>
          <w:rFonts w:ascii="Garamond" w:hAnsi="Garamond"/>
        </w:rPr>
        <w:t>”</w:t>
      </w:r>
      <w:r w:rsidRPr="00180F73">
        <w:rPr>
          <w:rFonts w:ascii="Garamond" w:hAnsi="Garamond"/>
        </w:rPr>
        <w:t xml:space="preserve">, </w:t>
      </w:r>
      <w:r w:rsidR="00314D2A">
        <w:rPr>
          <w:rFonts w:ascii="Garamond" w:hAnsi="Garamond"/>
        </w:rPr>
        <w:t>“</w:t>
      </w:r>
      <w:r w:rsidRPr="00180F73">
        <w:rPr>
          <w:rFonts w:ascii="Garamond" w:eastAsiaTheme="minorHAnsi" w:hAnsi="Garamond"/>
          <w:bCs/>
          <w:lang w:eastAsia="en-US"/>
        </w:rPr>
        <w:t>ç</w:t>
      </w:r>
      <w:r w:rsidR="00314D2A">
        <w:rPr>
          <w:rFonts w:ascii="Garamond" w:hAnsi="Garamond"/>
        </w:rPr>
        <w:t>”,</w:t>
      </w:r>
      <w:r w:rsidRPr="00180F73">
        <w:rPr>
          <w:rFonts w:ascii="Garamond" w:hAnsi="Garamond"/>
        </w:rPr>
        <w:t xml:space="preserve"> të pikës 2</w:t>
      </w:r>
      <w:r w:rsidR="00314D2A">
        <w:rPr>
          <w:rFonts w:ascii="Garamond" w:hAnsi="Garamond"/>
        </w:rPr>
        <w:t>,</w:t>
      </w:r>
      <w:r w:rsidRPr="00180F73">
        <w:rPr>
          <w:rFonts w:ascii="Garamond" w:hAnsi="Garamond"/>
        </w:rPr>
        <w:t xml:space="preserve"> të nenit 5, dhe pas vitit të parë të rritjes pasuese:</w:t>
      </w:r>
    </w:p>
    <w:p w14:paraId="5A5861BD" w14:textId="28D060A9"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Të gjitha makineritë dhe objektet e magazinimit në vendin e prodhimit dhe të përfshira në prodhimin e specifikuar të bimëve duhet të pastrohen dhe, sipas rastit, të dezinfektohen duke përdorur metodat e duhura, siç përcaktohet në pikën 3.</w:t>
      </w:r>
    </w:p>
    <w:p w14:paraId="0BAA70C5" w14:textId="41C5502E"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Kontrollet zyrtare në programet e ujitjes dhe </w:t>
      </w:r>
      <w:r w:rsidR="00076D79">
        <w:rPr>
          <w:rFonts w:ascii="Garamond" w:hAnsi="Garamond"/>
        </w:rPr>
        <w:t xml:space="preserve">të </w:t>
      </w:r>
      <w:r w:rsidRPr="00180F73">
        <w:rPr>
          <w:rFonts w:ascii="Garamond" w:hAnsi="Garamond"/>
        </w:rPr>
        <w:t>spërkatjes, duke përfshirë ndalimin e tyre, do të vendosen sipas rastit për të parandaluar përhapjen e dëmtuesit të specifikuar.</w:t>
      </w:r>
    </w:p>
    <w:p w14:paraId="4DB301C5" w14:textId="1FE7F5A9" w:rsidR="00990EF3" w:rsidRPr="00180F73" w:rsidRDefault="00990EF3" w:rsidP="00990EF3">
      <w:pPr>
        <w:tabs>
          <w:tab w:val="left" w:pos="2340"/>
        </w:tabs>
        <w:ind w:firstLine="284"/>
        <w:jc w:val="both"/>
        <w:rPr>
          <w:rFonts w:ascii="Garamond" w:hAnsi="Garamond"/>
        </w:rPr>
      </w:pPr>
      <w:r w:rsidRPr="00180F73">
        <w:rPr>
          <w:rFonts w:ascii="Garamond" w:hAnsi="Garamond"/>
        </w:rPr>
        <w:t>4.1.4. Në një njësi të prodhimit bimor të mbrojtur të përcaktuar si të infektuar</w:t>
      </w:r>
      <w:r w:rsidR="005957FD">
        <w:rPr>
          <w:rFonts w:ascii="Garamond" w:hAnsi="Garamond"/>
        </w:rPr>
        <w:t>,</w:t>
      </w:r>
      <w:r w:rsidRPr="00180F73">
        <w:rPr>
          <w:rFonts w:ascii="Garamond" w:hAnsi="Garamond"/>
        </w:rPr>
        <w:t xml:space="preserve"> në përputhje me shkronjën </w:t>
      </w:r>
      <w:r w:rsidR="005957FD">
        <w:rPr>
          <w:rFonts w:ascii="Garamond" w:hAnsi="Garamond"/>
        </w:rPr>
        <w:t>“</w:t>
      </w:r>
      <w:r w:rsidRPr="00180F73">
        <w:rPr>
          <w:rFonts w:ascii="Garamond" w:hAnsi="Garamond"/>
        </w:rPr>
        <w:t>i</w:t>
      </w:r>
      <w:r w:rsidR="005957FD">
        <w:rPr>
          <w:rFonts w:ascii="Garamond" w:hAnsi="Garamond"/>
        </w:rPr>
        <w:t>”</w:t>
      </w:r>
      <w:r w:rsidRPr="00180F73">
        <w:rPr>
          <w:rFonts w:ascii="Garamond" w:hAnsi="Garamond"/>
        </w:rPr>
        <w:t xml:space="preserve">, </w:t>
      </w:r>
      <w:r w:rsidR="005957FD">
        <w:rPr>
          <w:rFonts w:ascii="Garamond" w:hAnsi="Garamond"/>
        </w:rPr>
        <w:t>“</w:t>
      </w:r>
      <w:r w:rsidRPr="00180F73">
        <w:rPr>
          <w:rFonts w:ascii="Garamond" w:eastAsiaTheme="minorHAnsi" w:hAnsi="Garamond"/>
          <w:bCs/>
          <w:lang w:eastAsia="en-US"/>
        </w:rPr>
        <w:t>ç</w:t>
      </w:r>
      <w:r w:rsidR="005957FD">
        <w:rPr>
          <w:rFonts w:ascii="Garamond" w:hAnsi="Garamond"/>
        </w:rPr>
        <w:t>”,</w:t>
      </w:r>
      <w:r w:rsidRPr="00180F73">
        <w:rPr>
          <w:rFonts w:ascii="Garamond" w:hAnsi="Garamond"/>
        </w:rPr>
        <w:t xml:space="preserve"> të pikës 2</w:t>
      </w:r>
      <w:r w:rsidR="005957FD">
        <w:rPr>
          <w:rFonts w:ascii="Garamond" w:hAnsi="Garamond"/>
        </w:rPr>
        <w:t>,</w:t>
      </w:r>
      <w:r w:rsidRPr="00180F73">
        <w:rPr>
          <w:rFonts w:ascii="Garamond" w:hAnsi="Garamond"/>
        </w:rPr>
        <w:t xml:space="preserve"> të nenit 5, ku zëvendësimi i plotë i mjedisit të rritjes është i mundur:</w:t>
      </w:r>
    </w:p>
    <w:p w14:paraId="6757AEC4" w14:textId="1AFFC971"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Asnjë bimë e specifikuar, asnjë farë patate dhe asnjë bimë tjetër bujtëse solanaceous e kultivuar e dëmtuesit të specifikuar nuk do të mbillet, përveç nëse njësia e prodhimit i është nënshtruar të gjitha masave të mbikëqyrura zyrtarisht të mëposhtme:</w:t>
      </w:r>
    </w:p>
    <w:p w14:paraId="29D88AFE" w14:textId="4276D0E9" w:rsidR="00990EF3" w:rsidRPr="00180F73" w:rsidRDefault="00990EF3" w:rsidP="00990EF3">
      <w:pPr>
        <w:tabs>
          <w:tab w:val="left" w:pos="2340"/>
        </w:tabs>
        <w:ind w:firstLine="284"/>
        <w:jc w:val="both"/>
        <w:rPr>
          <w:rFonts w:ascii="Garamond" w:hAnsi="Garamond"/>
        </w:rPr>
      </w:pPr>
      <w:r w:rsidRPr="00180F73">
        <w:rPr>
          <w:rFonts w:ascii="Garamond" w:hAnsi="Garamond"/>
        </w:rPr>
        <w:t>a) eliminimi i dëmtuesit të specifikuar;</w:t>
      </w:r>
    </w:p>
    <w:p w14:paraId="7358FA6D" w14:textId="6339523C" w:rsidR="00990EF3" w:rsidRPr="00180F73" w:rsidRDefault="00990EF3" w:rsidP="00990EF3">
      <w:pPr>
        <w:tabs>
          <w:tab w:val="left" w:pos="2340"/>
        </w:tabs>
        <w:ind w:firstLine="284"/>
        <w:jc w:val="both"/>
        <w:rPr>
          <w:rFonts w:ascii="Garamond" w:hAnsi="Garamond"/>
        </w:rPr>
      </w:pPr>
      <w:r w:rsidRPr="00180F73">
        <w:rPr>
          <w:rFonts w:ascii="Garamond" w:hAnsi="Garamond"/>
        </w:rPr>
        <w:t>b) heqja e të gjithë materialit bimor bujtës;</w:t>
      </w:r>
    </w:p>
    <w:p w14:paraId="378C24BB" w14:textId="2914AE9A" w:rsidR="00990EF3" w:rsidRPr="00180F73" w:rsidRDefault="00990EF3" w:rsidP="00990EF3">
      <w:pPr>
        <w:tabs>
          <w:tab w:val="left" w:pos="2340"/>
        </w:tabs>
        <w:ind w:firstLine="284"/>
        <w:jc w:val="both"/>
        <w:rPr>
          <w:rFonts w:ascii="Garamond" w:hAnsi="Garamond"/>
        </w:rPr>
      </w:pPr>
      <w:r w:rsidRPr="00180F73">
        <w:rPr>
          <w:rFonts w:ascii="Garamond" w:hAnsi="Garamond"/>
        </w:rPr>
        <w:t>c) ndryshimi i plotë në mjedisin e rritjes dhe pastrimi dhe, sipas rastit, dezinfektimi i njësisë në fjalë dhe të gjitha pajisjeve;</w:t>
      </w:r>
    </w:p>
    <w:p w14:paraId="1669DA99" w14:textId="3F869D5D" w:rsidR="00990EF3" w:rsidRPr="00180F73" w:rsidRDefault="00990EF3" w:rsidP="00990EF3">
      <w:pPr>
        <w:tabs>
          <w:tab w:val="left" w:pos="2340"/>
        </w:tabs>
        <w:ind w:firstLine="284"/>
        <w:jc w:val="both"/>
        <w:rPr>
          <w:rFonts w:ascii="Garamond" w:hAnsi="Garamond"/>
        </w:rPr>
      </w:pPr>
      <w:r w:rsidRPr="00180F73">
        <w:rPr>
          <w:rFonts w:ascii="Garamond" w:eastAsiaTheme="minorHAnsi" w:hAnsi="Garamond"/>
          <w:bCs/>
          <w:lang w:eastAsia="en-US"/>
        </w:rPr>
        <w:t>ç</w:t>
      </w:r>
      <w:r w:rsidRPr="00180F73">
        <w:rPr>
          <w:rFonts w:ascii="Garamond" w:hAnsi="Garamond"/>
        </w:rPr>
        <w:t>) miratimin e prodhimit të patates ose domates nga AKVMB</w:t>
      </w:r>
      <w:r w:rsidR="00FC3AF8">
        <w:rPr>
          <w:rFonts w:ascii="Garamond" w:hAnsi="Garamond"/>
        </w:rPr>
        <w:t>-ja</w:t>
      </w:r>
      <w:r w:rsidRPr="00180F73">
        <w:rPr>
          <w:rFonts w:ascii="Garamond" w:hAnsi="Garamond"/>
        </w:rPr>
        <w:t>.</w:t>
      </w:r>
    </w:p>
    <w:p w14:paraId="75F3F00D" w14:textId="20C822C6"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Prodhimi i patates duhet të jetë nga zhardhokët e certifikuar për mbjellje, ose nga minizhardhokët ose mikrobimët që rrjedhin nga burimet e testuar.</w:t>
      </w:r>
    </w:p>
    <w:p w14:paraId="2A4D2613" w14:textId="7DBB7A39" w:rsidR="00990EF3" w:rsidRPr="00180F73" w:rsidRDefault="00990EF3" w:rsidP="00990EF3">
      <w:pPr>
        <w:tabs>
          <w:tab w:val="left" w:pos="2340"/>
        </w:tabs>
        <w:ind w:firstLine="284"/>
        <w:jc w:val="both"/>
        <w:rPr>
          <w:rFonts w:ascii="Garamond" w:hAnsi="Garamond"/>
        </w:rPr>
      </w:pPr>
      <w:r w:rsidRPr="00180F73">
        <w:rPr>
          <w:rFonts w:ascii="Garamond" w:hAnsi="Garamond"/>
        </w:rPr>
        <w:t>3</w:t>
      </w:r>
      <w:r w:rsidR="00314D2A">
        <w:rPr>
          <w:rFonts w:ascii="Garamond" w:hAnsi="Garamond"/>
        </w:rPr>
        <w:t>.</w:t>
      </w:r>
      <w:r w:rsidRPr="00180F73">
        <w:rPr>
          <w:rFonts w:ascii="Garamond" w:hAnsi="Garamond"/>
        </w:rPr>
        <w:t xml:space="preserve"> Prodhimi i domates do të jetë nga farat që plotësojnë kërkesat e </w:t>
      </w:r>
      <w:r w:rsidR="005957FD" w:rsidRPr="00180F73">
        <w:rPr>
          <w:rFonts w:ascii="Garamond" w:hAnsi="Garamond"/>
        </w:rPr>
        <w:t xml:space="preserve">urdhrit </w:t>
      </w:r>
      <w:r w:rsidRPr="00180F73">
        <w:rPr>
          <w:rFonts w:ascii="Garamond" w:hAnsi="Garamond"/>
        </w:rPr>
        <w:t>nr. 113 ose, nëse shumohen në mënyrë vegjetative, nga bimët e domates të prodhuara nga farat e tilla dhe të rritura nën kontrollin zyrtar.</w:t>
      </w:r>
    </w:p>
    <w:p w14:paraId="6CBA6A69" w14:textId="29713EC3" w:rsidR="00990EF3" w:rsidRPr="00180F73" w:rsidRDefault="00990EF3" w:rsidP="00990EF3">
      <w:pPr>
        <w:tabs>
          <w:tab w:val="left" w:pos="2340"/>
        </w:tabs>
        <w:ind w:firstLine="284"/>
        <w:jc w:val="both"/>
        <w:rPr>
          <w:rFonts w:ascii="Garamond" w:hAnsi="Garamond"/>
        </w:rPr>
      </w:pPr>
      <w:r w:rsidRPr="00180F73">
        <w:rPr>
          <w:rFonts w:ascii="Garamond" w:hAnsi="Garamond"/>
        </w:rPr>
        <w:t>4</w:t>
      </w:r>
      <w:r w:rsidR="00314D2A">
        <w:rPr>
          <w:rFonts w:ascii="Garamond" w:hAnsi="Garamond"/>
        </w:rPr>
        <w:t>.</w:t>
      </w:r>
      <w:r w:rsidRPr="00180F73">
        <w:rPr>
          <w:rFonts w:ascii="Garamond" w:hAnsi="Garamond"/>
        </w:rPr>
        <w:t xml:space="preserve"> Kontrollet zyrtare në programet e ujitjes dhe spërkatjes, duke përfshirë ndalimin e tyre, do të vendosen sipas rastit, për të parandaluar përhapjen e dëmtuesit të specifikuar.</w:t>
      </w:r>
    </w:p>
    <w:p w14:paraId="4691313C" w14:textId="30D4C292" w:rsidR="00990EF3" w:rsidRPr="00180F73" w:rsidRDefault="00990EF3" w:rsidP="00990EF3">
      <w:pPr>
        <w:tabs>
          <w:tab w:val="left" w:pos="2340"/>
        </w:tabs>
        <w:ind w:firstLine="284"/>
        <w:jc w:val="both"/>
        <w:rPr>
          <w:rFonts w:ascii="Garamond" w:hAnsi="Garamond"/>
        </w:rPr>
      </w:pPr>
      <w:r w:rsidRPr="00180F73">
        <w:rPr>
          <w:rFonts w:ascii="Garamond" w:hAnsi="Garamond"/>
        </w:rPr>
        <w:t>4.2. Brenda zonës së shënuar, përveç masave të detajuara në pikën 4.1, AKVMB</w:t>
      </w:r>
      <w:r w:rsidR="00AF11D8">
        <w:rPr>
          <w:rFonts w:ascii="Garamond" w:hAnsi="Garamond"/>
        </w:rPr>
        <w:t>-</w:t>
      </w:r>
      <w:r w:rsidR="001F33E8">
        <w:rPr>
          <w:rFonts w:ascii="Garamond" w:hAnsi="Garamond"/>
        </w:rPr>
        <w:t>të</w:t>
      </w:r>
      <w:r w:rsidRPr="00180F73">
        <w:rPr>
          <w:rFonts w:ascii="Garamond" w:hAnsi="Garamond"/>
        </w:rPr>
        <w:t xml:space="preserve"> do të marr</w:t>
      </w:r>
      <w:r w:rsidR="001F33E8">
        <w:rPr>
          <w:rFonts w:ascii="Garamond" w:hAnsi="Garamond"/>
        </w:rPr>
        <w:t>in</w:t>
      </w:r>
      <w:r w:rsidR="00036FA4">
        <w:rPr>
          <w:rFonts w:ascii="Garamond" w:hAnsi="Garamond"/>
        </w:rPr>
        <w:t xml:space="preserve"> </w:t>
      </w:r>
      <w:r w:rsidRPr="00180F73">
        <w:rPr>
          <w:rFonts w:ascii="Garamond" w:hAnsi="Garamond"/>
        </w:rPr>
        <w:t>masat e mëposhtme:</w:t>
      </w:r>
    </w:p>
    <w:p w14:paraId="4B1AA4A3" w14:textId="1B4D251B"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Menjëherë pas përcaktimit të infeksionit, ata duhet të garantojnë që të gjitha makineritë dhe objektet e magazinimit në zona të tilla të përcaktuara dhe të përfshira në prodhimin bimor të specifikuar të pastrohen dhe dezinfektohen, sipas rastit, duke përdorur metodat e duhura, siç përcaktohet në pikën 3.</w:t>
      </w:r>
    </w:p>
    <w:p w14:paraId="582AD2E3" w14:textId="6DB497CE"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Menjëherë dhe për të paktën tre vjet rritje pas përcaktimit të infeksionit:</w:t>
      </w:r>
    </w:p>
    <w:p w14:paraId="7DE927DA" w14:textId="75C98DC4"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a) në rastet kur zona e shënuar është përcaktuar në përputhje me shkronjën </w:t>
      </w:r>
      <w:r w:rsidR="00337B09">
        <w:rPr>
          <w:rFonts w:ascii="Garamond" w:hAnsi="Garamond"/>
        </w:rPr>
        <w:t>“</w:t>
      </w:r>
      <w:r w:rsidRPr="00180F73">
        <w:rPr>
          <w:rFonts w:ascii="Garamond" w:hAnsi="Garamond"/>
        </w:rPr>
        <w:t>b</w:t>
      </w:r>
      <w:r w:rsidR="00337B09">
        <w:rPr>
          <w:rFonts w:ascii="Garamond" w:hAnsi="Garamond"/>
        </w:rPr>
        <w:t>”,</w:t>
      </w:r>
      <w:r w:rsidRPr="00180F73">
        <w:rPr>
          <w:rFonts w:ascii="Garamond" w:hAnsi="Garamond"/>
        </w:rPr>
        <w:t xml:space="preserve"> të pikës 2</w:t>
      </w:r>
      <w:r w:rsidR="00337B09">
        <w:rPr>
          <w:rFonts w:ascii="Garamond" w:hAnsi="Garamond"/>
        </w:rPr>
        <w:t>,</w:t>
      </w:r>
      <w:r w:rsidRPr="00180F73">
        <w:rPr>
          <w:rFonts w:ascii="Garamond" w:hAnsi="Garamond"/>
        </w:rPr>
        <w:t xml:space="preserve"> të nenit 5:</w:t>
      </w:r>
    </w:p>
    <w:p w14:paraId="74AACAC8" w14:textId="60B97F08"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AKVMB</w:t>
      </w:r>
      <w:r w:rsidR="00697ABE">
        <w:rPr>
          <w:rFonts w:ascii="Garamond" w:hAnsi="Garamond"/>
        </w:rPr>
        <w:t>-ja</w:t>
      </w:r>
      <w:r w:rsidRPr="00180F73">
        <w:rPr>
          <w:rFonts w:ascii="Garamond" w:hAnsi="Garamond"/>
        </w:rPr>
        <w:t xml:space="preserve"> do të garantojnë mbikëqyrje e ambienteve ku rriten, magazinohen ose trajtohen bimët e specifikuara, si dhe vendet e prodhimit ku operojnë makineri për prodhimin bimor të specifikuar sipas kontratës;</w:t>
      </w:r>
    </w:p>
    <w:p w14:paraId="57324CC5" w14:textId="505098C8" w:rsidR="00990EF3" w:rsidRPr="00180F73" w:rsidRDefault="00990EF3" w:rsidP="00990EF3">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ata do të kërkojnë mbjelljen e vetëm zhardhokëve të certifikuar për mbjellje ose zhardhokëve që synohen të mbillen në të njëjtin vend prodhimi të rritur nën kontrollin zyrtar për të gjitha kulturat e patates</w:t>
      </w:r>
      <w:r w:rsidR="00337B09">
        <w:rPr>
          <w:rFonts w:ascii="Garamond" w:hAnsi="Garamond"/>
        </w:rPr>
        <w:t>,</w:t>
      </w:r>
      <w:r w:rsidRPr="00180F73">
        <w:rPr>
          <w:rFonts w:ascii="Garamond" w:hAnsi="Garamond"/>
        </w:rPr>
        <w:t xml:space="preserve"> brenda asaj zone, dhe testimin pas korrjes së zhardhokëve për mbjellje të rritura në vendet e prodhimi i përcaktuar si i infektuar me gjasë në përputhje me nenin 5(2), pika (d)(ii);</w:t>
      </w:r>
    </w:p>
    <w:p w14:paraId="3FB813FB" w14:textId="4A990FFC" w:rsidR="00990EF3" w:rsidRPr="00180F73" w:rsidRDefault="00990EF3" w:rsidP="00990EF3">
      <w:pPr>
        <w:tabs>
          <w:tab w:val="left" w:pos="2340"/>
        </w:tabs>
        <w:ind w:firstLine="284"/>
        <w:jc w:val="both"/>
        <w:rPr>
          <w:rFonts w:ascii="Garamond" w:hAnsi="Garamond"/>
        </w:rPr>
      </w:pPr>
      <w:r w:rsidRPr="00180F73">
        <w:rPr>
          <w:rFonts w:ascii="Garamond" w:hAnsi="Garamond"/>
        </w:rPr>
        <w:t>iii</w:t>
      </w:r>
      <w:r w:rsidR="004F70C0">
        <w:rPr>
          <w:rFonts w:ascii="Garamond" w:hAnsi="Garamond"/>
        </w:rPr>
        <w:t xml:space="preserve">. </w:t>
      </w:r>
      <w:r w:rsidRPr="00180F73">
        <w:rPr>
          <w:rFonts w:ascii="Garamond" w:hAnsi="Garamond"/>
        </w:rPr>
        <w:t>do të kërkojnë trajtimin e veçantë të zhardhokëve të vjel</w:t>
      </w:r>
      <w:r w:rsidR="00466F53">
        <w:rPr>
          <w:rFonts w:ascii="Garamond" w:hAnsi="Garamond"/>
        </w:rPr>
        <w:t>ë</w:t>
      </w:r>
      <w:r w:rsidRPr="00180F73">
        <w:rPr>
          <w:rFonts w:ascii="Garamond" w:hAnsi="Garamond"/>
        </w:rPr>
        <w:t xml:space="preserve"> për mbjellje të stoqeve nga rezervat e zhardhokëve të tjerë në të gjitha vendet e prodhimit</w:t>
      </w:r>
      <w:r w:rsidR="00337B09">
        <w:rPr>
          <w:rFonts w:ascii="Garamond" w:hAnsi="Garamond"/>
        </w:rPr>
        <w:t>,</w:t>
      </w:r>
      <w:r w:rsidRPr="00180F73">
        <w:rPr>
          <w:rFonts w:ascii="Garamond" w:hAnsi="Garamond"/>
        </w:rPr>
        <w:t xml:space="preserve"> brenda zonës së shënuar, ose një sistem pastrimi dhe, sipas rastit, dezinfektimi që do të kryhet ndërmjet trajtimit të rezervave të zhardhokëve për mbjellje dhe të zhardhokëve të tjerë;</w:t>
      </w:r>
    </w:p>
    <w:p w14:paraId="13E36C0A" w14:textId="74F62B2C" w:rsidR="00990EF3" w:rsidRPr="00180F73" w:rsidRDefault="00990EF3" w:rsidP="00990EF3">
      <w:pPr>
        <w:tabs>
          <w:tab w:val="left" w:pos="2340"/>
        </w:tabs>
        <w:ind w:firstLine="284"/>
        <w:jc w:val="both"/>
        <w:rPr>
          <w:rFonts w:ascii="Garamond" w:hAnsi="Garamond"/>
        </w:rPr>
      </w:pPr>
      <w:r w:rsidRPr="00180F73">
        <w:rPr>
          <w:rFonts w:ascii="Garamond" w:hAnsi="Garamond"/>
        </w:rPr>
        <w:t>iv</w:t>
      </w:r>
      <w:r w:rsidR="004F70C0">
        <w:rPr>
          <w:rFonts w:ascii="Garamond" w:hAnsi="Garamond"/>
        </w:rPr>
        <w:t>.</w:t>
      </w:r>
      <w:r w:rsidRPr="00180F73">
        <w:rPr>
          <w:rFonts w:ascii="Garamond" w:hAnsi="Garamond"/>
        </w:rPr>
        <w:t xml:space="preserve"> kërkojnë mbjelljen e vetëm të bimëve të domates të rritura nga farat që plotësojnë kërkesat e </w:t>
      </w:r>
      <w:r w:rsidR="00337B09" w:rsidRPr="00180F73">
        <w:rPr>
          <w:rFonts w:ascii="Garamond" w:hAnsi="Garamond"/>
        </w:rPr>
        <w:t xml:space="preserve">urdhrit </w:t>
      </w:r>
      <w:r w:rsidRPr="00180F73">
        <w:rPr>
          <w:rFonts w:ascii="Garamond" w:hAnsi="Garamond"/>
        </w:rPr>
        <w:t>nr. 113 ose, nëse shumohen në mënyrë vegjetative, nga bimë domate të prodhuara nga fara të tilla dhe të rritura nën kontrollin zyrtar, për të gjitha kulturat e domates brenda asaj zone shënuar;</w:t>
      </w:r>
    </w:p>
    <w:p w14:paraId="16B465AC" w14:textId="48DA393F" w:rsidR="00990EF3" w:rsidRPr="00180F73" w:rsidRDefault="00990EF3" w:rsidP="00990EF3">
      <w:pPr>
        <w:tabs>
          <w:tab w:val="left" w:pos="2340"/>
        </w:tabs>
        <w:ind w:firstLine="284"/>
        <w:jc w:val="both"/>
        <w:rPr>
          <w:rFonts w:ascii="Garamond" w:hAnsi="Garamond"/>
        </w:rPr>
      </w:pPr>
      <w:r w:rsidRPr="00180F73">
        <w:rPr>
          <w:rFonts w:ascii="Garamond" w:hAnsi="Garamond"/>
        </w:rPr>
        <w:t>v) do të kryejnë vrojtime</w:t>
      </w:r>
      <w:r w:rsidR="00BB5662">
        <w:rPr>
          <w:rFonts w:ascii="Garamond" w:hAnsi="Garamond"/>
        </w:rPr>
        <w:t>,</w:t>
      </w:r>
      <w:r w:rsidRPr="00180F73">
        <w:rPr>
          <w:rFonts w:ascii="Garamond" w:hAnsi="Garamond"/>
        </w:rPr>
        <w:t xml:space="preserve"> siç parashikohet në pikën 1 të nenit 3;</w:t>
      </w:r>
    </w:p>
    <w:p w14:paraId="21AD2724" w14:textId="56684F8E" w:rsidR="00990EF3" w:rsidRPr="00180F73" w:rsidRDefault="00990EF3" w:rsidP="00990EF3">
      <w:pPr>
        <w:tabs>
          <w:tab w:val="left" w:pos="2340"/>
        </w:tabs>
        <w:ind w:firstLine="284"/>
        <w:jc w:val="both"/>
        <w:rPr>
          <w:rFonts w:ascii="Garamond" w:hAnsi="Garamond"/>
        </w:rPr>
      </w:pPr>
      <w:r w:rsidRPr="00180F73">
        <w:rPr>
          <w:rFonts w:ascii="Garamond" w:hAnsi="Garamond"/>
        </w:rPr>
        <w:lastRenderedPageBreak/>
        <w:t xml:space="preserve">b) në rastet kur uji sipërfaqësor është përcaktuar si i infektuar në përputhje me nënparagrafi i tretë të shkronjës </w:t>
      </w:r>
      <w:r w:rsidR="00644654">
        <w:rPr>
          <w:rFonts w:ascii="Garamond" w:hAnsi="Garamond"/>
        </w:rPr>
        <w:t>“</w:t>
      </w:r>
      <w:r w:rsidRPr="00180F73">
        <w:rPr>
          <w:rFonts w:ascii="Garamond" w:hAnsi="Garamond"/>
        </w:rPr>
        <w:t>a</w:t>
      </w:r>
      <w:r w:rsidR="00644654">
        <w:rPr>
          <w:rFonts w:ascii="Garamond" w:hAnsi="Garamond"/>
        </w:rPr>
        <w:t>”</w:t>
      </w:r>
      <w:r w:rsidRPr="00180F73">
        <w:rPr>
          <w:rFonts w:ascii="Garamond" w:hAnsi="Garamond"/>
        </w:rPr>
        <w:t xml:space="preserve"> të pikës 4 të nenit 5,</w:t>
      </w:r>
      <w:r w:rsidR="00180F73">
        <w:rPr>
          <w:rFonts w:ascii="Garamond" w:hAnsi="Garamond"/>
        </w:rPr>
        <w:t xml:space="preserve"> </w:t>
      </w:r>
      <w:r w:rsidRPr="00180F73">
        <w:rPr>
          <w:rFonts w:ascii="Garamond" w:hAnsi="Garamond"/>
        </w:rPr>
        <w:t>ose është përfshirë në element</w:t>
      </w:r>
      <w:r w:rsidR="008E21ED">
        <w:rPr>
          <w:rFonts w:ascii="Garamond" w:hAnsi="Garamond"/>
        </w:rPr>
        <w:t>e</w:t>
      </w:r>
      <w:r w:rsidRPr="00180F73">
        <w:rPr>
          <w:rFonts w:ascii="Garamond" w:hAnsi="Garamond"/>
        </w:rPr>
        <w:t>t për përhapjen e mundshme të dëmtuesit të specifikuar në përputhje me pikën 2 të aneksit IV:</w:t>
      </w:r>
    </w:p>
    <w:p w14:paraId="0AC357A3" w14:textId="54CCF24F" w:rsidR="00990EF3" w:rsidRPr="00180F73" w:rsidRDefault="00990EF3" w:rsidP="00990EF3">
      <w:pPr>
        <w:tabs>
          <w:tab w:val="left" w:pos="2340"/>
        </w:tabs>
        <w:ind w:firstLine="284"/>
        <w:jc w:val="both"/>
        <w:rPr>
          <w:rFonts w:ascii="Garamond" w:hAnsi="Garamond"/>
        </w:rPr>
      </w:pPr>
      <w:r w:rsidRPr="00180F73">
        <w:rPr>
          <w:rFonts w:ascii="Garamond" w:hAnsi="Garamond"/>
        </w:rPr>
        <w:t>i</w:t>
      </w:r>
      <w:r w:rsidR="004F70C0">
        <w:rPr>
          <w:rFonts w:ascii="Garamond" w:hAnsi="Garamond"/>
        </w:rPr>
        <w:t>.</w:t>
      </w:r>
      <w:r w:rsidRPr="00180F73">
        <w:rPr>
          <w:rFonts w:ascii="Garamond" w:hAnsi="Garamond"/>
        </w:rPr>
        <w:t xml:space="preserve"> do të kryejnë vrojtimin vjetor në momentet e duhura, duke përfshirë marrjen e mostrave të ujërave sipërfaqësore dhe kur është e përshtatshme, të bimëve bujtëse të egra solanaceous në burimet përkatëse ujore dhe do të garantojnë që mostrat </w:t>
      </w:r>
      <w:r w:rsidR="00644654">
        <w:rPr>
          <w:rFonts w:ascii="Garamond" w:hAnsi="Garamond"/>
        </w:rPr>
        <w:t>u</w:t>
      </w:r>
      <w:r w:rsidRPr="00180F73">
        <w:rPr>
          <w:rFonts w:ascii="Garamond" w:hAnsi="Garamond"/>
        </w:rPr>
        <w:t xml:space="preserve"> nënshtrohen testeve të përmendura në aneksin I;</w:t>
      </w:r>
    </w:p>
    <w:p w14:paraId="10AD4811" w14:textId="1EECF8D1" w:rsidR="00990EF3" w:rsidRPr="00180F73" w:rsidRDefault="00990EF3" w:rsidP="00BA0020">
      <w:pPr>
        <w:tabs>
          <w:tab w:val="left" w:pos="2340"/>
        </w:tabs>
        <w:ind w:firstLine="284"/>
        <w:jc w:val="both"/>
        <w:rPr>
          <w:rFonts w:ascii="Garamond" w:hAnsi="Garamond"/>
        </w:rPr>
      </w:pPr>
      <w:r w:rsidRPr="00180F73">
        <w:rPr>
          <w:rFonts w:ascii="Garamond" w:hAnsi="Garamond"/>
        </w:rPr>
        <w:t>ii</w:t>
      </w:r>
      <w:r w:rsidR="004F70C0">
        <w:rPr>
          <w:rFonts w:ascii="Garamond" w:hAnsi="Garamond"/>
        </w:rPr>
        <w:t>.</w:t>
      </w:r>
      <w:r w:rsidRPr="00180F73">
        <w:rPr>
          <w:rFonts w:ascii="Garamond" w:hAnsi="Garamond"/>
        </w:rPr>
        <w:t xml:space="preserve"> do të vendosin kontrolle zyrtare mbi programet e ujitjes dhe </w:t>
      </w:r>
      <w:r w:rsidR="00E1455A">
        <w:rPr>
          <w:rFonts w:ascii="Garamond" w:hAnsi="Garamond"/>
        </w:rPr>
        <w:t xml:space="preserve">të </w:t>
      </w:r>
      <w:r w:rsidRPr="00180F73">
        <w:rPr>
          <w:rFonts w:ascii="Garamond" w:hAnsi="Garamond"/>
        </w:rPr>
        <w:t>spërkatjes, duke përfshirë ndalimin e përdorimit të ujit të përcaktuar si të infektuar për ujitjen dhe spërkatjen e bimëve të specifikuara, dhe sipas rastit, bimëve të tjera të kultivuara bujtëse solanaceous, në mënyrë që të parandalohet përhapja e dëmtuesit të specifikuar. Ky ndalim mund të rishikohet në bazë të rezultateve të marra nga mostrimi intensiv dhe testimi i ujit sipërfaqësor, në kohë të përshtatshme, për të siguruar një nivel të lartë besueshmërie se dëmtuesi i specifikuar nuk është më i pranishëm. Përdorimi i ujit që i nënshtrohet ndalimit mund të lejohet në serra, nën kontrollin zyrtar, për ujitje dhe spërkatje të bimëve të domates dhe bimëve të tjera bujtëse të destinuara për konsum dhe përpunim përfundimtar, me kusht që uji të dezinfektohet duke përdorur metoda të përshtatshme. Në këtë rast, AKVMB</w:t>
      </w:r>
      <w:r w:rsidR="00697ABE">
        <w:rPr>
          <w:rFonts w:ascii="Garamond" w:hAnsi="Garamond"/>
        </w:rPr>
        <w:t>-</w:t>
      </w:r>
      <w:r w:rsidR="008F453E">
        <w:rPr>
          <w:rFonts w:ascii="Garamond" w:hAnsi="Garamond"/>
        </w:rPr>
        <w:t>të</w:t>
      </w:r>
      <w:r w:rsidRPr="00180F73">
        <w:rPr>
          <w:rFonts w:ascii="Garamond" w:hAnsi="Garamond"/>
        </w:rPr>
        <w:t xml:space="preserve"> mund të revokojnë përcaktimin e ujit si të infektuar nga</w:t>
      </w:r>
      <w:r w:rsidR="00BA0020" w:rsidRPr="00180F73">
        <w:rPr>
          <w:rFonts w:ascii="Garamond" w:hAnsi="Garamond"/>
        </w:rPr>
        <w:t xml:space="preserve"> </w:t>
      </w:r>
      <w:r w:rsidRPr="00180F73">
        <w:rPr>
          <w:rFonts w:ascii="Garamond" w:hAnsi="Garamond"/>
        </w:rPr>
        <w:t>dëmtuesi i specifikuar;</w:t>
      </w:r>
    </w:p>
    <w:p w14:paraId="62B273B7" w14:textId="01F3D0F1" w:rsidR="00990EF3" w:rsidRPr="00180F73" w:rsidRDefault="00990EF3" w:rsidP="00990EF3">
      <w:pPr>
        <w:tabs>
          <w:tab w:val="left" w:pos="2340"/>
        </w:tabs>
        <w:ind w:firstLine="284"/>
        <w:jc w:val="both"/>
        <w:rPr>
          <w:rFonts w:ascii="Garamond" w:hAnsi="Garamond"/>
        </w:rPr>
      </w:pPr>
      <w:r w:rsidRPr="00180F73">
        <w:rPr>
          <w:rFonts w:ascii="Garamond" w:hAnsi="Garamond"/>
        </w:rPr>
        <w:t>iii</w:t>
      </w:r>
      <w:r w:rsidR="004F70C0">
        <w:rPr>
          <w:rFonts w:ascii="Garamond" w:hAnsi="Garamond"/>
        </w:rPr>
        <w:t>.</w:t>
      </w:r>
      <w:r w:rsidRPr="00180F73">
        <w:rPr>
          <w:rFonts w:ascii="Garamond" w:hAnsi="Garamond"/>
        </w:rPr>
        <w:t xml:space="preserve"> në rastet kur shkarkimet e mbetjeve të lëngshme janë të infektuara, AKVMB</w:t>
      </w:r>
      <w:r w:rsidR="00697ABE">
        <w:rPr>
          <w:rFonts w:ascii="Garamond" w:hAnsi="Garamond"/>
        </w:rPr>
        <w:t>-</w:t>
      </w:r>
      <w:r w:rsidR="008F453E">
        <w:rPr>
          <w:rFonts w:ascii="Garamond" w:hAnsi="Garamond"/>
        </w:rPr>
        <w:t>të</w:t>
      </w:r>
      <w:r w:rsidRPr="00180F73">
        <w:rPr>
          <w:rFonts w:ascii="Garamond" w:hAnsi="Garamond"/>
        </w:rPr>
        <w:t xml:space="preserve"> do të vendosin kontrolle zyrtare për asgjësimin e shkarkimeve të mbetjeve të ngurta ose të lëngshme nga stacionet e përpunimit industrial ose të ambalazhimit që trajtojnë bimë të specifikuara të vendeve të prodhimit</w:t>
      </w:r>
      <w:r w:rsidR="008F453E">
        <w:rPr>
          <w:rFonts w:ascii="Garamond" w:hAnsi="Garamond"/>
        </w:rPr>
        <w:t>;</w:t>
      </w:r>
    </w:p>
    <w:p w14:paraId="730E2585" w14:textId="45C8380C" w:rsidR="00990EF3" w:rsidRPr="00180F73" w:rsidRDefault="00990EF3" w:rsidP="00990EF3">
      <w:pPr>
        <w:tabs>
          <w:tab w:val="left" w:pos="2340"/>
        </w:tabs>
        <w:ind w:firstLine="284"/>
        <w:jc w:val="both"/>
        <w:rPr>
          <w:rFonts w:ascii="Garamond" w:hAnsi="Garamond"/>
        </w:rPr>
      </w:pPr>
      <w:r w:rsidRPr="00180F73">
        <w:rPr>
          <w:rFonts w:ascii="Garamond" w:hAnsi="Garamond"/>
        </w:rPr>
        <w:t>3</w:t>
      </w:r>
      <w:r w:rsidR="00314D2A">
        <w:rPr>
          <w:rFonts w:ascii="Garamond" w:hAnsi="Garamond"/>
        </w:rPr>
        <w:t>.</w:t>
      </w:r>
      <w:r w:rsidRPr="00180F73">
        <w:rPr>
          <w:rFonts w:ascii="Garamond" w:hAnsi="Garamond"/>
        </w:rPr>
        <w:t xml:space="preserve"> </w:t>
      </w:r>
      <w:r w:rsidR="008F453E" w:rsidRPr="00180F73">
        <w:rPr>
          <w:rFonts w:ascii="Garamond" w:hAnsi="Garamond"/>
        </w:rPr>
        <w:t xml:space="preserve">Do </w:t>
      </w:r>
      <w:r w:rsidRPr="00180F73">
        <w:rPr>
          <w:rFonts w:ascii="Garamond" w:hAnsi="Garamond"/>
        </w:rPr>
        <w:t>të krijojnë një program, sipas rastit, për zëvendësimin e të gjitha rezervave të zhardhokëve për mbjellje gjatë një periudhe të përshtatshme kohore.</w:t>
      </w:r>
    </w:p>
    <w:p w14:paraId="00C24AB1" w14:textId="77777777" w:rsidR="00990EF3" w:rsidRPr="00180F73" w:rsidRDefault="00990EF3" w:rsidP="00990EF3">
      <w:pPr>
        <w:tabs>
          <w:tab w:val="left" w:pos="2340"/>
        </w:tabs>
        <w:ind w:firstLine="284"/>
        <w:jc w:val="both"/>
        <w:rPr>
          <w:rFonts w:ascii="Garamond" w:hAnsi="Garamond"/>
        </w:rPr>
      </w:pPr>
    </w:p>
    <w:p w14:paraId="69F5030A" w14:textId="77777777" w:rsidR="00990EF3" w:rsidRPr="004F70C0" w:rsidRDefault="00990EF3" w:rsidP="004F70C0">
      <w:pPr>
        <w:tabs>
          <w:tab w:val="left" w:pos="2340"/>
        </w:tabs>
        <w:jc w:val="center"/>
        <w:rPr>
          <w:rFonts w:ascii="Garamond" w:hAnsi="Garamond"/>
        </w:rPr>
      </w:pPr>
      <w:r w:rsidRPr="004F70C0">
        <w:rPr>
          <w:rFonts w:ascii="Garamond" w:hAnsi="Garamond"/>
        </w:rPr>
        <w:t>ANEKSI VI</w:t>
      </w:r>
    </w:p>
    <w:p w14:paraId="778291AA" w14:textId="77777777" w:rsidR="00990EF3" w:rsidRPr="00180F73" w:rsidRDefault="00990EF3" w:rsidP="00BA0020">
      <w:pPr>
        <w:tabs>
          <w:tab w:val="left" w:pos="2340"/>
        </w:tabs>
        <w:ind w:firstLine="284"/>
        <w:jc w:val="center"/>
        <w:rPr>
          <w:rFonts w:ascii="Garamond" w:hAnsi="Garamond"/>
          <w:b/>
          <w:bCs/>
        </w:rPr>
      </w:pPr>
    </w:p>
    <w:p w14:paraId="671B15CD" w14:textId="7995CD8B" w:rsidR="00990EF3" w:rsidRPr="00180F73" w:rsidRDefault="00990EF3" w:rsidP="001F33E8">
      <w:pPr>
        <w:tabs>
          <w:tab w:val="left" w:pos="2340"/>
        </w:tabs>
        <w:ind w:firstLine="284"/>
        <w:jc w:val="both"/>
        <w:rPr>
          <w:rFonts w:ascii="Garamond" w:hAnsi="Garamond"/>
          <w:b/>
          <w:bCs/>
        </w:rPr>
      </w:pPr>
      <w:r w:rsidRPr="00180F73">
        <w:rPr>
          <w:rFonts w:ascii="Garamond" w:hAnsi="Garamond"/>
          <w:b/>
          <w:bCs/>
        </w:rPr>
        <w:t>Kërkesat për asgjësimin e mbeturinave të miratuara zyrtarisht siç përmendet në pikën 1 të aneksit V</w:t>
      </w:r>
    </w:p>
    <w:p w14:paraId="1E3043C1"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Metodat e miratuara zyrtarisht të depozitimit të mbetjeve të përmendura në pikën 1 të aneksit V duhet të jenë në përputhje me kërkesat e mëposhtme:</w:t>
      </w:r>
    </w:p>
    <w:p w14:paraId="7D1783E8" w14:textId="7CE99FCB" w:rsidR="00990EF3" w:rsidRPr="00180F73" w:rsidRDefault="00990EF3" w:rsidP="00990EF3">
      <w:pPr>
        <w:tabs>
          <w:tab w:val="left" w:pos="2340"/>
        </w:tabs>
        <w:ind w:firstLine="284"/>
        <w:jc w:val="both"/>
        <w:rPr>
          <w:rFonts w:ascii="Garamond" w:hAnsi="Garamond"/>
        </w:rPr>
      </w:pPr>
      <w:r w:rsidRPr="00180F73">
        <w:rPr>
          <w:rFonts w:ascii="Garamond" w:hAnsi="Garamond"/>
        </w:rPr>
        <w:t>1</w:t>
      </w:r>
      <w:r w:rsidR="00314D2A">
        <w:rPr>
          <w:rFonts w:ascii="Garamond" w:hAnsi="Garamond"/>
        </w:rPr>
        <w:t>.</w:t>
      </w:r>
      <w:r w:rsidRPr="00180F73">
        <w:rPr>
          <w:rFonts w:ascii="Garamond" w:hAnsi="Garamond"/>
        </w:rPr>
        <w:t xml:space="preserve"> Mbetjet bimore të specifikuara, duke përfshirë patatet e refuzuara (kthyera), lëvozhgat e patates dhe domatet dhe çdo mbetje tjetër të ngurtë të lidhur me bimët e specifikuara (përfshirë dheun, gurët dhe mbeturinat e tjera) do të asgjësohen me një nga metodat e mëposhtme:</w:t>
      </w:r>
    </w:p>
    <w:p w14:paraId="0A2C58B7" w14:textId="7CE01BE2" w:rsidR="00990EF3" w:rsidRPr="00180F73" w:rsidRDefault="00990EF3" w:rsidP="00990EF3">
      <w:pPr>
        <w:tabs>
          <w:tab w:val="left" w:pos="2340"/>
        </w:tabs>
        <w:ind w:firstLine="284"/>
        <w:jc w:val="both"/>
        <w:rPr>
          <w:rFonts w:ascii="Garamond" w:hAnsi="Garamond"/>
        </w:rPr>
      </w:pPr>
      <w:r w:rsidRPr="00180F73">
        <w:rPr>
          <w:rFonts w:ascii="Garamond" w:hAnsi="Garamond"/>
        </w:rPr>
        <w:t>a) asgjësimi në një vend të dedikuar të depozitimit të mbetjeve të miratuar zyrtarisht në të cilin nuk ka risk të identifikueshëm të përhapjes së dëmtuesit të specifikuar në mjedis, p.sh. përmes kullimit në tokë bujqësore ose kontaktit me burimet ujore të cilat mund të përdoren për ujitje të tokës bujqësore;</w:t>
      </w:r>
    </w:p>
    <w:p w14:paraId="62541AA7" w14:textId="3C9A9879" w:rsidR="00990EF3" w:rsidRPr="00180F73" w:rsidRDefault="00990EF3" w:rsidP="00990EF3">
      <w:pPr>
        <w:tabs>
          <w:tab w:val="left" w:pos="2340"/>
        </w:tabs>
        <w:ind w:firstLine="284"/>
        <w:jc w:val="both"/>
        <w:rPr>
          <w:rFonts w:ascii="Garamond" w:hAnsi="Garamond"/>
        </w:rPr>
      </w:pPr>
      <w:r w:rsidRPr="00180F73">
        <w:rPr>
          <w:rFonts w:ascii="Garamond" w:hAnsi="Garamond"/>
        </w:rPr>
        <w:t>b) djegia;</w:t>
      </w:r>
    </w:p>
    <w:p w14:paraId="4F8F5F05" w14:textId="1F13C0C5" w:rsidR="00990EF3" w:rsidRPr="00180F73" w:rsidRDefault="00990EF3" w:rsidP="00990EF3">
      <w:pPr>
        <w:tabs>
          <w:tab w:val="left" w:pos="2340"/>
        </w:tabs>
        <w:ind w:firstLine="284"/>
        <w:jc w:val="both"/>
        <w:rPr>
          <w:rFonts w:ascii="Garamond" w:hAnsi="Garamond"/>
        </w:rPr>
      </w:pPr>
      <w:r w:rsidRPr="00180F73">
        <w:rPr>
          <w:rFonts w:ascii="Garamond" w:hAnsi="Garamond"/>
        </w:rPr>
        <w:t>c) masa të tjera, me kusht që të jetë vërtetuar se nuk ka risk të identifikueshëm të përhapjes së dëmtuesve të specifikuar; masat e tilla duhet t</w:t>
      </w:r>
      <w:r w:rsidR="003A618B">
        <w:rPr>
          <w:rFonts w:ascii="Garamond" w:hAnsi="Garamond"/>
        </w:rPr>
        <w:t>’</w:t>
      </w:r>
      <w:r w:rsidRPr="00180F73">
        <w:rPr>
          <w:rFonts w:ascii="Garamond" w:hAnsi="Garamond"/>
        </w:rPr>
        <w:t>i njoftohen dhe t</w:t>
      </w:r>
      <w:r w:rsidR="0084120F">
        <w:rPr>
          <w:rFonts w:ascii="Garamond" w:hAnsi="Garamond"/>
        </w:rPr>
        <w:t>ë</w:t>
      </w:r>
      <w:r w:rsidRPr="00180F73">
        <w:rPr>
          <w:rFonts w:ascii="Garamond" w:hAnsi="Garamond"/>
        </w:rPr>
        <w:t xml:space="preserve"> miratohen nga SPMB-ja. </w:t>
      </w:r>
    </w:p>
    <w:p w14:paraId="263362B0" w14:textId="3477891D" w:rsidR="00990EF3" w:rsidRPr="00180F73" w:rsidRDefault="00990EF3" w:rsidP="00990EF3">
      <w:pPr>
        <w:tabs>
          <w:tab w:val="left" w:pos="2340"/>
        </w:tabs>
        <w:ind w:firstLine="284"/>
        <w:jc w:val="both"/>
        <w:rPr>
          <w:rFonts w:ascii="Garamond" w:hAnsi="Garamond"/>
        </w:rPr>
      </w:pPr>
      <w:r w:rsidRPr="00180F73">
        <w:rPr>
          <w:rFonts w:ascii="Garamond" w:hAnsi="Garamond"/>
        </w:rPr>
        <w:t xml:space="preserve">Për qëllimet e shkronjës </w:t>
      </w:r>
      <w:r w:rsidR="00466F53">
        <w:rPr>
          <w:rFonts w:ascii="Garamond" w:hAnsi="Garamond"/>
        </w:rPr>
        <w:t>“</w:t>
      </w:r>
      <w:r w:rsidRPr="00180F73">
        <w:rPr>
          <w:rFonts w:ascii="Garamond" w:hAnsi="Garamond"/>
        </w:rPr>
        <w:t>a</w:t>
      </w:r>
      <w:r w:rsidR="00466F53">
        <w:rPr>
          <w:rFonts w:ascii="Garamond" w:hAnsi="Garamond"/>
        </w:rPr>
        <w:t>”</w:t>
      </w:r>
      <w:r w:rsidRPr="00180F73">
        <w:rPr>
          <w:rFonts w:ascii="Garamond" w:hAnsi="Garamond"/>
        </w:rPr>
        <w:t>, mbetjet do të përcillen drejtpërdrejt në kantier nën kushte frenimi të tilla që të mos ketë risk për humbjen e mbetjeve.</w:t>
      </w:r>
    </w:p>
    <w:p w14:paraId="52B57774" w14:textId="1A7ED3E4" w:rsidR="00990EF3" w:rsidRPr="00180F73" w:rsidRDefault="00990EF3" w:rsidP="00990EF3">
      <w:pPr>
        <w:tabs>
          <w:tab w:val="left" w:pos="2340"/>
        </w:tabs>
        <w:ind w:firstLine="284"/>
        <w:jc w:val="both"/>
        <w:rPr>
          <w:rFonts w:ascii="Garamond" w:hAnsi="Garamond"/>
        </w:rPr>
      </w:pPr>
      <w:r w:rsidRPr="00180F73">
        <w:rPr>
          <w:rFonts w:ascii="Garamond" w:hAnsi="Garamond"/>
        </w:rPr>
        <w:t>2</w:t>
      </w:r>
      <w:r w:rsidR="00314D2A">
        <w:rPr>
          <w:rFonts w:ascii="Garamond" w:hAnsi="Garamond"/>
        </w:rPr>
        <w:t>.</w:t>
      </w:r>
      <w:r w:rsidRPr="00180F73">
        <w:rPr>
          <w:rFonts w:ascii="Garamond" w:hAnsi="Garamond"/>
        </w:rPr>
        <w:t xml:space="preserve"> Para asgjësimit, mbetjet e lëngëta që përmbajnë lëndë të ngurta të pezulluara do t</w:t>
      </w:r>
      <w:r w:rsidR="00D07D53">
        <w:rPr>
          <w:rFonts w:ascii="Garamond" w:hAnsi="Garamond"/>
        </w:rPr>
        <w:t>’u</w:t>
      </w:r>
      <w:r w:rsidRPr="00180F73">
        <w:rPr>
          <w:rFonts w:ascii="Garamond" w:hAnsi="Garamond"/>
        </w:rPr>
        <w:t xml:space="preserve"> nënshtrohen proceseve të filtrimit ose sistemimit për të hequr këto lëndë të ngurta, të cilat do të asgjësohen në përputhje me pikën 1.</w:t>
      </w:r>
    </w:p>
    <w:p w14:paraId="23EF10BD" w14:textId="77777777" w:rsidR="00990EF3" w:rsidRPr="00180F73" w:rsidRDefault="00990EF3" w:rsidP="00990EF3">
      <w:pPr>
        <w:tabs>
          <w:tab w:val="left" w:pos="2340"/>
        </w:tabs>
        <w:ind w:firstLine="284"/>
        <w:jc w:val="both"/>
        <w:rPr>
          <w:rFonts w:ascii="Garamond" w:hAnsi="Garamond"/>
        </w:rPr>
      </w:pPr>
      <w:r w:rsidRPr="00180F73">
        <w:rPr>
          <w:rFonts w:ascii="Garamond" w:hAnsi="Garamond"/>
        </w:rPr>
        <w:t>Mbetjet e lëngshme duhet të jenë:</w:t>
      </w:r>
    </w:p>
    <w:p w14:paraId="2561DE3B" w14:textId="106BDD99" w:rsidR="00990EF3" w:rsidRPr="00180F73" w:rsidRDefault="00990EF3" w:rsidP="00990EF3">
      <w:pPr>
        <w:tabs>
          <w:tab w:val="left" w:pos="2340"/>
        </w:tabs>
        <w:ind w:firstLine="284"/>
        <w:jc w:val="both"/>
        <w:rPr>
          <w:rFonts w:ascii="Garamond" w:hAnsi="Garamond"/>
        </w:rPr>
      </w:pPr>
      <w:r w:rsidRPr="00180F73">
        <w:rPr>
          <w:rFonts w:ascii="Garamond" w:hAnsi="Garamond"/>
        </w:rPr>
        <w:t>a) nxehet në një temperaturë prej 60°C, për të paktën 30 minuta përpara se të hidhet; ose</w:t>
      </w:r>
    </w:p>
    <w:p w14:paraId="0FB23227" w14:textId="4FE04B4E" w:rsidR="00990EF3" w:rsidRPr="00180F73" w:rsidRDefault="00990EF3" w:rsidP="00314D2A">
      <w:pPr>
        <w:tabs>
          <w:tab w:val="left" w:pos="2340"/>
        </w:tabs>
        <w:ind w:firstLine="284"/>
        <w:jc w:val="both"/>
        <w:rPr>
          <w:b/>
        </w:rPr>
      </w:pPr>
      <w:r w:rsidRPr="00180F73">
        <w:rPr>
          <w:rFonts w:ascii="Garamond" w:hAnsi="Garamond"/>
        </w:rPr>
        <w:t>b) asgjësohet në një mënyrë tjetër që i nënshtrohet miratimit zyrtar dhe nën kontrollin zyrtar, në mënyrë që të mos ketë risk të identifikueshëm të kontaktit të mbetjeve me tokën bujqësore ose burimet ujore që mund të përdoren për ujitjen e tokës bujqësore.</w:t>
      </w:r>
    </w:p>
    <w:sectPr w:rsidR="00990EF3" w:rsidRPr="00180F73" w:rsidSect="0000367E">
      <w:footerReference w:type="default" r:id="rId15"/>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5C236" w14:textId="77777777" w:rsidR="007C5E8B" w:rsidRDefault="007C5E8B" w:rsidP="007402C1">
      <w:r>
        <w:separator/>
      </w:r>
    </w:p>
  </w:endnote>
  <w:endnote w:type="continuationSeparator" w:id="0">
    <w:p w14:paraId="6BF368D2" w14:textId="77777777" w:rsidR="007C5E8B" w:rsidRDefault="007C5E8B" w:rsidP="007402C1">
      <w:r>
        <w:continuationSeparator/>
      </w:r>
    </w:p>
  </w:endnote>
  <w:endnote w:type="continuationNotice" w:id="1">
    <w:p w14:paraId="21E7D45A" w14:textId="77777777" w:rsidR="007C5E8B" w:rsidRDefault="007C5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5150557"/>
      <w:docPartObj>
        <w:docPartGallery w:val="Page Numbers (Bottom of Page)"/>
        <w:docPartUnique/>
      </w:docPartObj>
    </w:sdtPr>
    <w:sdtEndPr>
      <w:rPr>
        <w:noProof/>
      </w:rPr>
    </w:sdtEndPr>
    <w:sdtContent>
      <w:p w14:paraId="68053425" w14:textId="7EB938BC" w:rsidR="007C5E8B" w:rsidRDefault="007C5E8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F056C6" w14:textId="77777777" w:rsidR="007C5E8B" w:rsidRDefault="007C5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E0ADE" w14:textId="77777777" w:rsidR="007C5E8B" w:rsidRDefault="007C5E8B" w:rsidP="007402C1">
      <w:r>
        <w:separator/>
      </w:r>
    </w:p>
  </w:footnote>
  <w:footnote w:type="continuationSeparator" w:id="0">
    <w:p w14:paraId="1BBCF93A" w14:textId="77777777" w:rsidR="007C5E8B" w:rsidRDefault="007C5E8B" w:rsidP="007402C1">
      <w:r>
        <w:continuationSeparator/>
      </w:r>
    </w:p>
  </w:footnote>
  <w:footnote w:type="continuationNotice" w:id="1">
    <w:p w14:paraId="3072475A" w14:textId="77777777" w:rsidR="007C5E8B" w:rsidRDefault="007C5E8B"/>
  </w:footnote>
  <w:footnote w:id="2">
    <w:p w14:paraId="09D248E4" w14:textId="292351D7" w:rsidR="007C5E8B" w:rsidRPr="002D46DF" w:rsidRDefault="007C5E8B" w:rsidP="00FB768E">
      <w:pPr>
        <w:pStyle w:val="FootnoteText"/>
        <w:jc w:val="both"/>
        <w:rPr>
          <w:rFonts w:ascii="Garamond" w:hAnsi="Garamond" w:cstheme="minorHAnsi"/>
          <w:lang w:val="en-US"/>
        </w:rPr>
      </w:pPr>
      <w:r w:rsidRPr="002D46DF">
        <w:rPr>
          <w:rStyle w:val="FootnoteReference"/>
          <w:rFonts w:ascii="Garamond" w:hAnsi="Garamond" w:cstheme="minorHAnsi"/>
        </w:rPr>
        <w:footnoteRef/>
      </w:r>
      <w:r w:rsidRPr="002D46DF">
        <w:rPr>
          <w:rFonts w:ascii="Garamond" w:hAnsi="Garamond" w:cstheme="minorHAnsi"/>
        </w:rPr>
        <w:t xml:space="preserve"> </w:t>
      </w:r>
      <w:r w:rsidRPr="002D46DF">
        <w:rPr>
          <w:rFonts w:ascii="Garamond" w:hAnsi="Garamond" w:cstheme="minorHAnsi"/>
          <w:bCs/>
        </w:rPr>
        <w:t xml:space="preserve">Ky udhëzim përafron plotësisht rregulloren zbatuese të Komisionit (BE) 2022/1193, datë 11 korrik 2022, duke vendosur masa për të çrrënjosur dhe për të parandaluar përhapjen e </w:t>
      </w:r>
      <w:r w:rsidRPr="002D46DF">
        <w:rPr>
          <w:rFonts w:ascii="Garamond" w:hAnsi="Garamond" w:cstheme="minorHAnsi"/>
          <w:bCs/>
          <w:i/>
        </w:rPr>
        <w:t>Ralstonia solanacearum</w:t>
      </w:r>
      <w:r w:rsidRPr="002D46DF">
        <w:rPr>
          <w:rFonts w:ascii="Garamond" w:hAnsi="Garamond" w:cstheme="minorHAnsi"/>
          <w:bCs/>
        </w:rPr>
        <w:t xml:space="preserve"> (Smith 1896) Yabuuchi e</w:t>
      </w:r>
      <w:r w:rsidRPr="002D46DF">
        <w:rPr>
          <w:rFonts w:ascii="Garamond" w:hAnsi="Garamond" w:cstheme="minorHAnsi"/>
          <w:bCs/>
          <w:i/>
        </w:rPr>
        <w:t>t al</w:t>
      </w:r>
      <w:r w:rsidRPr="002D46DF">
        <w:rPr>
          <w:rFonts w:ascii="Garamond" w:hAnsi="Garamond" w:cstheme="minorHAnsi"/>
          <w:bCs/>
        </w:rPr>
        <w:t xml:space="preserve">. 1996 emend. Safni </w:t>
      </w:r>
      <w:r w:rsidRPr="002D46DF">
        <w:rPr>
          <w:rFonts w:ascii="Garamond" w:hAnsi="Garamond" w:cstheme="minorHAnsi"/>
          <w:bCs/>
          <w:i/>
        </w:rPr>
        <w:t>et al</w:t>
      </w:r>
      <w:r w:rsidRPr="002D46DF">
        <w:rPr>
          <w:rFonts w:ascii="Garamond" w:hAnsi="Garamond" w:cstheme="minorHAnsi"/>
          <w:bCs/>
        </w:rPr>
        <w:t>. 2014.</w:t>
      </w:r>
    </w:p>
  </w:footnote>
  <w:footnote w:id="3">
    <w:p w14:paraId="1615C59C" w14:textId="5973F2D8" w:rsidR="007C5E8B" w:rsidRPr="002D46DF" w:rsidRDefault="007C5E8B" w:rsidP="00D63006">
      <w:pPr>
        <w:pStyle w:val="FootnoteText"/>
        <w:jc w:val="both"/>
        <w:rPr>
          <w:lang w:val="en-US"/>
        </w:rPr>
      </w:pPr>
      <w:r w:rsidRPr="002D46DF">
        <w:rPr>
          <w:rStyle w:val="FootnoteReference"/>
        </w:rPr>
        <w:footnoteRef/>
      </w:r>
      <w:r w:rsidRPr="002D46DF">
        <w:t xml:space="preserve"> </w:t>
      </w:r>
      <w:r w:rsidRPr="002D46DF">
        <w:rPr>
          <w:rFonts w:ascii="Garamond" w:eastAsiaTheme="minorHAnsi" w:hAnsi="Garamond"/>
          <w:bCs/>
          <w:lang w:eastAsia="en-US"/>
        </w:rPr>
        <w:t xml:space="preserve">Pastrik, K.H., Elphinstone, J.G., Pukall, R. (2002) Analiza e sekuencës dhe zbulimi i </w:t>
      </w:r>
      <w:r w:rsidRPr="002D46DF">
        <w:rPr>
          <w:rFonts w:ascii="Garamond" w:eastAsiaTheme="minorHAnsi" w:hAnsi="Garamond"/>
          <w:bCs/>
          <w:i/>
          <w:lang w:eastAsia="en-US"/>
        </w:rPr>
        <w:t>Ralstonia solanacearum</w:t>
      </w:r>
      <w:r w:rsidRPr="002D46DF">
        <w:rPr>
          <w:rFonts w:ascii="Garamond" w:eastAsiaTheme="minorHAnsi" w:hAnsi="Garamond"/>
          <w:bCs/>
          <w:lang w:eastAsia="en-US"/>
        </w:rPr>
        <w:t xml:space="preserve"> me amplifikimin multipleks PCR të rajonit ndarës ndërgjenik ribozomal 16S-23S me kontroll të brendshëm pozitiv. Gazeta Evropiane e Patologjisë së Bimëve 108, 831–842.</w:t>
      </w:r>
    </w:p>
  </w:footnote>
  <w:footnote w:id="4">
    <w:p w14:paraId="5A8AA887" w14:textId="7E046777" w:rsidR="007C5E8B" w:rsidRPr="002D46DF" w:rsidRDefault="007C5E8B" w:rsidP="005F1B7D">
      <w:pPr>
        <w:pStyle w:val="FootnoteText"/>
        <w:jc w:val="both"/>
        <w:rPr>
          <w:rFonts w:ascii="Garamond" w:eastAsiaTheme="minorHAnsi" w:hAnsi="Garamond"/>
          <w:bCs/>
          <w:lang w:eastAsia="en-US"/>
        </w:rPr>
      </w:pPr>
      <w:r w:rsidRPr="002D46DF">
        <w:rPr>
          <w:rStyle w:val="FootnoteReference"/>
        </w:rPr>
        <w:footnoteRef/>
      </w:r>
      <w:r w:rsidRPr="002D46DF">
        <w:t xml:space="preserve"> </w:t>
      </w:r>
      <w:r w:rsidRPr="002D46DF">
        <w:rPr>
          <w:rFonts w:ascii="Garamond" w:eastAsiaTheme="minorHAnsi" w:hAnsi="Garamond"/>
          <w:bCs/>
          <w:lang w:eastAsia="en-US"/>
        </w:rPr>
        <w:t xml:space="preserve">Weller, S.A, Elphinstone, J.G., Smith, N., Boonham, N., Stead, D.E. (2000). Zbulimi i shtameve </w:t>
      </w:r>
      <w:r w:rsidRPr="002D46DF">
        <w:rPr>
          <w:rFonts w:ascii="Garamond" w:eastAsiaTheme="minorHAnsi" w:hAnsi="Garamond"/>
          <w:bCs/>
          <w:i/>
          <w:lang w:eastAsia="en-US"/>
        </w:rPr>
        <w:t>Ralstonia solanacearum</w:t>
      </w:r>
      <w:r w:rsidRPr="002D46DF">
        <w:rPr>
          <w:rFonts w:ascii="Garamond" w:eastAsiaTheme="minorHAnsi" w:hAnsi="Garamond"/>
          <w:bCs/>
          <w:lang w:eastAsia="en-US"/>
        </w:rPr>
        <w:t xml:space="preserve"> me një analizë sasiore, multiplekse, në kohë reale, PCR fluorogjenike (TaqMan). Mikrobiologjia e Aplikuar dhe Mjedisore, 66, 2853–2858. </w:t>
      </w:r>
      <w:hyperlink r:id="rId1" w:history="1">
        <w:r w:rsidRPr="002D46DF">
          <w:rPr>
            <w:rStyle w:val="Hyperlink"/>
            <w:rFonts w:ascii="Garamond" w:eastAsiaTheme="minorHAnsi" w:hAnsi="Garamond"/>
            <w:bCs/>
            <w:lang w:eastAsia="en-US"/>
          </w:rPr>
          <w:t>https://journals.asm.org/doi/10.1128/AEM.66.7.2853-2858.2000</w:t>
        </w:r>
      </w:hyperlink>
    </w:p>
  </w:footnote>
  <w:footnote w:id="5">
    <w:p w14:paraId="4D816987" w14:textId="5E6FE189" w:rsidR="007C5E8B" w:rsidRPr="002D46DF" w:rsidRDefault="007C5E8B" w:rsidP="00A93FF6">
      <w:pPr>
        <w:autoSpaceDE w:val="0"/>
        <w:autoSpaceDN w:val="0"/>
        <w:adjustRightInd w:val="0"/>
        <w:jc w:val="both"/>
        <w:rPr>
          <w:rFonts w:ascii="Garamond" w:eastAsiaTheme="minorHAnsi" w:hAnsi="Garamond"/>
          <w:bCs/>
          <w:sz w:val="20"/>
          <w:szCs w:val="20"/>
          <w:lang w:eastAsia="en-US"/>
        </w:rPr>
      </w:pPr>
      <w:r w:rsidRPr="002D46DF">
        <w:rPr>
          <w:rStyle w:val="FootnoteReference"/>
          <w:sz w:val="20"/>
          <w:szCs w:val="20"/>
        </w:rPr>
        <w:footnoteRef/>
      </w:r>
      <w:r w:rsidRPr="002D46DF">
        <w:rPr>
          <w:sz w:val="20"/>
          <w:szCs w:val="20"/>
        </w:rPr>
        <w:t xml:space="preserve"> </w:t>
      </w:r>
      <w:bookmarkStart w:id="2" w:name="_Hlk178166710"/>
      <w:r w:rsidRPr="002D46DF">
        <w:rPr>
          <w:rFonts w:ascii="Garamond" w:eastAsiaTheme="minorHAnsi" w:hAnsi="Garamond"/>
          <w:bCs/>
          <w:sz w:val="20"/>
          <w:szCs w:val="20"/>
          <w:lang w:eastAsia="en-US"/>
        </w:rPr>
        <w:t>Vreeburg, R.A.M., Bergsma-Vlami, M., Bollema, R.M., de Haan, E.G., Kooman-Gersmann, M., Smits-Mastebroek, L., Tameling, W.I.L., Tjou-Tam-Sin, N.N.A., van de Vossenberg B.T.L.H, Janse, J.D. (2016). Performanca e PCR në kohë reale dhe imunofluoreshencës për zbulimin e Clavibacter michiganensis subsp. sepedonicus dhe Ralstonia solanacearum në zhardhokët e patates në testimin rutinë. Buletini OEPP/EPPO Buletini 46, 112–121</w:t>
      </w:r>
      <w:bookmarkEnd w:id="2"/>
      <w:r w:rsidRPr="002D46DF">
        <w:rPr>
          <w:rFonts w:ascii="Garamond" w:eastAsiaTheme="minorHAnsi" w:hAnsi="Garamond"/>
          <w:bCs/>
          <w:sz w:val="20"/>
          <w:szCs w:val="20"/>
          <w:lang w:eastAsia="en-US"/>
        </w:rPr>
        <w:t>.</w:t>
      </w:r>
    </w:p>
  </w:footnote>
  <w:footnote w:id="6">
    <w:p w14:paraId="7B9A560F" w14:textId="025F6774" w:rsidR="007C5E8B" w:rsidRPr="002D46DF" w:rsidRDefault="007C5E8B" w:rsidP="002D46DF">
      <w:pPr>
        <w:pStyle w:val="FootnoteText"/>
        <w:jc w:val="both"/>
        <w:rPr>
          <w:lang w:val="en-US"/>
        </w:rPr>
      </w:pPr>
      <w:r w:rsidRPr="002D46DF">
        <w:rPr>
          <w:rStyle w:val="FootnoteReference"/>
        </w:rPr>
        <w:footnoteRef/>
      </w:r>
      <w:r w:rsidRPr="002D46DF">
        <w:t xml:space="preserve"> </w:t>
      </w:r>
      <w:r w:rsidRPr="00A93FF6">
        <w:rPr>
          <w:rFonts w:ascii="Garamond" w:eastAsiaTheme="minorHAnsi" w:hAnsi="Garamond"/>
          <w:bCs/>
          <w:szCs w:val="24"/>
          <w:lang w:eastAsia="en-US"/>
        </w:rPr>
        <w:t>Vreeburg, R., Zendman, A., Pol A., Verheij, E., Nas, M., Kooman-Gersmann, M. (2018). Vërtetimi i katër TaqMan PCR në kohë reale për zbulimin e Ralstonia solanacearum dhe/ose Ralstonia pseudosolanacearum dhe/ose Clavibacter michiganensis subsp. sepedonicus në zhardhokët e patates</w:t>
      </w:r>
      <w:r w:rsidRPr="002D46DF">
        <w:rPr>
          <w:rFonts w:ascii="Garamond" w:eastAsiaTheme="minorHAnsi" w:hAnsi="Garamond"/>
          <w:bCs/>
          <w:lang w:eastAsia="en-US"/>
        </w:rPr>
        <w:t>,</w:t>
      </w:r>
      <w:r w:rsidRPr="00A93FF6">
        <w:rPr>
          <w:rFonts w:ascii="Garamond" w:eastAsiaTheme="minorHAnsi" w:hAnsi="Garamond"/>
          <w:bCs/>
          <w:szCs w:val="24"/>
          <w:lang w:eastAsia="en-US"/>
        </w:rPr>
        <w:t xml:space="preserve"> duke përdorur një qasje të regresionit statistikor. Buletini EPPO 48, 86–96.</w:t>
      </w:r>
    </w:p>
  </w:footnote>
  <w:footnote w:id="7">
    <w:p w14:paraId="085D22FD" w14:textId="1F0644E7" w:rsidR="007C5E8B" w:rsidRPr="00A93FF6" w:rsidRDefault="007C5E8B" w:rsidP="00A93FF6">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A93FF6">
        <w:rPr>
          <w:rFonts w:ascii="Garamond" w:eastAsiaTheme="minorHAnsi" w:hAnsi="Garamond"/>
          <w:bCs/>
          <w:sz w:val="20"/>
          <w:lang w:eastAsia="en-US"/>
        </w:rPr>
        <w:t>Massart, S., Nagy, C., Jijakli, M.H. (2014). Zhvillimi i zbulimit të njëkohshëm të Ralstonia solanacearum race 3 dhe Clavibacter michiganensis subsp. sepedonicus në zhardhokët e patates me një analizë të PCR në kohë reale multipleks. Gazeta Evropiane e Patologjisë së Bimëve 138, 29</w:t>
      </w:r>
      <w:r w:rsidRPr="002D46DF">
        <w:rPr>
          <w:rFonts w:ascii="Garamond" w:eastAsiaTheme="minorHAnsi" w:hAnsi="Garamond"/>
          <w:bCs/>
          <w:sz w:val="20"/>
          <w:szCs w:val="20"/>
          <w:lang w:eastAsia="en-US"/>
        </w:rPr>
        <w:t>–</w:t>
      </w:r>
      <w:r w:rsidRPr="00A93FF6">
        <w:rPr>
          <w:rFonts w:ascii="Garamond" w:eastAsiaTheme="minorHAnsi" w:hAnsi="Garamond"/>
          <w:bCs/>
          <w:sz w:val="20"/>
          <w:lang w:eastAsia="en-US"/>
        </w:rPr>
        <w:t>37.</w:t>
      </w:r>
    </w:p>
  </w:footnote>
  <w:footnote w:id="8">
    <w:p w14:paraId="396C0007" w14:textId="7A39D31B" w:rsidR="007C5E8B" w:rsidRPr="00A93FF6" w:rsidRDefault="007C5E8B" w:rsidP="00A93FF6">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A93FF6">
        <w:rPr>
          <w:rFonts w:ascii="Garamond" w:eastAsiaTheme="minorHAnsi" w:hAnsi="Garamond"/>
          <w:bCs/>
          <w:sz w:val="20"/>
          <w:lang w:eastAsia="en-US"/>
        </w:rPr>
        <w:t>Lenarčič, R., Morisset, D., Pirc, M., Llop, P., Ravnikar, M., Dreo, T. (2014). Amplifikim izotermik i ndërmjetësuar nga laku i sekuencës së gjenit specifik të endoglukanazës për zbulimin e patogjenit bakterial të vyshkjes Ralstonia solanacearum. PLoS ONE 9(4), e96027. https://doi. org/10.1371/journal.pone.0096027</w:t>
      </w:r>
    </w:p>
  </w:footnote>
  <w:footnote w:id="9">
    <w:p w14:paraId="7C503E26" w14:textId="4E8E11FB" w:rsidR="007C5E8B" w:rsidRPr="00CE5AA0" w:rsidRDefault="007C5E8B" w:rsidP="00CE5AA0">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CE5AA0">
        <w:rPr>
          <w:rFonts w:ascii="Garamond" w:eastAsiaTheme="minorHAnsi" w:hAnsi="Garamond"/>
          <w:bCs/>
          <w:sz w:val="20"/>
          <w:lang w:eastAsia="en-US"/>
        </w:rPr>
        <w:t xml:space="preserve">Opina, N., Tavner, F., Holloway, G., Wang, J.F., Li, T.H., Maghirang, R., Fegan, M., Hayward, A.C., Viji Krishnapillai, A., Wai-Foong Hong , Holloway, B.W, Timmis, J.N. (1997). Një metodë e re për zhvillimin e sondave të ADN-së të specieve dhe llojeve specifike dhe </w:t>
      </w:r>
      <w:r w:rsidRPr="002D46DF">
        <w:rPr>
          <w:rFonts w:ascii="Garamond" w:eastAsiaTheme="minorHAnsi" w:hAnsi="Garamond"/>
          <w:bCs/>
          <w:sz w:val="20"/>
          <w:szCs w:val="20"/>
          <w:lang w:eastAsia="en-US"/>
        </w:rPr>
        <w:t>primerave</w:t>
      </w:r>
      <w:r w:rsidRPr="00CE5AA0">
        <w:rPr>
          <w:rFonts w:ascii="Garamond" w:eastAsiaTheme="minorHAnsi" w:hAnsi="Garamond"/>
          <w:bCs/>
          <w:sz w:val="20"/>
          <w:lang w:eastAsia="en-US"/>
        </w:rPr>
        <w:t xml:space="preserve"> PCR për identifikimin e Burkholderia solanacearum (dikur Pseudomonas solanacearum). Gazeta Azi-Paqësori e Biologjisë Molekulare dhe Bioteknologjisë 5, 19–30.</w:t>
      </w:r>
    </w:p>
  </w:footnote>
  <w:footnote w:id="10">
    <w:p w14:paraId="0BC94ABF" w14:textId="63F49EF0" w:rsidR="007C5E8B" w:rsidRPr="00CE5AA0" w:rsidRDefault="007C5E8B" w:rsidP="00CE5AA0">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CE5AA0">
        <w:rPr>
          <w:rFonts w:ascii="Garamond" w:eastAsiaTheme="minorHAnsi" w:hAnsi="Garamond"/>
          <w:bCs/>
          <w:sz w:val="20"/>
          <w:lang w:eastAsia="en-US"/>
        </w:rPr>
        <w:t xml:space="preserve">Fegan, M., Prior, P. (2005). Sa kompleks është </w:t>
      </w:r>
      <w:r>
        <w:rPr>
          <w:rFonts w:ascii="Garamond" w:eastAsiaTheme="minorHAnsi" w:hAnsi="Garamond"/>
          <w:bCs/>
          <w:sz w:val="20"/>
          <w:szCs w:val="20"/>
          <w:lang w:eastAsia="en-US"/>
        </w:rPr>
        <w:t>“</w:t>
      </w:r>
      <w:r w:rsidRPr="00CE5AA0">
        <w:rPr>
          <w:rFonts w:ascii="Garamond" w:eastAsiaTheme="minorHAnsi" w:hAnsi="Garamond"/>
          <w:bCs/>
          <w:sz w:val="20"/>
          <w:lang w:eastAsia="en-US"/>
        </w:rPr>
        <w:t xml:space="preserve">kompleksi i specieve Ralstonia </w:t>
      </w:r>
      <w:r w:rsidRPr="002D46DF">
        <w:rPr>
          <w:rFonts w:ascii="Garamond" w:eastAsiaTheme="minorHAnsi" w:hAnsi="Garamond"/>
          <w:bCs/>
          <w:sz w:val="20"/>
          <w:szCs w:val="20"/>
          <w:lang w:eastAsia="en-US"/>
        </w:rPr>
        <w:t>solanacearum</w:t>
      </w:r>
      <w:r>
        <w:rPr>
          <w:rFonts w:ascii="Garamond" w:eastAsiaTheme="minorHAnsi" w:hAnsi="Garamond"/>
          <w:bCs/>
          <w:sz w:val="20"/>
          <w:szCs w:val="20"/>
          <w:lang w:eastAsia="en-US"/>
        </w:rPr>
        <w:t>”</w:t>
      </w:r>
      <w:r w:rsidRPr="002D46DF">
        <w:rPr>
          <w:rFonts w:ascii="Garamond" w:eastAsiaTheme="minorHAnsi" w:hAnsi="Garamond"/>
          <w:bCs/>
          <w:sz w:val="20"/>
          <w:szCs w:val="20"/>
          <w:lang w:eastAsia="en-US"/>
        </w:rPr>
        <w:t>.</w:t>
      </w:r>
      <w:r w:rsidRPr="00CE5AA0">
        <w:rPr>
          <w:rFonts w:ascii="Garamond" w:eastAsiaTheme="minorHAnsi" w:hAnsi="Garamond"/>
          <w:bCs/>
          <w:sz w:val="20"/>
          <w:lang w:eastAsia="en-US"/>
        </w:rPr>
        <w:t xml:space="preserve"> Në </w:t>
      </w:r>
      <w:r w:rsidRPr="002D46DF">
        <w:rPr>
          <w:rFonts w:ascii="Garamond" w:eastAsiaTheme="minorHAnsi" w:hAnsi="Garamond"/>
          <w:bCs/>
          <w:i/>
          <w:iCs/>
          <w:sz w:val="20"/>
          <w:szCs w:val="20"/>
          <w:lang w:eastAsia="en-US"/>
        </w:rPr>
        <w:t>Sëmundja bakterike e vështirjes dhe kompleksi i specieve Ralstonia solanacearum</w:t>
      </w:r>
      <w:r w:rsidRPr="00CE5AA0">
        <w:rPr>
          <w:rFonts w:ascii="Garamond" w:eastAsiaTheme="minorHAnsi" w:hAnsi="Garamond"/>
          <w:bCs/>
          <w:sz w:val="20"/>
          <w:lang w:eastAsia="en-US"/>
        </w:rPr>
        <w:t xml:space="preserve"> (eds Allen C, Hayward AC &amp; Prior P), f. 449-461. Shoqëria Amerikane Fitopatologjike, St Paul, MN (SHBA).</w:t>
      </w:r>
    </w:p>
  </w:footnote>
  <w:footnote w:id="11">
    <w:p w14:paraId="54FFA730" w14:textId="0D7EDAAF" w:rsidR="007C5E8B" w:rsidRPr="00CE5AA0" w:rsidRDefault="007C5E8B" w:rsidP="00CE5AA0">
      <w:pPr>
        <w:autoSpaceDE w:val="0"/>
        <w:autoSpaceDN w:val="0"/>
        <w:adjustRightInd w:val="0"/>
        <w:jc w:val="both"/>
        <w:rPr>
          <w:rFonts w:ascii="Garamond" w:eastAsiaTheme="minorHAnsi" w:hAnsi="Garamond"/>
          <w:bCs/>
          <w:sz w:val="20"/>
          <w:lang w:eastAsia="en-US"/>
        </w:rPr>
      </w:pPr>
      <w:r w:rsidRPr="002D46DF">
        <w:rPr>
          <w:rStyle w:val="FootnoteReference"/>
          <w:sz w:val="20"/>
          <w:szCs w:val="20"/>
        </w:rPr>
        <w:footnoteRef/>
      </w:r>
      <w:r w:rsidRPr="002D46DF">
        <w:rPr>
          <w:sz w:val="20"/>
          <w:szCs w:val="20"/>
        </w:rPr>
        <w:t xml:space="preserve"> </w:t>
      </w:r>
      <w:r w:rsidRPr="00CE5AA0">
        <w:rPr>
          <w:rFonts w:ascii="Garamond" w:eastAsiaTheme="minorHAnsi" w:hAnsi="Garamond"/>
          <w:bCs/>
          <w:sz w:val="20"/>
          <w:lang w:eastAsia="en-US"/>
        </w:rPr>
        <w:t>Wicker, E., Grassart, L., Coranson-Beaudu, R., Mian, D., Guilbaud, C., Fegan, M., Prior, P. (2007). Llojet Ralstonia solanacearum nga Martinique French West Indies</w:t>
      </w:r>
      <w:r w:rsidRPr="002D46DF">
        <w:rPr>
          <w:rFonts w:ascii="Garamond" w:eastAsiaTheme="minorHAnsi" w:hAnsi="Garamond"/>
          <w:bCs/>
          <w:sz w:val="20"/>
          <w:szCs w:val="20"/>
          <w:lang w:eastAsia="en-US"/>
        </w:rPr>
        <w:t>)</w:t>
      </w:r>
      <w:r>
        <w:rPr>
          <w:rFonts w:ascii="Garamond" w:eastAsiaTheme="minorHAnsi" w:hAnsi="Garamond"/>
          <w:bCs/>
          <w:sz w:val="20"/>
          <w:szCs w:val="20"/>
          <w:lang w:eastAsia="en-US"/>
        </w:rPr>
        <w:t>,</w:t>
      </w:r>
      <w:r w:rsidRPr="00CE5AA0">
        <w:rPr>
          <w:rFonts w:ascii="Garamond" w:eastAsiaTheme="minorHAnsi" w:hAnsi="Garamond"/>
          <w:bCs/>
          <w:sz w:val="20"/>
          <w:lang w:eastAsia="en-US"/>
        </w:rPr>
        <w:t xml:space="preserve"> që shfaqin një potencial të ri patogjen. Mikrobiologjia e Aplikuar dhe Mjedisore 73, 6790</w:t>
      </w:r>
      <w:r w:rsidRPr="002D46DF">
        <w:rPr>
          <w:rFonts w:ascii="Garamond" w:eastAsiaTheme="minorHAnsi" w:hAnsi="Garamond"/>
          <w:bCs/>
          <w:sz w:val="20"/>
          <w:szCs w:val="20"/>
          <w:lang w:eastAsia="en-US"/>
        </w:rPr>
        <w:t>–</w:t>
      </w:r>
      <w:r w:rsidRPr="00CE5AA0">
        <w:rPr>
          <w:rFonts w:ascii="Garamond" w:eastAsiaTheme="minorHAnsi" w:hAnsi="Garamond"/>
          <w:bCs/>
          <w:sz w:val="20"/>
          <w:lang w:eastAsia="en-US"/>
        </w:rPr>
        <w:t>6801.</w:t>
      </w:r>
    </w:p>
  </w:footnote>
  <w:footnote w:id="12">
    <w:p w14:paraId="069332B7" w14:textId="6B7C50FD" w:rsidR="007C5E8B" w:rsidRPr="002D46DF" w:rsidRDefault="007C5E8B">
      <w:pPr>
        <w:pStyle w:val="FootnoteText"/>
        <w:rPr>
          <w:lang w:val="en-US"/>
        </w:rPr>
      </w:pPr>
      <w:r w:rsidRPr="002D46DF">
        <w:rPr>
          <w:rStyle w:val="FootnoteReference"/>
        </w:rPr>
        <w:footnoteRef/>
      </w:r>
      <w:r w:rsidRPr="002D46DF">
        <w:t xml:space="preserve"> </w:t>
      </w:r>
      <w:r w:rsidRPr="00CE5AA0">
        <w:rPr>
          <w:rFonts w:ascii="Garamond" w:eastAsiaTheme="minorHAnsi" w:hAnsi="Garamond"/>
          <w:bCs/>
          <w:szCs w:val="24"/>
          <w:lang w:eastAsia="en-US"/>
        </w:rPr>
        <w:t>van de Bilt, J.L.J., Wolsink, M.H.L., Gorkink-Smits, P.P.M.A., Landman, N.M., Bergsma-Vlami, M. (2018). Aplikimi i spektrometrisë masive të jonizimit të desorbimit me laser të asistuar me matricë për identifikimin e shpejtë dhe të saktë të Ralstonia solanacearum dhe Ralstonia pseudosolanacearum. Gazeta Evropiane e Patologjisë së Bimëve</w:t>
      </w:r>
      <w:r>
        <w:rPr>
          <w:rFonts w:ascii="Garamond" w:eastAsiaTheme="minorHAnsi" w:hAnsi="Garamond"/>
          <w:bCs/>
          <w:lang w:eastAsia="en-US"/>
        </w:rPr>
        <w:t>:</w:t>
      </w:r>
      <w:r w:rsidRPr="00CE5AA0">
        <w:rPr>
          <w:rFonts w:ascii="Garamond" w:eastAsiaTheme="minorHAnsi" w:hAnsi="Garamond"/>
          <w:bCs/>
          <w:szCs w:val="24"/>
          <w:lang w:eastAsia="en-US"/>
        </w:rPr>
        <w:t xml:space="preserve"> </w:t>
      </w:r>
      <w:hyperlink r:id="rId2" w:history="1">
        <w:r w:rsidRPr="00CE5AA0">
          <w:rPr>
            <w:rStyle w:val="Hyperlink"/>
            <w:rFonts w:ascii="Garamond" w:eastAsiaTheme="minorHAnsi" w:hAnsi="Garamond"/>
            <w:bCs/>
            <w:szCs w:val="24"/>
            <w:lang w:eastAsia="en-US"/>
          </w:rPr>
          <w:t>https://doi.org/10.1007/s10658-018-1517-5</w:t>
        </w:r>
      </w:hyperlink>
      <w:r w:rsidRPr="00CE5AA0">
        <w:rPr>
          <w:rFonts w:ascii="Garamond" w:eastAsiaTheme="minorHAnsi" w:hAnsi="Garamond"/>
          <w:bCs/>
          <w:szCs w:val="24"/>
          <w:lang w:eastAsia="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AC9"/>
    <w:rsid w:val="0000367E"/>
    <w:rsid w:val="000172F2"/>
    <w:rsid w:val="0002774A"/>
    <w:rsid w:val="00036FA4"/>
    <w:rsid w:val="00076D79"/>
    <w:rsid w:val="000B0B87"/>
    <w:rsid w:val="000F74B6"/>
    <w:rsid w:val="00123B24"/>
    <w:rsid w:val="001245AF"/>
    <w:rsid w:val="00145488"/>
    <w:rsid w:val="00150670"/>
    <w:rsid w:val="001768A7"/>
    <w:rsid w:val="00180F73"/>
    <w:rsid w:val="001859D8"/>
    <w:rsid w:val="00192A31"/>
    <w:rsid w:val="001A335B"/>
    <w:rsid w:val="001C34A1"/>
    <w:rsid w:val="001F33E8"/>
    <w:rsid w:val="0020175B"/>
    <w:rsid w:val="002037AE"/>
    <w:rsid w:val="002047C6"/>
    <w:rsid w:val="002271C4"/>
    <w:rsid w:val="00277AC9"/>
    <w:rsid w:val="00282B23"/>
    <w:rsid w:val="00293A79"/>
    <w:rsid w:val="002B5AD2"/>
    <w:rsid w:val="002D46DF"/>
    <w:rsid w:val="003000E8"/>
    <w:rsid w:val="003014E0"/>
    <w:rsid w:val="00314D2A"/>
    <w:rsid w:val="003364D4"/>
    <w:rsid w:val="00337B09"/>
    <w:rsid w:val="003557E9"/>
    <w:rsid w:val="003562B9"/>
    <w:rsid w:val="003734A7"/>
    <w:rsid w:val="00374AE2"/>
    <w:rsid w:val="00377147"/>
    <w:rsid w:val="003A249E"/>
    <w:rsid w:val="003A3981"/>
    <w:rsid w:val="003A46DF"/>
    <w:rsid w:val="003A618B"/>
    <w:rsid w:val="003C4195"/>
    <w:rsid w:val="003C4810"/>
    <w:rsid w:val="003D0B46"/>
    <w:rsid w:val="003D32F5"/>
    <w:rsid w:val="003E2F67"/>
    <w:rsid w:val="003E4656"/>
    <w:rsid w:val="00403A7E"/>
    <w:rsid w:val="00420FCC"/>
    <w:rsid w:val="0043064D"/>
    <w:rsid w:val="0043437F"/>
    <w:rsid w:val="0044288F"/>
    <w:rsid w:val="00466F53"/>
    <w:rsid w:val="004847B8"/>
    <w:rsid w:val="00487598"/>
    <w:rsid w:val="00495544"/>
    <w:rsid w:val="004A1C33"/>
    <w:rsid w:val="004C61B4"/>
    <w:rsid w:val="004F70C0"/>
    <w:rsid w:val="005119D1"/>
    <w:rsid w:val="00530732"/>
    <w:rsid w:val="005535E1"/>
    <w:rsid w:val="0055586F"/>
    <w:rsid w:val="005752BA"/>
    <w:rsid w:val="00581997"/>
    <w:rsid w:val="005905D4"/>
    <w:rsid w:val="005957FD"/>
    <w:rsid w:val="00597C29"/>
    <w:rsid w:val="005B4D1C"/>
    <w:rsid w:val="005B5F43"/>
    <w:rsid w:val="005B6CE3"/>
    <w:rsid w:val="005C1850"/>
    <w:rsid w:val="005E2548"/>
    <w:rsid w:val="005F07D2"/>
    <w:rsid w:val="005F1B7D"/>
    <w:rsid w:val="0061636A"/>
    <w:rsid w:val="00621070"/>
    <w:rsid w:val="00644654"/>
    <w:rsid w:val="006454A8"/>
    <w:rsid w:val="006557B0"/>
    <w:rsid w:val="00674928"/>
    <w:rsid w:val="00687A79"/>
    <w:rsid w:val="00697ABE"/>
    <w:rsid w:val="006E6955"/>
    <w:rsid w:val="00721658"/>
    <w:rsid w:val="00723C12"/>
    <w:rsid w:val="007402C1"/>
    <w:rsid w:val="007466B8"/>
    <w:rsid w:val="00764791"/>
    <w:rsid w:val="00785787"/>
    <w:rsid w:val="00786B58"/>
    <w:rsid w:val="007A461B"/>
    <w:rsid w:val="007C5E8B"/>
    <w:rsid w:val="0080558D"/>
    <w:rsid w:val="0084120F"/>
    <w:rsid w:val="00866B7C"/>
    <w:rsid w:val="0089313E"/>
    <w:rsid w:val="008B522F"/>
    <w:rsid w:val="008C7EE7"/>
    <w:rsid w:val="008D07FA"/>
    <w:rsid w:val="008E21ED"/>
    <w:rsid w:val="008E7C7B"/>
    <w:rsid w:val="008F453E"/>
    <w:rsid w:val="00917640"/>
    <w:rsid w:val="00931C07"/>
    <w:rsid w:val="009728E0"/>
    <w:rsid w:val="00990EF3"/>
    <w:rsid w:val="009D0088"/>
    <w:rsid w:val="00A04F17"/>
    <w:rsid w:val="00A05C51"/>
    <w:rsid w:val="00A154F1"/>
    <w:rsid w:val="00A26109"/>
    <w:rsid w:val="00A411C6"/>
    <w:rsid w:val="00A515C8"/>
    <w:rsid w:val="00A63C3A"/>
    <w:rsid w:val="00A6755C"/>
    <w:rsid w:val="00A86FE9"/>
    <w:rsid w:val="00A93FF6"/>
    <w:rsid w:val="00AD40D0"/>
    <w:rsid w:val="00AD6F91"/>
    <w:rsid w:val="00AE20BB"/>
    <w:rsid w:val="00AE4933"/>
    <w:rsid w:val="00AF11D8"/>
    <w:rsid w:val="00B0780B"/>
    <w:rsid w:val="00B11ABC"/>
    <w:rsid w:val="00B31EA1"/>
    <w:rsid w:val="00B524B7"/>
    <w:rsid w:val="00B625E6"/>
    <w:rsid w:val="00B717A3"/>
    <w:rsid w:val="00B768D4"/>
    <w:rsid w:val="00BA0020"/>
    <w:rsid w:val="00BB5662"/>
    <w:rsid w:val="00BB76C0"/>
    <w:rsid w:val="00BC64B2"/>
    <w:rsid w:val="00BD38F5"/>
    <w:rsid w:val="00C14916"/>
    <w:rsid w:val="00C14BC7"/>
    <w:rsid w:val="00C27A06"/>
    <w:rsid w:val="00C5236C"/>
    <w:rsid w:val="00C9072D"/>
    <w:rsid w:val="00CB1BE2"/>
    <w:rsid w:val="00CE5AA0"/>
    <w:rsid w:val="00D07D53"/>
    <w:rsid w:val="00D1092E"/>
    <w:rsid w:val="00D133B9"/>
    <w:rsid w:val="00D25756"/>
    <w:rsid w:val="00D452CE"/>
    <w:rsid w:val="00D562AB"/>
    <w:rsid w:val="00D63006"/>
    <w:rsid w:val="00D90D45"/>
    <w:rsid w:val="00E1455A"/>
    <w:rsid w:val="00E34EA6"/>
    <w:rsid w:val="00E40545"/>
    <w:rsid w:val="00E72A61"/>
    <w:rsid w:val="00E76DC7"/>
    <w:rsid w:val="00E81629"/>
    <w:rsid w:val="00EC4F9D"/>
    <w:rsid w:val="00ED0B1D"/>
    <w:rsid w:val="00ED47F6"/>
    <w:rsid w:val="00F03CC6"/>
    <w:rsid w:val="00F23FBB"/>
    <w:rsid w:val="00FA0C71"/>
    <w:rsid w:val="00FA444C"/>
    <w:rsid w:val="00FB768E"/>
    <w:rsid w:val="00FC3AF8"/>
    <w:rsid w:val="00FD4B83"/>
    <w:rsid w:val="00FE22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A7A39"/>
  <w15:chartTrackingRefBased/>
  <w15:docId w15:val="{2377F376-93AC-4FA8-9DC9-D27373577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02C1"/>
    <w:pPr>
      <w:spacing w:after="0" w:line="240" w:lineRule="auto"/>
    </w:pPr>
    <w:rPr>
      <w:rFonts w:ascii="Times New Roman" w:eastAsia="Times New Roman" w:hAnsi="Times New Roman" w:cs="Times New Roman"/>
      <w:sz w:val="24"/>
      <w:szCs w:val="24"/>
      <w:lang w:val="sq-AL"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402C1"/>
    <w:rPr>
      <w:sz w:val="20"/>
      <w:szCs w:val="20"/>
    </w:rPr>
  </w:style>
  <w:style w:type="character" w:customStyle="1" w:styleId="FootnoteTextChar">
    <w:name w:val="Footnote Text Char"/>
    <w:basedOn w:val="DefaultParagraphFont"/>
    <w:link w:val="FootnoteText"/>
    <w:uiPriority w:val="99"/>
    <w:semiHidden/>
    <w:rsid w:val="007402C1"/>
    <w:rPr>
      <w:rFonts w:ascii="Times New Roman" w:eastAsia="Times New Roman" w:hAnsi="Times New Roman" w:cs="Times New Roman"/>
      <w:sz w:val="20"/>
      <w:szCs w:val="20"/>
      <w:lang w:val="sq-AL" w:eastAsia="en-GB"/>
    </w:rPr>
  </w:style>
  <w:style w:type="character" w:styleId="FootnoteReference">
    <w:name w:val="footnote reference"/>
    <w:basedOn w:val="DefaultParagraphFont"/>
    <w:uiPriority w:val="99"/>
    <w:semiHidden/>
    <w:unhideWhenUsed/>
    <w:rsid w:val="007402C1"/>
    <w:rPr>
      <w:vertAlign w:val="superscript"/>
    </w:rPr>
  </w:style>
  <w:style w:type="paragraph" w:customStyle="1" w:styleId="TEKSTI">
    <w:name w:val="TEKSTI"/>
    <w:basedOn w:val="Normal"/>
    <w:qFormat/>
    <w:rsid w:val="002271C4"/>
    <w:pPr>
      <w:ind w:firstLine="284"/>
      <w:jc w:val="both"/>
    </w:pPr>
    <w:rPr>
      <w:rFonts w:ascii="Garamond" w:eastAsiaTheme="minorHAnsi" w:hAnsi="Garamond"/>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
    <w:basedOn w:val="Normal"/>
    <w:link w:val="ListParagraphChar"/>
    <w:uiPriority w:val="34"/>
    <w:qFormat/>
    <w:rsid w:val="002271C4"/>
    <w:pPr>
      <w:ind w:left="720"/>
      <w:contextualSpacing/>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link w:val="ListParagraph"/>
    <w:uiPriority w:val="34"/>
    <w:qFormat/>
    <w:locked/>
    <w:rsid w:val="002271C4"/>
    <w:rPr>
      <w:rFonts w:ascii="Times New Roman" w:eastAsia="Times New Roman" w:hAnsi="Times New Roman" w:cs="Times New Roman"/>
      <w:sz w:val="24"/>
      <w:szCs w:val="24"/>
      <w:lang w:val="sq-AL" w:eastAsia="en-GB"/>
    </w:rPr>
  </w:style>
  <w:style w:type="character" w:styleId="Hyperlink">
    <w:name w:val="Hyperlink"/>
    <w:basedOn w:val="DefaultParagraphFont"/>
    <w:uiPriority w:val="99"/>
    <w:unhideWhenUsed/>
    <w:rsid w:val="002271C4"/>
    <w:rPr>
      <w:color w:val="0563C1" w:themeColor="hyperlink"/>
      <w:u w:val="single"/>
    </w:rPr>
  </w:style>
  <w:style w:type="character" w:styleId="UnresolvedMention">
    <w:name w:val="Unresolved Mention"/>
    <w:basedOn w:val="DefaultParagraphFont"/>
    <w:uiPriority w:val="99"/>
    <w:semiHidden/>
    <w:unhideWhenUsed/>
    <w:rsid w:val="008B522F"/>
    <w:rPr>
      <w:color w:val="605E5C"/>
      <w:shd w:val="clear" w:color="auto" w:fill="E1DFDD"/>
    </w:rPr>
  </w:style>
  <w:style w:type="paragraph" w:customStyle="1" w:styleId="TableParagraph">
    <w:name w:val="Table Paragraph"/>
    <w:basedOn w:val="Normal"/>
    <w:uiPriority w:val="1"/>
    <w:qFormat/>
    <w:rsid w:val="00A63C3A"/>
    <w:pPr>
      <w:widowControl w:val="0"/>
      <w:autoSpaceDE w:val="0"/>
      <w:autoSpaceDN w:val="0"/>
    </w:pPr>
    <w:rPr>
      <w:sz w:val="22"/>
      <w:szCs w:val="22"/>
      <w:lang w:eastAsia="en-US"/>
    </w:rPr>
  </w:style>
  <w:style w:type="table" w:styleId="TableGrid">
    <w:name w:val="Table Grid"/>
    <w:basedOn w:val="TableNormal"/>
    <w:uiPriority w:val="39"/>
    <w:rsid w:val="00A63C3A"/>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119D1"/>
    <w:pPr>
      <w:tabs>
        <w:tab w:val="center" w:pos="4680"/>
        <w:tab w:val="right" w:pos="9360"/>
      </w:tabs>
    </w:pPr>
  </w:style>
  <w:style w:type="character" w:customStyle="1" w:styleId="HeaderChar">
    <w:name w:val="Header Char"/>
    <w:basedOn w:val="DefaultParagraphFont"/>
    <w:link w:val="Header"/>
    <w:uiPriority w:val="99"/>
    <w:rsid w:val="005119D1"/>
    <w:rPr>
      <w:rFonts w:ascii="Times New Roman" w:eastAsia="Times New Roman" w:hAnsi="Times New Roman" w:cs="Times New Roman"/>
      <w:sz w:val="24"/>
      <w:szCs w:val="24"/>
      <w:lang w:val="sq-AL" w:eastAsia="en-GB"/>
    </w:rPr>
  </w:style>
  <w:style w:type="paragraph" w:styleId="Footer">
    <w:name w:val="footer"/>
    <w:basedOn w:val="Normal"/>
    <w:link w:val="FooterChar"/>
    <w:uiPriority w:val="99"/>
    <w:unhideWhenUsed/>
    <w:rsid w:val="005119D1"/>
    <w:pPr>
      <w:tabs>
        <w:tab w:val="center" w:pos="4680"/>
        <w:tab w:val="right" w:pos="9360"/>
      </w:tabs>
    </w:pPr>
  </w:style>
  <w:style w:type="character" w:customStyle="1" w:styleId="FooterChar">
    <w:name w:val="Footer Char"/>
    <w:basedOn w:val="DefaultParagraphFont"/>
    <w:link w:val="Footer"/>
    <w:uiPriority w:val="99"/>
    <w:rsid w:val="005119D1"/>
    <w:rPr>
      <w:rFonts w:ascii="Times New Roman" w:eastAsia="Times New Roman" w:hAnsi="Times New Roman" w:cs="Times New Roman"/>
      <w:sz w:val="24"/>
      <w:szCs w:val="24"/>
      <w:lang w:val="sq-AL"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doi.org/10.1007/s10658-018-1517-5" TargetMode="External"/><Relationship Id="rId1" Type="http://schemas.openxmlformats.org/officeDocument/2006/relationships/hyperlink" Target="https://journals.asm.org/doi/10.1128/AEM.66.7.2853-2858.2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B356C869E974D2CB2768202A34639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2024-09-25T12:31:56Z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2024-09-25T00:00:00Z</Date_x0020_protokolli>
    <Titulli xmlns="0e656187-b300-4fb0-8bf4-3a50f872073c">Për rregullat për masat e veçanta të kontrollit për çrrënjosjen dhe parandalimin e përhapjes brenda vendit të kalbëzimit kaf "Ralstonia solanacearum" (Smith 1896) Yabuuchi et al. 1996 emend Safni et al.2014</Titulli>
    <Modifikuesi xmlns="0e656187-b300-4fb0-8bf4-3a50f872073c">entela.suli</Modifikuesi>
    <Nr_x002e__x0020_prot_x0020_QBZ xmlns="0e656187-b300-4fb0-8bf4-3a50f872073c">1656/2</Nr_x002e__x0020_prot_x0020_QBZ>
    <Data_x0020_e_x0020_Modifikimit xmlns="0e656187-b300-4fb0-8bf4-3a50f872073c">2024-09-26T10:54:17Z</Data_x0020_e_x0020_Modifikimit>
    <Dekretuar xmlns="0e656187-b300-4fb0-8bf4-3a50f872073c">false</Dekretuar>
    <Data xmlns="0e656187-b300-4fb0-8bf4-3a50f872073c">2024-09-20T00:00:00Z</Data>
    <Nr_x002e__x0020_protokolli_x0020_i_x0020_aktit xmlns="0e656187-b300-4fb0-8bf4-3a50f872073c">5148/5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B356C869E974D2CB2768202A34639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871DF-4556-4FAC-B0AF-FFFBB5D79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AEC41E0-51A6-49B2-A588-C1EDF2347F2A}">
  <ds:schemaRefs>
    <ds:schemaRef ds:uri="http://purl.org/dc/dcmitype/"/>
    <ds:schemaRef ds:uri="http://www.w3.org/XML/1998/namespace"/>
    <ds:schemaRef ds:uri="http://schemas.openxmlformats.org/package/2006/metadata/core-properties"/>
    <ds:schemaRef ds:uri="0e656187-b300-4fb0-8bf4-3a50f872073c"/>
    <ds:schemaRef ds:uri="http://purl.org/dc/elements/1.1/"/>
    <ds:schemaRef ds:uri="http://schemas.microsoft.com/office/2006/documentManagement/typ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6EF6EE31-2EB0-4BCF-ABE3-E665432E9514}">
  <ds:schemaRefs>
    <ds:schemaRef ds:uri="http://schemas.microsoft.com/sharepoint/v3/contenttype/forms"/>
  </ds:schemaRefs>
</ds:datastoreItem>
</file>

<file path=customXml/itemProps4.xml><?xml version="1.0" encoding="utf-8"?>
<ds:datastoreItem xmlns:ds="http://schemas.openxmlformats.org/officeDocument/2006/customXml" ds:itemID="{13CE522C-26A7-46C3-80C5-01516D7D8D79}">
  <ds:schemaRefs>
    <ds:schemaRef ds:uri="http://schemas.microsoft.com/sharepoint/v3/contenttype/forms"/>
  </ds:schemaRefs>
</ds:datastoreItem>
</file>

<file path=customXml/itemProps5.xml><?xml version="1.0" encoding="utf-8"?>
<ds:datastoreItem xmlns:ds="http://schemas.openxmlformats.org/officeDocument/2006/customXml" ds:itemID="{B2F25466-A06F-42CE-964A-F45DAD230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EF28CB0-481E-4A28-B5AB-52FDC2A96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16</Pages>
  <Words>7136</Words>
  <Characters>40681</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Për rregullat për masat e veçanta të kontrollit për çrrënjosjen dhe parandalimin e përhapjes brenda vendit të kalbëzimit kaf "Ralstonia solanacearum" (Smith 1896) Yabuuchi et al. 1996 emend Safni et al.2014</vt:lpstr>
    </vt:vector>
  </TitlesOfParts>
  <Company/>
  <LinksUpToDate>false</LinksUpToDate>
  <CharactersWithSpaces>47722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rregullat për masat e veçanta të kontrollit për çrrënjosjen dhe parandalimin e përhapjes brenda vendit të kalbëzimit kaf "Ralstonia solanacearum" (Smith 1896) Yabuuchi et al. 1996 emend Safni et al.2014</dc:title>
  <dc:creator>Entela Suli</dc:creator>
  <cp:lastModifiedBy>Fjora Cahani</cp:lastModifiedBy>
  <cp:revision>137</cp:revision>
  <dcterms:created xsi:type="dcterms:W3CDTF">2024-09-25T11:24:00Z</dcterms:created>
  <dcterms:modified xsi:type="dcterms:W3CDTF">2024-09-30T13:56:00Z</dcterms:modified>
</cp:coreProperties>
</file>