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C300B9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/>
          <w:bCs/>
          <w:sz w:val="24"/>
          <w:szCs w:val="24"/>
          <w:lang w:val="sq-AL" w:eastAsia="it-IT"/>
        </w:rPr>
        <w:t>UDHËZIM</w:t>
      </w:r>
    </w:p>
    <w:p w14:paraId="5B5132BE" w14:textId="52B74598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/>
          <w:bCs/>
          <w:sz w:val="24"/>
          <w:szCs w:val="24"/>
          <w:lang w:val="sq-AL" w:eastAsia="it-IT"/>
        </w:rPr>
        <w:t xml:space="preserve">Nr. </w:t>
      </w:r>
      <w:r w:rsidRPr="00540373">
        <w:rPr>
          <w:rFonts w:ascii="Garamond" w:hAnsi="Garamond"/>
          <w:b/>
          <w:sz w:val="24"/>
          <w:szCs w:val="24"/>
          <w:lang w:val="sq-AL" w:eastAsia="it-IT"/>
        </w:rPr>
        <w:t>3</w:t>
      </w:r>
      <w:r w:rsidRPr="00540373">
        <w:rPr>
          <w:rFonts w:ascii="Garamond" w:hAnsi="Garamond"/>
          <w:b/>
          <w:bCs/>
          <w:sz w:val="24"/>
          <w:szCs w:val="24"/>
          <w:lang w:val="sq-AL" w:eastAsia="it-IT"/>
        </w:rPr>
        <w:t>, datë 20.1.2025</w:t>
      </w:r>
    </w:p>
    <w:p w14:paraId="551479A4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it-IT"/>
        </w:rPr>
      </w:pPr>
    </w:p>
    <w:p w14:paraId="3728F619" w14:textId="03A887DD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it-IT"/>
        </w:rPr>
      </w:pPr>
      <w:r w:rsidRPr="00540373">
        <w:rPr>
          <w:rFonts w:ascii="Garamond" w:hAnsi="Garamond"/>
          <w:b/>
          <w:bCs/>
          <w:color w:val="000000"/>
          <w:sz w:val="24"/>
          <w:szCs w:val="24"/>
          <w:lang w:val="sq-AL" w:eastAsia="it-IT"/>
        </w:rPr>
        <w:t>PËR</w:t>
      </w:r>
      <w:r w:rsidR="00540373" w:rsidRPr="00540373">
        <w:rPr>
          <w:rFonts w:ascii="Garamond" w:hAnsi="Garamond"/>
          <w:b/>
          <w:bCs/>
          <w:color w:val="000000"/>
          <w:sz w:val="24"/>
          <w:szCs w:val="24"/>
          <w:lang w:val="sq-AL" w:eastAsia="it-IT"/>
        </w:rPr>
        <w:t xml:space="preserve"> </w:t>
      </w:r>
      <w:r w:rsidRPr="00540373">
        <w:rPr>
          <w:rFonts w:ascii="Garamond" w:hAnsi="Garamond"/>
          <w:b/>
          <w:bCs/>
          <w:color w:val="000000"/>
          <w:sz w:val="24"/>
          <w:szCs w:val="24"/>
          <w:lang w:val="sq-AL" w:eastAsia="it-IT"/>
        </w:rPr>
        <w:t>METODAT E KONTROLLIT TË CILËSISË, LIDHUR ME PËRMBAJTJEN E</w:t>
      </w:r>
      <w:r w:rsidR="00540373" w:rsidRPr="00540373">
        <w:rPr>
          <w:rFonts w:ascii="Garamond" w:hAnsi="Garamond"/>
          <w:b/>
          <w:bCs/>
          <w:color w:val="000000"/>
          <w:sz w:val="24"/>
          <w:szCs w:val="24"/>
          <w:lang w:val="sq-AL" w:eastAsia="it-IT"/>
        </w:rPr>
        <w:t xml:space="preserve"> </w:t>
      </w:r>
      <w:r w:rsidRPr="00540373">
        <w:rPr>
          <w:rFonts w:ascii="Garamond" w:hAnsi="Garamond"/>
          <w:b/>
          <w:bCs/>
          <w:color w:val="000000"/>
          <w:sz w:val="24"/>
          <w:szCs w:val="24"/>
          <w:lang w:val="sq-AL" w:eastAsia="it-IT"/>
        </w:rPr>
        <w:t>KANABINOIDEVE,</w:t>
      </w:r>
      <w:r w:rsidR="00540373" w:rsidRPr="00540373">
        <w:rPr>
          <w:rFonts w:ascii="Garamond" w:hAnsi="Garamond"/>
          <w:b/>
          <w:bCs/>
          <w:color w:val="000000"/>
          <w:sz w:val="24"/>
          <w:szCs w:val="24"/>
          <w:lang w:val="sq-AL" w:eastAsia="it-IT"/>
        </w:rPr>
        <w:t xml:space="preserve"> </w:t>
      </w:r>
      <w:r w:rsidRPr="00540373">
        <w:rPr>
          <w:rFonts w:ascii="Garamond" w:hAnsi="Garamond"/>
          <w:b/>
          <w:bCs/>
          <w:color w:val="000000"/>
          <w:sz w:val="24"/>
          <w:szCs w:val="24"/>
          <w:lang w:val="sq-AL" w:eastAsia="it-IT"/>
        </w:rPr>
        <w:t>SI DHE TË KONTROLLIT FIZIKO-KIMIK DHE MIKROBIOLOGJIK, PËR MËNYRËN E PAKETIMIT, FORMËN DHE SASINË</w:t>
      </w:r>
    </w:p>
    <w:p w14:paraId="0324AAE1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 w:eastAsia="it-IT"/>
        </w:rPr>
      </w:pPr>
    </w:p>
    <w:p w14:paraId="3975DB33" w14:textId="55A4F263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sz w:val="24"/>
          <w:szCs w:val="24"/>
          <w:lang w:val="sq-AL" w:eastAsia="it-IT"/>
        </w:rPr>
        <w:t xml:space="preserve">Në mbështetje të nenit 102, pika 4, të Kushtetutës, nenit 28, pika 5, të </w:t>
      </w:r>
      <w:r w:rsidR="001E0D2D" w:rsidRPr="00540373">
        <w:rPr>
          <w:rFonts w:ascii="Garamond" w:hAnsi="Garamond"/>
          <w:sz w:val="24"/>
          <w:szCs w:val="24"/>
          <w:lang w:val="sq-AL" w:eastAsia="it-IT"/>
        </w:rPr>
        <w:t xml:space="preserve">ligjit 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nr. 61, datë 20.7.2023, “Për kontrollin e kultivimit dhe përpunimit të bimës së 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cannabis</w:t>
      </w:r>
      <w:r w:rsidRPr="00540373">
        <w:rPr>
          <w:rFonts w:ascii="Garamond" w:hAnsi="Garamond"/>
          <w:sz w:val="24"/>
          <w:szCs w:val="24"/>
          <w:lang w:val="sq-AL" w:eastAsia="it-IT"/>
        </w:rPr>
        <w:t>-it dhe prodhimit të nënprodukteve të saj për qëllime mjekësore dhe industriale”,</w:t>
      </w:r>
    </w:p>
    <w:p w14:paraId="7966FD41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 w:eastAsia="it-IT"/>
        </w:rPr>
      </w:pPr>
    </w:p>
    <w:p w14:paraId="7F0E9C9F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UDHËZOJ:</w:t>
      </w:r>
    </w:p>
    <w:p w14:paraId="6E9B8342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sz w:val="24"/>
          <w:szCs w:val="24"/>
          <w:lang w:val="sq-AL" w:eastAsia="it-IT"/>
        </w:rPr>
      </w:pPr>
    </w:p>
    <w:p w14:paraId="5F0772C9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Neni 1</w:t>
      </w:r>
    </w:p>
    <w:p w14:paraId="3BCB73F1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/>
          <w:bCs/>
          <w:sz w:val="24"/>
          <w:szCs w:val="24"/>
          <w:lang w:val="sq-AL" w:eastAsia="it-IT"/>
        </w:rPr>
        <w:t>Qëllimi</w:t>
      </w:r>
    </w:p>
    <w:p w14:paraId="072BC61C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FF0000"/>
          <w:sz w:val="24"/>
          <w:szCs w:val="24"/>
          <w:lang w:val="sq-AL" w:eastAsia="it-IT"/>
        </w:rPr>
      </w:pPr>
    </w:p>
    <w:p w14:paraId="355BE6AE" w14:textId="068614F4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1. Qëllimi i këtij udhëzimi është të përcaktojë metodat e kontrollit të cilësisë, përfshirë ato të kontrollit fiziko-kimik dhe mikrobiologjik për mostrat e bimës së 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cannabis</w:t>
      </w:r>
      <w:r w:rsidRPr="00540373">
        <w:rPr>
          <w:rFonts w:ascii="Garamond" w:hAnsi="Garamond"/>
          <w:sz w:val="24"/>
          <w:szCs w:val="24"/>
          <w:lang w:val="sq-AL" w:eastAsia="it-IT"/>
        </w:rPr>
        <w:t>-it, para paketimit të materialit të thatë ose fazave të tjera pasuese, si dhe mënyrën e paketimit, formën dhe sasinë.</w:t>
      </w:r>
    </w:p>
    <w:p w14:paraId="21AD7821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FF0000"/>
          <w:sz w:val="24"/>
          <w:szCs w:val="24"/>
          <w:lang w:val="sq-AL" w:eastAsia="it-IT"/>
        </w:rPr>
      </w:pPr>
    </w:p>
    <w:p w14:paraId="16E65871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color w:val="000000"/>
          <w:sz w:val="24"/>
          <w:szCs w:val="24"/>
          <w:lang w:val="sq-AL" w:eastAsia="it-IT"/>
        </w:rPr>
        <w:t>Neni 2</w:t>
      </w:r>
    </w:p>
    <w:p w14:paraId="1DDBA159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/>
          <w:bCs/>
          <w:sz w:val="24"/>
          <w:szCs w:val="24"/>
          <w:lang w:val="sq-AL" w:eastAsia="it-IT"/>
        </w:rPr>
        <w:t>Objekti</w:t>
      </w:r>
    </w:p>
    <w:p w14:paraId="0DC992F3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it-IT"/>
        </w:rPr>
      </w:pPr>
    </w:p>
    <w:p w14:paraId="09172FED" w14:textId="78B54EA2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it-IT"/>
        </w:rPr>
      </w:pPr>
      <w:r w:rsidRPr="00540373">
        <w:rPr>
          <w:rFonts w:ascii="Garamond" w:hAnsi="Garamond"/>
          <w:sz w:val="24"/>
          <w:szCs w:val="24"/>
          <w:lang w:val="sq-AL" w:eastAsia="it-IT"/>
        </w:rPr>
        <w:t>1. Të gjithë subjektet e lejuar</w:t>
      </w:r>
      <w:r w:rsidR="00E15A54">
        <w:rPr>
          <w:rFonts w:ascii="Garamond" w:hAnsi="Garamond"/>
          <w:sz w:val="24"/>
          <w:szCs w:val="24"/>
          <w:lang w:val="sq-AL" w:eastAsia="it-IT"/>
        </w:rPr>
        <w:t>a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apo </w:t>
      </w:r>
      <w:r w:rsidR="00E15A54">
        <w:rPr>
          <w:rFonts w:ascii="Garamond" w:hAnsi="Garamond"/>
          <w:sz w:val="24"/>
          <w:szCs w:val="24"/>
          <w:lang w:val="sq-AL" w:eastAsia="it-IT"/>
        </w:rPr>
        <w:t xml:space="preserve">të </w:t>
      </w:r>
      <w:r w:rsidRPr="00540373">
        <w:rPr>
          <w:rFonts w:ascii="Garamond" w:hAnsi="Garamond"/>
          <w:sz w:val="24"/>
          <w:szCs w:val="24"/>
          <w:lang w:val="sq-AL" w:eastAsia="it-IT"/>
        </w:rPr>
        <w:t>licencuar</w:t>
      </w:r>
      <w:r w:rsidR="00E15A54">
        <w:rPr>
          <w:rFonts w:ascii="Garamond" w:hAnsi="Garamond"/>
          <w:sz w:val="24"/>
          <w:szCs w:val="24"/>
          <w:lang w:val="sq-AL" w:eastAsia="it-IT"/>
        </w:rPr>
        <w:t>a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, në kuptim të ligjit nr. 61/2023, janë të detyruar të kryejnë analizat, për mostrat e bimës së 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cannabis-</w:t>
      </w:r>
      <w:r w:rsidRPr="00540373">
        <w:rPr>
          <w:rFonts w:ascii="Garamond" w:hAnsi="Garamond"/>
          <w:sz w:val="24"/>
          <w:szCs w:val="24"/>
          <w:lang w:val="sq-AL" w:eastAsia="it-IT"/>
        </w:rPr>
        <w:t>it</w:t>
      </w:r>
      <w:r w:rsidR="00C320FB">
        <w:rPr>
          <w:rFonts w:ascii="Garamond" w:hAnsi="Garamond"/>
          <w:sz w:val="24"/>
          <w:szCs w:val="24"/>
          <w:lang w:val="sq-AL" w:eastAsia="it-IT"/>
        </w:rPr>
        <w:t>,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në përputhje me monografitë specifike 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>3028</w:t>
      </w:r>
      <w:r w:rsidR="00C320FB">
        <w:rPr>
          <w:rFonts w:ascii="Garamond" w:hAnsi="Garamond"/>
          <w:color w:val="000000"/>
          <w:sz w:val="24"/>
          <w:szCs w:val="24"/>
          <w:lang w:val="sq-AL" w:eastAsia="it-IT"/>
        </w:rPr>
        <w:t>,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 sipas përcaktimeve në </w:t>
      </w:r>
      <w:r w:rsidR="00C320FB"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shtojcën 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>nr.</w:t>
      </w:r>
      <w:r w:rsidR="001E0D2D">
        <w:rPr>
          <w:rFonts w:ascii="Garamond" w:hAnsi="Garamond"/>
          <w:color w:val="000000"/>
          <w:sz w:val="24"/>
          <w:szCs w:val="24"/>
          <w:lang w:val="sq-AL" w:eastAsia="it-IT"/>
        </w:rPr>
        <w:t xml:space="preserve"> 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>1 bashkëlidhur dhe pjesë përbërëse e këtij udhëzimi dhe monografitë mbi materialet bimore (2.8) të farmakopesë evropiane (Eur.Phar) për nivelet totale të kanabinoideve</w:t>
      </w:r>
      <w:r w:rsidR="00C320FB">
        <w:rPr>
          <w:rFonts w:ascii="Garamond" w:hAnsi="Garamond"/>
          <w:color w:val="000000"/>
          <w:sz w:val="24"/>
          <w:szCs w:val="24"/>
          <w:lang w:val="sq-AL" w:eastAsia="it-IT"/>
        </w:rPr>
        <w:t>,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 si: </w:t>
      </w:r>
      <w:r w:rsidRPr="00540373">
        <w:rPr>
          <w:rFonts w:ascii="Garamond" w:hAnsi="Garamond"/>
          <w:i/>
          <w:iCs/>
          <w:color w:val="000000"/>
          <w:sz w:val="24"/>
          <w:szCs w:val="24"/>
          <w:lang w:val="sq-AL" w:eastAsia="it-IT"/>
        </w:rPr>
        <w:t>delta-9 tetrahidrokanabinolit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 (THC), </w:t>
      </w:r>
      <w:r w:rsidRPr="00540373">
        <w:rPr>
          <w:rFonts w:ascii="Garamond" w:hAnsi="Garamond"/>
          <w:i/>
          <w:iCs/>
          <w:color w:val="000000"/>
          <w:sz w:val="24"/>
          <w:szCs w:val="24"/>
          <w:lang w:val="sq-AL" w:eastAsia="it-IT"/>
        </w:rPr>
        <w:t>canabidiolit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 (CBD) dhe </w:t>
      </w:r>
      <w:r w:rsidRPr="00540373">
        <w:rPr>
          <w:rFonts w:ascii="Garamond" w:hAnsi="Garamond"/>
          <w:i/>
          <w:iCs/>
          <w:color w:val="000000"/>
          <w:sz w:val="24"/>
          <w:szCs w:val="24"/>
          <w:lang w:val="sq-AL" w:eastAsia="it-IT"/>
        </w:rPr>
        <w:t>canabinolit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 (CBN); kontrollit</w:t>
      </w:r>
      <w:r w:rsidR="00540373"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 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fiziko-kimik dhe mikrobiologjik; si dhe analiza të tjera shtesë në përputhje me kërkesat ligjore të vendit importues. </w:t>
      </w:r>
    </w:p>
    <w:p w14:paraId="7356567D" w14:textId="5209FF14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it-IT"/>
        </w:rPr>
      </w:pP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2. Kriteret dhe procedurat lidhur me mënyrën e paketimit, formën dhe sasinë për bimën e </w:t>
      </w:r>
      <w:r w:rsidRPr="00540373">
        <w:rPr>
          <w:rFonts w:ascii="Garamond" w:hAnsi="Garamond"/>
          <w:i/>
          <w:iCs/>
          <w:color w:val="000000"/>
          <w:sz w:val="24"/>
          <w:szCs w:val="24"/>
          <w:lang w:val="sq-AL" w:eastAsia="it-IT"/>
        </w:rPr>
        <w:t>cannabis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>-it të tharë, zbatohen në përputhje me monografinë specifike të Eur-Phar, EU- GMP- dhe EU-GACP.</w:t>
      </w:r>
    </w:p>
    <w:p w14:paraId="5240F078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it-IT"/>
        </w:rPr>
      </w:pPr>
    </w:p>
    <w:p w14:paraId="20561D90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color w:val="000000"/>
          <w:sz w:val="24"/>
          <w:szCs w:val="24"/>
          <w:lang w:val="sq-AL" w:eastAsia="it-IT"/>
        </w:rPr>
        <w:t>Neni 3</w:t>
      </w:r>
    </w:p>
    <w:p w14:paraId="22B8DB5B" w14:textId="25259E4E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it-IT"/>
        </w:rPr>
      </w:pPr>
      <w:r w:rsidRPr="00540373">
        <w:rPr>
          <w:rFonts w:ascii="Garamond" w:hAnsi="Garamond"/>
          <w:b/>
          <w:bCs/>
          <w:color w:val="000000"/>
          <w:sz w:val="24"/>
          <w:szCs w:val="24"/>
          <w:lang w:val="sq-AL" w:eastAsia="it-IT"/>
        </w:rPr>
        <w:t>Përkufizime</w:t>
      </w:r>
    </w:p>
    <w:p w14:paraId="2F36E6F6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it-IT"/>
        </w:rPr>
      </w:pPr>
    </w:p>
    <w:p w14:paraId="28C3F4D2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Të gjithë termat e përcaktuar në këtë udhëzim kanë të njëjtin kuptim me ata të përcaktuar në ligjin nr. 61/2023, “Për kontrollin e kultivimit dhe përpunimit të bimës së 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cannabis</w:t>
      </w:r>
      <w:r w:rsidRPr="00540373">
        <w:rPr>
          <w:rFonts w:ascii="Garamond" w:hAnsi="Garamond"/>
          <w:sz w:val="24"/>
          <w:szCs w:val="24"/>
          <w:lang w:val="sq-AL" w:eastAsia="it-IT"/>
        </w:rPr>
        <w:t>-it dhe prodhimit të nënprodukteve të saj për qëllime mjekësore dhe industriale”.</w:t>
      </w:r>
    </w:p>
    <w:p w14:paraId="0093F010" w14:textId="68472FED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sz w:val="24"/>
          <w:szCs w:val="24"/>
          <w:lang w:val="sq-AL" w:eastAsia="it-IT"/>
        </w:rPr>
        <w:t>Për efekt të këtij udhëzimi, përkufizimet shtesë kanë këto kuptime:</w:t>
      </w:r>
    </w:p>
    <w:p w14:paraId="466D4C23" w14:textId="71551F2D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1. Δ9-Tetrahidrokanabinoli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</w:t>
      </w:r>
      <w:r w:rsidRPr="00660C69">
        <w:rPr>
          <w:rFonts w:ascii="Garamond" w:hAnsi="Garamond"/>
          <w:i/>
          <w:iCs/>
          <w:sz w:val="24"/>
          <w:szCs w:val="24"/>
          <w:lang w:val="sq-AL" w:eastAsia="it-IT"/>
        </w:rPr>
        <w:t>(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Δ9-</w:t>
      </w:r>
      <w:r w:rsidRPr="002E4570">
        <w:rPr>
          <w:rFonts w:ascii="Garamond" w:hAnsi="Garamond"/>
          <w:i/>
          <w:iCs/>
          <w:sz w:val="24"/>
          <w:szCs w:val="24"/>
          <w:lang w:val="sq-AL" w:eastAsia="it-IT"/>
        </w:rPr>
        <w:t>Tetrahydrocannabinol,</w:t>
      </w:r>
      <w:r w:rsidRPr="002E4570">
        <w:rPr>
          <w:rFonts w:ascii="Garamond" w:hAnsi="Garamond"/>
          <w:sz w:val="24"/>
          <w:szCs w:val="24"/>
          <w:lang w:val="sq-AL" w:eastAsia="it-IT"/>
        </w:rPr>
        <w:t xml:space="preserve"> delta-9 </w:t>
      </w:r>
      <w:r w:rsidRPr="002E4570">
        <w:rPr>
          <w:rFonts w:ascii="Garamond" w:hAnsi="Garamond"/>
          <w:i/>
          <w:iCs/>
          <w:sz w:val="24"/>
          <w:szCs w:val="24"/>
          <w:lang w:val="sq-AL" w:eastAsia="it-IT"/>
        </w:rPr>
        <w:t>THC</w:t>
      </w:r>
      <w:r w:rsidRPr="002E4570">
        <w:rPr>
          <w:rFonts w:ascii="Garamond" w:hAnsi="Garamond"/>
          <w:sz w:val="24"/>
          <w:szCs w:val="24"/>
          <w:lang w:val="sq-AL" w:eastAsia="it-IT"/>
        </w:rPr>
        <w:t xml:space="preserve">) </w:t>
      </w:r>
      <w:r w:rsidR="00C320FB" w:rsidRPr="002E4570">
        <w:rPr>
          <w:rFonts w:ascii="Garamond" w:hAnsi="Garamond"/>
          <w:sz w:val="24"/>
          <w:szCs w:val="24"/>
          <w:lang w:val="sq-AL" w:eastAsia="it-IT"/>
        </w:rPr>
        <w:t>–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është kanabinoid natyral, i cili shfaqet me 4 steroizomere ((-)-trans, (+)-trans, (-)-cis, (+)-cis)</w:t>
      </w:r>
      <w:r w:rsidR="00540373" w:rsidRPr="00540373">
        <w:rPr>
          <w:rFonts w:ascii="Garamond" w:hAnsi="Garamond"/>
          <w:sz w:val="24"/>
          <w:szCs w:val="24"/>
          <w:lang w:val="sq-AL" w:eastAsia="it-IT"/>
        </w:rPr>
        <w:t xml:space="preserve"> 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dhe gjendet në bimën e 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cannabis</w:t>
      </w:r>
      <w:r w:rsidRPr="00540373">
        <w:rPr>
          <w:rFonts w:ascii="Garamond" w:hAnsi="Garamond"/>
          <w:sz w:val="24"/>
          <w:szCs w:val="24"/>
          <w:lang w:val="sq-AL" w:eastAsia="it-IT"/>
        </w:rPr>
        <w:t>-it.</w:t>
      </w:r>
    </w:p>
    <w:p w14:paraId="6A0EA8A4" w14:textId="6FE79161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 xml:space="preserve">2. Δ9- </w:t>
      </w:r>
      <w:r w:rsidRPr="002E4570">
        <w:rPr>
          <w:rFonts w:ascii="Garamond" w:hAnsi="Garamond"/>
          <w:i/>
          <w:iCs/>
          <w:sz w:val="24"/>
          <w:szCs w:val="24"/>
          <w:lang w:val="sq-AL" w:eastAsia="it-IT"/>
        </w:rPr>
        <w:t>Tetrahidrokanabinoli total (</w:t>
      </w:r>
      <w:r w:rsidRPr="002E4570">
        <w:rPr>
          <w:rFonts w:ascii="Garamond" w:hAnsi="Garamond"/>
          <w:sz w:val="24"/>
          <w:szCs w:val="24"/>
          <w:lang w:val="sq-AL" w:eastAsia="it-IT"/>
        </w:rPr>
        <w:t>delta 9- THC</w:t>
      </w:r>
      <w:r w:rsidRPr="002E4570">
        <w:rPr>
          <w:rFonts w:ascii="Garamond" w:hAnsi="Garamond"/>
          <w:i/>
          <w:iCs/>
          <w:sz w:val="24"/>
          <w:szCs w:val="24"/>
          <w:lang w:val="sq-AL" w:eastAsia="it-IT"/>
        </w:rPr>
        <w:t xml:space="preserve"> total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 xml:space="preserve">) </w:t>
      </w:r>
      <w:r w:rsidR="00C320FB">
        <w:rPr>
          <w:rFonts w:ascii="Garamond" w:hAnsi="Garamond"/>
          <w:i/>
          <w:iCs/>
          <w:sz w:val="24"/>
          <w:szCs w:val="24"/>
          <w:lang w:val="sq-AL" w:eastAsia="it-IT"/>
        </w:rPr>
        <w:t>–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 xml:space="preserve"> 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nënkupton sasinë totale të delta-9 THC dhe </w:t>
      </w:r>
      <w:bookmarkStart w:id="0" w:name="_GoBack"/>
      <w:bookmarkEnd w:id="0"/>
      <w:r w:rsidRPr="002E4570">
        <w:rPr>
          <w:rFonts w:ascii="Garamond" w:hAnsi="Garamond"/>
          <w:sz w:val="24"/>
          <w:szCs w:val="24"/>
          <w:lang w:val="sq-AL" w:eastAsia="it-IT"/>
        </w:rPr>
        <w:t>delta-9 THCA i llogaritur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sipas monografisë specifike të farmakopesë evropiane.</w:t>
      </w:r>
    </w:p>
    <w:p w14:paraId="4F687D49" w14:textId="33DFFDE4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3. Acidi Δ9-tetrahidrokanabinolik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(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Δ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-9 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 xml:space="preserve">Tetrahydrocannabinolic </w:t>
      </w:r>
      <w:r w:rsidRPr="002E4570">
        <w:rPr>
          <w:rFonts w:ascii="Garamond" w:hAnsi="Garamond"/>
          <w:i/>
          <w:iCs/>
          <w:sz w:val="24"/>
          <w:szCs w:val="24"/>
          <w:lang w:val="sq-AL" w:eastAsia="it-IT"/>
        </w:rPr>
        <w:t>acid</w:t>
      </w:r>
      <w:r w:rsidRPr="002E4570">
        <w:rPr>
          <w:rFonts w:ascii="Garamond" w:hAnsi="Garamond"/>
          <w:sz w:val="24"/>
          <w:szCs w:val="24"/>
          <w:lang w:val="sq-AL" w:eastAsia="it-IT"/>
        </w:rPr>
        <w:t xml:space="preserve">, delta 9- </w:t>
      </w:r>
      <w:r w:rsidRPr="002E4570">
        <w:rPr>
          <w:rFonts w:ascii="Garamond" w:hAnsi="Garamond"/>
          <w:i/>
          <w:iCs/>
          <w:sz w:val="24"/>
          <w:szCs w:val="24"/>
          <w:lang w:val="sq-AL" w:eastAsia="it-IT"/>
        </w:rPr>
        <w:t>THCA</w:t>
      </w:r>
      <w:r w:rsidRPr="002E4570">
        <w:rPr>
          <w:rFonts w:ascii="Garamond" w:hAnsi="Garamond"/>
          <w:sz w:val="24"/>
          <w:szCs w:val="24"/>
          <w:lang w:val="sq-AL" w:eastAsia="it-IT"/>
        </w:rPr>
        <w:t xml:space="preserve">) </w:t>
      </w:r>
      <w:r w:rsidR="00C320FB" w:rsidRPr="002E4570">
        <w:rPr>
          <w:rFonts w:ascii="Garamond" w:hAnsi="Garamond"/>
          <w:sz w:val="24"/>
          <w:szCs w:val="24"/>
          <w:lang w:val="sq-AL" w:eastAsia="it-IT"/>
        </w:rPr>
        <w:t>–</w:t>
      </w:r>
      <w:r w:rsidRPr="002E4570">
        <w:rPr>
          <w:rFonts w:ascii="Garamond" w:hAnsi="Garamond"/>
          <w:sz w:val="24"/>
          <w:szCs w:val="24"/>
          <w:lang w:val="sq-AL" w:eastAsia="it-IT"/>
        </w:rPr>
        <w:t xml:space="preserve"> është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përbërës aktiv natyral që gjendet në bimën e 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cannabis</w:t>
      </w:r>
      <w:r w:rsidRPr="00540373">
        <w:rPr>
          <w:rFonts w:ascii="Garamond" w:hAnsi="Garamond"/>
          <w:sz w:val="24"/>
          <w:szCs w:val="24"/>
          <w:lang w:val="sq-AL" w:eastAsia="it-IT"/>
        </w:rPr>
        <w:t>-it në formën e pararendësit biosintetik të delta-9 THC-së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.</w:t>
      </w:r>
    </w:p>
    <w:p w14:paraId="769B2DF6" w14:textId="3BA3330E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4. Acidi kanabidiolik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(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Cannabidiolic acid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, CBDA) </w:t>
      </w:r>
      <w:r w:rsidR="00C320FB">
        <w:rPr>
          <w:rFonts w:ascii="Garamond" w:hAnsi="Garamond"/>
          <w:sz w:val="24"/>
          <w:szCs w:val="24"/>
          <w:lang w:val="sq-AL" w:eastAsia="it-IT"/>
        </w:rPr>
        <w:t>–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është përbërës aktiv natyral që gjendet në bimën e 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cannabis</w:t>
      </w:r>
      <w:r w:rsidRPr="00540373">
        <w:rPr>
          <w:rFonts w:ascii="Garamond" w:hAnsi="Garamond"/>
          <w:sz w:val="24"/>
          <w:szCs w:val="24"/>
          <w:lang w:val="sq-AL" w:eastAsia="it-IT"/>
        </w:rPr>
        <w:t>-it në formën e pararendësit biosintetik të CBD-së.</w:t>
      </w:r>
    </w:p>
    <w:p w14:paraId="3A3F2B68" w14:textId="2EC6BE3A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lastRenderedPageBreak/>
        <w:t xml:space="preserve">5. Bimë cannabis-i </w:t>
      </w:r>
      <w:r w:rsidR="00C320FB">
        <w:rPr>
          <w:rFonts w:ascii="Garamond" w:hAnsi="Garamond"/>
          <w:sz w:val="24"/>
          <w:szCs w:val="24"/>
          <w:lang w:val="sq-AL" w:eastAsia="it-IT"/>
        </w:rPr>
        <w:t>–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nënkupton varietete të ndryshme të bimës, si 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cannabis sativa, cannabis indica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dhe 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cannabis ruderalis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dhe përfshin të gjitha pjesët e saj.</w:t>
      </w:r>
    </w:p>
    <w:p w14:paraId="24710422" w14:textId="0473F94C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6. Cannabis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</w:t>
      </w:r>
      <w:r w:rsidR="00C320FB">
        <w:rPr>
          <w:rFonts w:ascii="Garamond" w:hAnsi="Garamond"/>
          <w:sz w:val="24"/>
          <w:szCs w:val="24"/>
          <w:lang w:val="sq-AL" w:eastAsia="it-IT"/>
        </w:rPr>
        <w:t>–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majat e lulëzuara dhe të frutifikuara të bimës së </w:t>
      </w:r>
      <w:r w:rsidRPr="00C320FB">
        <w:rPr>
          <w:rFonts w:ascii="Garamond" w:hAnsi="Garamond"/>
          <w:i/>
          <w:iCs/>
          <w:sz w:val="24"/>
          <w:szCs w:val="24"/>
          <w:lang w:val="sq-AL" w:eastAsia="it-IT"/>
        </w:rPr>
        <w:t>cannabis</w:t>
      </w:r>
      <w:r w:rsidRPr="00540373">
        <w:rPr>
          <w:rFonts w:ascii="Garamond" w:hAnsi="Garamond"/>
          <w:sz w:val="24"/>
          <w:szCs w:val="24"/>
          <w:lang w:val="sq-AL" w:eastAsia="it-IT"/>
        </w:rPr>
        <w:t>-it prej të cilave nuk është hequr rrëshira.</w:t>
      </w:r>
    </w:p>
    <w:p w14:paraId="1EB84D8B" w14:textId="3953635F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 xml:space="preserve">7. Certifikatë </w:t>
      </w:r>
      <w:r w:rsidR="00C320FB" w:rsidRPr="00540373">
        <w:rPr>
          <w:rFonts w:ascii="Garamond" w:hAnsi="Garamond"/>
          <w:i/>
          <w:iCs/>
          <w:sz w:val="24"/>
          <w:szCs w:val="24"/>
          <w:lang w:val="sq-AL" w:eastAsia="it-IT"/>
        </w:rPr>
        <w:t>analize</w:t>
      </w:r>
      <w:r w:rsidR="00C320FB" w:rsidRPr="00540373">
        <w:rPr>
          <w:rFonts w:ascii="Garamond" w:hAnsi="Garamond"/>
          <w:sz w:val="24"/>
          <w:szCs w:val="24"/>
          <w:lang w:val="sq-AL" w:eastAsia="it-IT"/>
        </w:rPr>
        <w:t xml:space="preserve"> </w:t>
      </w:r>
      <w:r w:rsidRPr="00540373">
        <w:rPr>
          <w:rFonts w:ascii="Garamond" w:hAnsi="Garamond"/>
          <w:sz w:val="24"/>
          <w:szCs w:val="24"/>
          <w:lang w:val="sq-AL" w:eastAsia="it-IT"/>
        </w:rPr>
        <w:t>–</w:t>
      </w:r>
      <w:r w:rsidR="00540373" w:rsidRPr="00540373">
        <w:rPr>
          <w:rFonts w:ascii="Garamond" w:hAnsi="Garamond"/>
          <w:sz w:val="24"/>
          <w:szCs w:val="24"/>
          <w:lang w:val="sq-AL" w:eastAsia="it-IT"/>
        </w:rPr>
        <w:t xml:space="preserve"> </w:t>
      </w:r>
      <w:r w:rsidRPr="00540373">
        <w:rPr>
          <w:rFonts w:ascii="Garamond" w:hAnsi="Garamond"/>
          <w:sz w:val="24"/>
          <w:szCs w:val="24"/>
          <w:lang w:val="sq-AL" w:eastAsia="it-IT"/>
        </w:rPr>
        <w:t>është dokumenti i lëshuar nga laboratori i akredituar</w:t>
      </w:r>
      <w:r w:rsidR="009C1676">
        <w:rPr>
          <w:rFonts w:ascii="Garamond" w:hAnsi="Garamond"/>
          <w:sz w:val="24"/>
          <w:szCs w:val="24"/>
          <w:lang w:val="sq-AL" w:eastAsia="it-IT"/>
        </w:rPr>
        <w:t>,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në përputhje me ISO17025 dhe i miratuar sipas përcaktimeve të ligjit </w:t>
      </w:r>
      <w:r w:rsidR="009C1676">
        <w:rPr>
          <w:rFonts w:ascii="Garamond" w:hAnsi="Garamond"/>
          <w:sz w:val="24"/>
          <w:szCs w:val="24"/>
          <w:lang w:val="sq-AL" w:eastAsia="it-IT"/>
        </w:rPr>
        <w:t xml:space="preserve">nr. </w:t>
      </w:r>
      <w:r w:rsidRPr="00540373">
        <w:rPr>
          <w:rFonts w:ascii="Garamond" w:hAnsi="Garamond"/>
          <w:sz w:val="24"/>
          <w:szCs w:val="24"/>
          <w:lang w:val="sq-AL" w:eastAsia="it-IT"/>
        </w:rPr>
        <w:t>61/2023.</w:t>
      </w:r>
    </w:p>
    <w:p w14:paraId="1F838206" w14:textId="21FB4C66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 xml:space="preserve">8. EU-GACP </w:t>
      </w:r>
      <w:r w:rsidR="00D5031B">
        <w:rPr>
          <w:rFonts w:ascii="Garamond" w:hAnsi="Garamond"/>
          <w:sz w:val="24"/>
          <w:szCs w:val="24"/>
          <w:lang w:val="sq-AL" w:eastAsia="it-IT"/>
        </w:rPr>
        <w:t>–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</w:t>
      </w:r>
      <w:r w:rsidR="00D5031B" w:rsidRPr="00540373">
        <w:rPr>
          <w:rFonts w:ascii="Garamond" w:hAnsi="Garamond"/>
          <w:sz w:val="24"/>
          <w:szCs w:val="24"/>
          <w:lang w:val="sq-AL" w:eastAsia="it-IT"/>
        </w:rPr>
        <w:t xml:space="preserve">praktikat </w:t>
      </w:r>
      <w:r w:rsidRPr="00540373">
        <w:rPr>
          <w:rFonts w:ascii="Garamond" w:hAnsi="Garamond"/>
          <w:sz w:val="24"/>
          <w:szCs w:val="24"/>
          <w:lang w:val="sq-AL" w:eastAsia="it-IT"/>
        </w:rPr>
        <w:t>e mira evropiane bujqësore dhe të grumbullimit.</w:t>
      </w:r>
    </w:p>
    <w:p w14:paraId="131FE052" w14:textId="09ABF4E9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 w:eastAsia="it-IT"/>
        </w:rPr>
      </w:pP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 xml:space="preserve">9. EU-GMP </w:t>
      </w:r>
      <w:r w:rsidR="00D5031B">
        <w:rPr>
          <w:rFonts w:ascii="Garamond" w:hAnsi="Garamond"/>
          <w:i/>
          <w:iCs/>
          <w:sz w:val="24"/>
          <w:szCs w:val="24"/>
          <w:lang w:val="sq-AL" w:eastAsia="it-IT"/>
        </w:rPr>
        <w:t>–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 xml:space="preserve"> </w:t>
      </w:r>
      <w:r w:rsidR="00D5031B" w:rsidRPr="00540373">
        <w:rPr>
          <w:rFonts w:ascii="Garamond" w:hAnsi="Garamond"/>
          <w:sz w:val="24"/>
          <w:szCs w:val="24"/>
          <w:lang w:val="sq-AL" w:eastAsia="it-IT"/>
        </w:rPr>
        <w:t xml:space="preserve">praktikat 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e mira evropiane të fabrikimit. </w:t>
      </w:r>
    </w:p>
    <w:p w14:paraId="48ED6FD9" w14:textId="455F8B34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 xml:space="preserve">10. Eur.Phar 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– </w:t>
      </w:r>
      <w:r w:rsidR="00D5031B" w:rsidRPr="00540373">
        <w:rPr>
          <w:rFonts w:ascii="Garamond" w:hAnsi="Garamond"/>
          <w:sz w:val="24"/>
          <w:szCs w:val="24"/>
          <w:lang w:val="sq-AL" w:eastAsia="it-IT"/>
        </w:rPr>
        <w:t xml:space="preserve">farmakopeja </w:t>
      </w:r>
      <w:r w:rsidRPr="00540373">
        <w:rPr>
          <w:rFonts w:ascii="Garamond" w:hAnsi="Garamond"/>
          <w:sz w:val="24"/>
          <w:szCs w:val="24"/>
          <w:lang w:val="sq-AL" w:eastAsia="it-IT"/>
        </w:rPr>
        <w:t>evropiane.</w:t>
      </w:r>
    </w:p>
    <w:p w14:paraId="57E8AB4D" w14:textId="0C27AB22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 w:eastAsia="it-IT"/>
        </w:rPr>
      </w:pPr>
      <w:r w:rsidRPr="00540373">
        <w:rPr>
          <w:rFonts w:ascii="Garamond" w:hAnsi="Garamond"/>
          <w:i/>
          <w:iCs/>
          <w:color w:val="000000"/>
          <w:sz w:val="24"/>
          <w:szCs w:val="24"/>
          <w:lang w:val="sq-AL" w:eastAsia="it-IT"/>
        </w:rPr>
        <w:t>11. GLP</w:t>
      </w:r>
      <w:r w:rsidR="00D5031B">
        <w:rPr>
          <w:rFonts w:ascii="Garamond" w:hAnsi="Garamond"/>
          <w:i/>
          <w:iCs/>
          <w:color w:val="000000"/>
          <w:sz w:val="24"/>
          <w:szCs w:val="24"/>
          <w:lang w:val="sq-AL" w:eastAsia="it-IT"/>
        </w:rPr>
        <w:t xml:space="preserve"> 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>(</w:t>
      </w:r>
      <w:r w:rsidR="00D5031B" w:rsidRPr="00540373">
        <w:rPr>
          <w:rFonts w:ascii="Garamond" w:hAnsi="Garamond"/>
          <w:color w:val="000000"/>
          <w:sz w:val="24"/>
          <w:szCs w:val="24"/>
          <w:lang w:val="sq-AL" w:eastAsia="it-IT"/>
        </w:rPr>
        <w:t>praktikat e mira laboratorike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) </w:t>
      </w:r>
      <w:r w:rsidR="00D5031B" w:rsidRPr="00540373">
        <w:rPr>
          <w:rFonts w:ascii="Garamond" w:hAnsi="Garamond"/>
          <w:sz w:val="24"/>
          <w:szCs w:val="24"/>
          <w:lang w:val="sq-AL" w:eastAsia="it-IT"/>
        </w:rPr>
        <w:t>–</w:t>
      </w:r>
      <w:r w:rsidR="00D5031B">
        <w:rPr>
          <w:rFonts w:ascii="Garamond" w:hAnsi="Garamond"/>
          <w:sz w:val="24"/>
          <w:szCs w:val="24"/>
          <w:lang w:val="sq-AL" w:eastAsia="it-IT"/>
        </w:rPr>
        <w:t xml:space="preserve"> 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>i referohen një sërë parimesh/rregullash që synojnë të sigurojnë cilësinë, integritetin dhe besueshmërinë e testimeve laboratorike, të cilat zbatohen në planifikimin, kryerjen, monitorimin, regjistrimin, raportimin dhe arkivimin e testimeve të kryera në laborator.</w:t>
      </w:r>
    </w:p>
    <w:p w14:paraId="14009027" w14:textId="11B22B46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12. Kanabidioli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(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Cannabidiol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, 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CBD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) </w:t>
      </w:r>
      <w:r w:rsidR="00D5031B" w:rsidRPr="00540373">
        <w:rPr>
          <w:rFonts w:ascii="Garamond" w:hAnsi="Garamond"/>
          <w:sz w:val="24"/>
          <w:szCs w:val="24"/>
          <w:lang w:val="sq-AL" w:eastAsia="it-IT"/>
        </w:rPr>
        <w:t>–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është një nga kanabinoidet natyrale, i cili biosintetizohet kryesisht në stereoizomerin (-)-trans që gjendet në bimën e 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cannabis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-it. </w:t>
      </w:r>
    </w:p>
    <w:p w14:paraId="74A6E036" w14:textId="02DB2A51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13. Kanabinoide – (Cannabinoids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) </w:t>
      </w:r>
      <w:r w:rsidR="00D5031B">
        <w:rPr>
          <w:rFonts w:ascii="Garamond" w:hAnsi="Garamond"/>
          <w:sz w:val="24"/>
          <w:szCs w:val="24"/>
          <w:lang w:val="sq-AL" w:eastAsia="it-IT"/>
        </w:rPr>
        <w:t>–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nënkupton tërësinë e substancave të biosintetizuara në bimën e 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cannabis</w:t>
      </w:r>
      <w:r w:rsidRPr="00540373">
        <w:rPr>
          <w:rFonts w:ascii="Garamond" w:hAnsi="Garamond"/>
          <w:sz w:val="24"/>
          <w:szCs w:val="24"/>
          <w:lang w:val="sq-AL" w:eastAsia="it-IT"/>
        </w:rPr>
        <w:t>-it, strukturalisht të ngjashme me THC</w:t>
      </w:r>
      <w:r w:rsidR="00D5031B">
        <w:rPr>
          <w:rFonts w:ascii="Garamond" w:hAnsi="Garamond"/>
          <w:sz w:val="24"/>
          <w:szCs w:val="24"/>
          <w:lang w:val="sq-AL" w:eastAsia="it-IT"/>
        </w:rPr>
        <w:t>-në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, të cilët kanë afinitet për t’u lidhur me receptorë specifikë në organizmin e njeriut. </w:t>
      </w:r>
    </w:p>
    <w:p w14:paraId="40F472BA" w14:textId="66E5C53D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 xml:space="preserve">14. Kanabinol (Cannabinol, CBN) 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është metabolit natyral i 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delta-9-Tetrahidrokanabinolit.</w:t>
      </w:r>
    </w:p>
    <w:p w14:paraId="7CE20DD4" w14:textId="3529B875" w:rsidR="00AE1F81" w:rsidRPr="00540373" w:rsidRDefault="00AE1F81" w:rsidP="00CB4D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 xml:space="preserve">15. Kanabinol total – </w:t>
      </w:r>
      <w:r w:rsidRPr="00540373">
        <w:rPr>
          <w:rFonts w:ascii="Garamond" w:hAnsi="Garamond"/>
          <w:sz w:val="24"/>
          <w:szCs w:val="24"/>
          <w:lang w:val="sq-AL" w:eastAsia="it-IT"/>
        </w:rPr>
        <w:t>nënkupton sasinë totale të CBN</w:t>
      </w:r>
      <w:r w:rsidR="00CB4D7A">
        <w:rPr>
          <w:rFonts w:ascii="Garamond" w:hAnsi="Garamond"/>
          <w:sz w:val="24"/>
          <w:szCs w:val="24"/>
          <w:lang w:val="sq-AL" w:eastAsia="it-IT"/>
        </w:rPr>
        <w:t>-së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dhe CBNA</w:t>
      </w:r>
      <w:r w:rsidR="00CB4D7A">
        <w:rPr>
          <w:rFonts w:ascii="Garamond" w:hAnsi="Garamond"/>
          <w:sz w:val="24"/>
          <w:szCs w:val="24"/>
          <w:lang w:val="sq-AL" w:eastAsia="it-IT"/>
        </w:rPr>
        <w:t>-së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, llogaritur sipas monografisë specifike të farmakopesë evropiane. </w:t>
      </w:r>
    </w:p>
    <w:p w14:paraId="07396A11" w14:textId="356B0D68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sz w:val="24"/>
          <w:szCs w:val="24"/>
          <w:lang w:val="sq-AL" w:eastAsia="it-IT"/>
        </w:rPr>
        <w:t>16.</w:t>
      </w:r>
      <w:r w:rsidR="00540373" w:rsidRPr="00540373">
        <w:rPr>
          <w:rFonts w:ascii="Garamond" w:hAnsi="Garamond"/>
          <w:sz w:val="24"/>
          <w:szCs w:val="24"/>
          <w:lang w:val="sq-AL" w:eastAsia="it-IT"/>
        </w:rPr>
        <w:t xml:space="preserve"> 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Mostër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</w:t>
      </w:r>
      <w:r w:rsidR="00BD3BCF">
        <w:rPr>
          <w:rFonts w:ascii="Garamond" w:hAnsi="Garamond"/>
          <w:i/>
          <w:iCs/>
          <w:sz w:val="24"/>
          <w:szCs w:val="24"/>
          <w:lang w:val="sq-AL" w:eastAsia="it-IT"/>
        </w:rPr>
        <w:t>–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është një sasi materiali e marrë</w:t>
      </w:r>
      <w:r w:rsidR="00B76C1F">
        <w:rPr>
          <w:rFonts w:ascii="Garamond" w:hAnsi="Garamond"/>
          <w:sz w:val="24"/>
          <w:szCs w:val="24"/>
          <w:lang w:val="sq-AL" w:eastAsia="it-IT"/>
        </w:rPr>
        <w:t>,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në përputhje me një procedurë të miratuar</w:t>
      </w:r>
      <w:r w:rsidR="00DA2CB6">
        <w:rPr>
          <w:rFonts w:ascii="Garamond" w:hAnsi="Garamond"/>
          <w:sz w:val="24"/>
          <w:szCs w:val="24"/>
          <w:lang w:val="sq-AL" w:eastAsia="it-IT"/>
        </w:rPr>
        <w:t>,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nga një numër loti për qëllime testimi në laborator.</w:t>
      </w:r>
    </w:p>
    <w:p w14:paraId="40A6BEF4" w14:textId="5F911B7F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 xml:space="preserve">17. Numër </w:t>
      </w:r>
      <w:r w:rsidR="00BB736A" w:rsidRPr="00540373">
        <w:rPr>
          <w:rFonts w:ascii="Garamond" w:hAnsi="Garamond"/>
          <w:i/>
          <w:iCs/>
          <w:sz w:val="24"/>
          <w:szCs w:val="24"/>
          <w:lang w:val="sq-AL" w:eastAsia="it-IT"/>
        </w:rPr>
        <w:t>loti</w:t>
      </w:r>
      <w:r w:rsidR="00BB736A" w:rsidRPr="00540373">
        <w:rPr>
          <w:rFonts w:ascii="Garamond" w:hAnsi="Garamond"/>
          <w:sz w:val="24"/>
          <w:szCs w:val="24"/>
          <w:lang w:val="sq-AL" w:eastAsia="it-IT"/>
        </w:rPr>
        <w:t xml:space="preserve"> </w:t>
      </w:r>
      <w:r w:rsidRPr="00540373">
        <w:rPr>
          <w:rFonts w:ascii="Garamond" w:hAnsi="Garamond"/>
          <w:sz w:val="24"/>
          <w:szCs w:val="24"/>
          <w:lang w:val="sq-AL" w:eastAsia="it-IT"/>
        </w:rPr>
        <w:t>– nënkupton një numër identifikues për çdo seri prodhimi, përftuar në të njëjtat kushte.</w:t>
      </w:r>
    </w:p>
    <w:p w14:paraId="57F879FF" w14:textId="04ABAC50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 w:eastAsia="it-IT"/>
        </w:rPr>
      </w:pPr>
      <w:r w:rsidRPr="00540373">
        <w:rPr>
          <w:rFonts w:ascii="Garamond" w:hAnsi="Garamond"/>
          <w:i/>
          <w:iCs/>
          <w:color w:val="000000"/>
          <w:sz w:val="24"/>
          <w:szCs w:val="24"/>
          <w:lang w:val="sq-AL" w:eastAsia="it-IT"/>
        </w:rPr>
        <w:t xml:space="preserve">18. Pasiguri në matje – 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i referohet një intervali vlerash që shoqëron një rezultat matjeje, duke treguar shkallën e besueshmërisë dhe </w:t>
      </w:r>
      <w:r w:rsidR="00C5763B">
        <w:rPr>
          <w:rFonts w:ascii="Garamond" w:hAnsi="Garamond"/>
          <w:sz w:val="24"/>
          <w:szCs w:val="24"/>
          <w:lang w:val="sq-AL" w:eastAsia="it-IT"/>
        </w:rPr>
        <w:t xml:space="preserve">të </w:t>
      </w:r>
      <w:r w:rsidRPr="00540373">
        <w:rPr>
          <w:rFonts w:ascii="Garamond" w:hAnsi="Garamond"/>
          <w:sz w:val="24"/>
          <w:szCs w:val="24"/>
          <w:lang w:val="sq-AL" w:eastAsia="it-IT"/>
        </w:rPr>
        <w:t>saktësisë së këtij rezultati. Ajo jep të dhëna mbi cilësinë dhe vlefshmërinë e rezultateve të matjes dhe shprehet si vlerë numerike (interval), brenda të cilit ndodhet rezultati i matjes, i shoqëruar me një nivel besimi 95%.</w:t>
      </w:r>
    </w:p>
    <w:p w14:paraId="726CFFEE" w14:textId="15593804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 w:eastAsia="it-IT"/>
        </w:rPr>
      </w:pP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 xml:space="preserve">19. SOP  </w:t>
      </w:r>
      <w:r w:rsidRPr="00540373">
        <w:rPr>
          <w:rFonts w:ascii="Garamond" w:hAnsi="Garamond"/>
          <w:sz w:val="24"/>
          <w:szCs w:val="24"/>
          <w:lang w:val="sq-AL" w:eastAsia="it-IT"/>
        </w:rPr>
        <w:t>(</w:t>
      </w:r>
      <w:r w:rsidR="00D02AA1" w:rsidRPr="00540373">
        <w:rPr>
          <w:rFonts w:ascii="Garamond" w:hAnsi="Garamond"/>
          <w:color w:val="000000"/>
          <w:sz w:val="24"/>
          <w:szCs w:val="24"/>
          <w:lang w:val="sq-AL" w:eastAsia="it-IT"/>
        </w:rPr>
        <w:t>procedura standarde operacionale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) </w:t>
      </w:r>
      <w:r w:rsidR="00D02AA1" w:rsidRPr="00540373">
        <w:rPr>
          <w:rFonts w:ascii="Garamond" w:hAnsi="Garamond"/>
          <w:i/>
          <w:iCs/>
          <w:sz w:val="24"/>
          <w:szCs w:val="24"/>
          <w:lang w:val="sq-AL" w:eastAsia="it-IT"/>
        </w:rPr>
        <w:t>–</w:t>
      </w:r>
      <w:r w:rsidR="00D02AA1">
        <w:rPr>
          <w:rFonts w:ascii="Garamond" w:hAnsi="Garamond"/>
          <w:i/>
          <w:iCs/>
          <w:sz w:val="24"/>
          <w:szCs w:val="24"/>
          <w:lang w:val="sq-AL" w:eastAsia="it-IT"/>
        </w:rPr>
        <w:t xml:space="preserve"> 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është një dokument i detajuar që përshkruan hapat specifikë që duhet të ndiqen për të kryer në detyrë ose proces, në mënyrë të </w:t>
      </w:r>
      <w:r w:rsidR="00B73CE8" w:rsidRPr="00540373">
        <w:rPr>
          <w:rFonts w:ascii="Garamond" w:hAnsi="Garamond"/>
          <w:color w:val="000000"/>
          <w:sz w:val="24"/>
          <w:szCs w:val="24"/>
          <w:lang w:val="sq-AL" w:eastAsia="it-IT"/>
        </w:rPr>
        <w:t>qëndrueshme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 dhe në përputhje me standardet e përcaktuara. </w:t>
      </w:r>
    </w:p>
    <w:p w14:paraId="5AA33490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it-IT"/>
        </w:rPr>
      </w:pPr>
    </w:p>
    <w:p w14:paraId="42244FC1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color w:val="000000"/>
          <w:sz w:val="24"/>
          <w:szCs w:val="24"/>
          <w:lang w:val="sq-AL" w:eastAsia="it-IT"/>
        </w:rPr>
        <w:t>Neni 4</w:t>
      </w:r>
    </w:p>
    <w:p w14:paraId="061477FB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it-IT"/>
        </w:rPr>
      </w:pPr>
      <w:r w:rsidRPr="00540373">
        <w:rPr>
          <w:rFonts w:ascii="Garamond" w:hAnsi="Garamond"/>
          <w:b/>
          <w:bCs/>
          <w:color w:val="000000"/>
          <w:sz w:val="24"/>
          <w:szCs w:val="24"/>
          <w:lang w:val="sq-AL" w:eastAsia="it-IT"/>
        </w:rPr>
        <w:t>Metodat e analizës</w:t>
      </w:r>
    </w:p>
    <w:p w14:paraId="5A4B9BFE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 w:eastAsia="it-IT"/>
        </w:rPr>
      </w:pPr>
    </w:p>
    <w:p w14:paraId="21AC47E0" w14:textId="2095C62B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1. Metodat e analizës për bimën e 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cannabis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-it për qëllime mjekësore dhe industriale, për përcaktimin e përqendrimit total të 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delta-9 tetrahidrokanabinolit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(THC), të 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kanabidiolit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(CBD) dhe </w:t>
      </w:r>
      <w:r w:rsidR="000512FD">
        <w:rPr>
          <w:rFonts w:ascii="Garamond" w:hAnsi="Garamond"/>
          <w:sz w:val="24"/>
          <w:szCs w:val="24"/>
          <w:lang w:val="sq-AL" w:eastAsia="it-IT"/>
        </w:rPr>
        <w:t xml:space="preserve">të 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 xml:space="preserve">kanabinolit </w:t>
      </w:r>
      <w:r w:rsidRPr="00540373">
        <w:rPr>
          <w:rFonts w:ascii="Garamond" w:hAnsi="Garamond"/>
          <w:color w:val="1F1F1F"/>
          <w:sz w:val="24"/>
          <w:szCs w:val="24"/>
          <w:lang w:val="sq-AL" w:eastAsia="it-IT"/>
        </w:rPr>
        <w:t>(CBN)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>, kontrollit fiziko-kimik dhe atij mikrobiologjik, duhet të jen</w:t>
      </w:r>
      <w:r w:rsidRPr="00540373">
        <w:rPr>
          <w:rFonts w:ascii="Garamond" w:hAnsi="Garamond"/>
          <w:sz w:val="24"/>
          <w:szCs w:val="24"/>
          <w:lang w:val="sq-AL" w:eastAsia="it-IT"/>
        </w:rPr>
        <w:t>ë në përputhje me farmakopenë evropiane (Eur.Phar), monografia 3028, sipas shtojcës nr.</w:t>
      </w:r>
      <w:r w:rsidR="000512FD">
        <w:rPr>
          <w:rFonts w:ascii="Garamond" w:hAnsi="Garamond"/>
          <w:sz w:val="24"/>
          <w:szCs w:val="24"/>
          <w:lang w:val="sq-AL" w:eastAsia="it-IT"/>
        </w:rPr>
        <w:t xml:space="preserve"> 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1 </w:t>
      </w:r>
      <w:r w:rsidR="000512FD" w:rsidRPr="00540373">
        <w:rPr>
          <w:rFonts w:ascii="Garamond" w:hAnsi="Garamond"/>
          <w:sz w:val="24"/>
          <w:szCs w:val="24"/>
          <w:lang w:val="sq-AL" w:eastAsia="it-IT"/>
        </w:rPr>
        <w:t>bashkëlidhur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dhe pjesë përbërëse e këtij udhëzimi, si dhe me kërkesat e vendit importues. </w:t>
      </w:r>
    </w:p>
    <w:p w14:paraId="694E25BA" w14:textId="7D76227E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sz w:val="24"/>
          <w:szCs w:val="24"/>
          <w:lang w:val="sq-AL" w:eastAsia="it-IT"/>
        </w:rPr>
        <w:t>2. Analizat e kryera</w:t>
      </w:r>
      <w:r w:rsidR="00036D1D">
        <w:rPr>
          <w:rFonts w:ascii="Garamond" w:hAnsi="Garamond"/>
          <w:sz w:val="24"/>
          <w:szCs w:val="24"/>
          <w:lang w:val="sq-AL" w:eastAsia="it-IT"/>
        </w:rPr>
        <w:t>,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sipas pikës 1 të këtij </w:t>
      </w:r>
      <w:r w:rsidR="00036D1D" w:rsidRPr="00540373">
        <w:rPr>
          <w:rFonts w:ascii="Garamond" w:hAnsi="Garamond"/>
          <w:sz w:val="24"/>
          <w:szCs w:val="24"/>
          <w:lang w:val="sq-AL" w:eastAsia="it-IT"/>
        </w:rPr>
        <w:t>neni</w:t>
      </w:r>
      <w:r w:rsidR="00036D1D">
        <w:rPr>
          <w:rFonts w:ascii="Garamond" w:hAnsi="Garamond"/>
          <w:sz w:val="24"/>
          <w:szCs w:val="24"/>
          <w:lang w:val="sq-AL" w:eastAsia="it-IT"/>
        </w:rPr>
        <w:t>,</w:t>
      </w:r>
      <w:r w:rsidR="00036D1D" w:rsidRPr="00540373">
        <w:rPr>
          <w:rFonts w:ascii="Garamond" w:hAnsi="Garamond"/>
          <w:sz w:val="24"/>
          <w:szCs w:val="24"/>
          <w:lang w:val="sq-AL" w:eastAsia="it-IT"/>
        </w:rPr>
        <w:t xml:space="preserve"> 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raportohen referuar peshës së thatë të bimës së 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cannabis-</w:t>
      </w:r>
      <w:r w:rsidRPr="00540373">
        <w:rPr>
          <w:rFonts w:ascii="Garamond" w:hAnsi="Garamond"/>
          <w:sz w:val="24"/>
          <w:szCs w:val="24"/>
          <w:lang w:val="sq-AL" w:eastAsia="it-IT"/>
        </w:rPr>
        <w:t>it</w:t>
      </w:r>
      <w:r w:rsidR="00731BA7">
        <w:rPr>
          <w:rFonts w:ascii="Garamond" w:hAnsi="Garamond"/>
          <w:sz w:val="24"/>
          <w:szCs w:val="24"/>
          <w:lang w:val="sq-AL" w:eastAsia="it-IT"/>
        </w:rPr>
        <w:t>,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për: </w:t>
      </w:r>
    </w:p>
    <w:p w14:paraId="760A4A1A" w14:textId="7C0F8B5F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sz w:val="24"/>
          <w:szCs w:val="24"/>
          <w:lang w:val="sq-AL" w:eastAsia="it-IT"/>
        </w:rPr>
        <w:t xml:space="preserve">a) </w:t>
      </w:r>
      <w:r w:rsidR="00731BA7" w:rsidRPr="00540373">
        <w:rPr>
          <w:rFonts w:ascii="Garamond" w:hAnsi="Garamond"/>
          <w:sz w:val="24"/>
          <w:szCs w:val="24"/>
          <w:lang w:val="sq-AL" w:eastAsia="it-IT"/>
        </w:rPr>
        <w:t xml:space="preserve">përqendrimin 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total të delta-9 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tetrahidrokanabinolit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(THC) dhe acidit delta-9 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tetrahidrokanabinolik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(THCA);</w:t>
      </w:r>
    </w:p>
    <w:p w14:paraId="03C9B91E" w14:textId="51006D9C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sz w:val="24"/>
          <w:szCs w:val="24"/>
          <w:lang w:val="sq-AL" w:eastAsia="it-IT"/>
        </w:rPr>
        <w:t xml:space="preserve">b) </w:t>
      </w:r>
      <w:r w:rsidR="00731BA7" w:rsidRPr="00540373">
        <w:rPr>
          <w:rFonts w:ascii="Garamond" w:hAnsi="Garamond"/>
          <w:sz w:val="24"/>
          <w:szCs w:val="24"/>
          <w:lang w:val="sq-AL" w:eastAsia="it-IT"/>
        </w:rPr>
        <w:t>përq</w:t>
      </w:r>
      <w:r w:rsidR="00731BA7">
        <w:rPr>
          <w:rFonts w:ascii="Garamond" w:hAnsi="Garamond"/>
          <w:sz w:val="24"/>
          <w:szCs w:val="24"/>
          <w:lang w:val="sq-AL" w:eastAsia="it-IT"/>
        </w:rPr>
        <w:t>e</w:t>
      </w:r>
      <w:r w:rsidR="00731BA7" w:rsidRPr="00540373">
        <w:rPr>
          <w:rFonts w:ascii="Garamond" w:hAnsi="Garamond"/>
          <w:sz w:val="24"/>
          <w:szCs w:val="24"/>
          <w:lang w:val="sq-AL" w:eastAsia="it-IT"/>
        </w:rPr>
        <w:t xml:space="preserve">ndrimin </w:t>
      </w:r>
      <w:r w:rsidRPr="00540373">
        <w:rPr>
          <w:rFonts w:ascii="Garamond" w:hAnsi="Garamond"/>
          <w:sz w:val="24"/>
          <w:szCs w:val="24"/>
          <w:lang w:val="sq-AL" w:eastAsia="it-IT"/>
        </w:rPr>
        <w:t>total të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 xml:space="preserve"> kanabidiolit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(CBD) dhe </w:t>
      </w:r>
      <w:r w:rsidR="00731BA7">
        <w:rPr>
          <w:rFonts w:ascii="Garamond" w:hAnsi="Garamond"/>
          <w:sz w:val="24"/>
          <w:szCs w:val="24"/>
          <w:lang w:val="sq-AL" w:eastAsia="it-IT"/>
        </w:rPr>
        <w:t xml:space="preserve">të </w:t>
      </w:r>
      <w:r w:rsidRPr="00540373">
        <w:rPr>
          <w:rFonts w:ascii="Garamond" w:hAnsi="Garamond"/>
          <w:sz w:val="24"/>
          <w:szCs w:val="24"/>
          <w:lang w:val="sq-AL" w:eastAsia="it-IT"/>
        </w:rPr>
        <w:t>acidit kanabindiolik (CBDA);</w:t>
      </w:r>
    </w:p>
    <w:p w14:paraId="6CCF5623" w14:textId="78D1E0F2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sz w:val="24"/>
          <w:szCs w:val="24"/>
          <w:lang w:val="sq-AL" w:eastAsia="it-IT"/>
        </w:rPr>
        <w:t xml:space="preserve">c) </w:t>
      </w:r>
      <w:r w:rsidR="00731BA7" w:rsidRPr="00540373">
        <w:rPr>
          <w:rFonts w:ascii="Garamond" w:hAnsi="Garamond"/>
          <w:sz w:val="24"/>
          <w:szCs w:val="24"/>
          <w:lang w:val="sq-AL" w:eastAsia="it-IT"/>
        </w:rPr>
        <w:t>përq</w:t>
      </w:r>
      <w:r w:rsidR="00731BA7">
        <w:rPr>
          <w:rFonts w:ascii="Garamond" w:hAnsi="Garamond"/>
          <w:sz w:val="24"/>
          <w:szCs w:val="24"/>
          <w:lang w:val="sq-AL" w:eastAsia="it-IT"/>
        </w:rPr>
        <w:t>e</w:t>
      </w:r>
      <w:r w:rsidR="00731BA7" w:rsidRPr="00540373">
        <w:rPr>
          <w:rFonts w:ascii="Garamond" w:hAnsi="Garamond"/>
          <w:sz w:val="24"/>
          <w:szCs w:val="24"/>
          <w:lang w:val="sq-AL" w:eastAsia="it-IT"/>
        </w:rPr>
        <w:t xml:space="preserve">ndrimin 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total të 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 xml:space="preserve">kanabinolit </w:t>
      </w:r>
      <w:r w:rsidRPr="00540373">
        <w:rPr>
          <w:rFonts w:ascii="Garamond" w:hAnsi="Garamond"/>
          <w:sz w:val="24"/>
          <w:szCs w:val="24"/>
          <w:lang w:val="sq-AL" w:eastAsia="it-IT"/>
        </w:rPr>
        <w:t>(CBN);</w:t>
      </w:r>
    </w:p>
    <w:p w14:paraId="69287D4A" w14:textId="1879CDBF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sz w:val="24"/>
          <w:szCs w:val="24"/>
          <w:lang w:val="sq-AL" w:eastAsia="it-IT"/>
        </w:rPr>
        <w:lastRenderedPageBreak/>
        <w:t xml:space="preserve">d) </w:t>
      </w:r>
      <w:r w:rsidR="00731BA7" w:rsidRPr="00540373">
        <w:rPr>
          <w:rFonts w:ascii="Garamond" w:hAnsi="Garamond"/>
          <w:sz w:val="24"/>
          <w:szCs w:val="24"/>
          <w:lang w:val="sq-AL" w:eastAsia="it-IT"/>
        </w:rPr>
        <w:t xml:space="preserve">kontrollin </w:t>
      </w:r>
      <w:r w:rsidRPr="00540373">
        <w:rPr>
          <w:rFonts w:ascii="Garamond" w:hAnsi="Garamond"/>
          <w:sz w:val="24"/>
          <w:szCs w:val="24"/>
          <w:lang w:val="sq-AL" w:eastAsia="it-IT"/>
        </w:rPr>
        <w:t>fiziko-kimik</w:t>
      </w:r>
      <w:r w:rsidR="00731BA7">
        <w:rPr>
          <w:rFonts w:ascii="Garamond" w:hAnsi="Garamond"/>
          <w:sz w:val="24"/>
          <w:szCs w:val="24"/>
          <w:lang w:val="sq-AL" w:eastAsia="it-IT"/>
        </w:rPr>
        <w:t>,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ku përfshihet identifikimi makroskopik, mikroskopik dhe identifikimi me kromatografi me shtresë të hollë</w:t>
      </w:r>
      <w:r w:rsidR="00540373" w:rsidRPr="00540373">
        <w:rPr>
          <w:rFonts w:ascii="Garamond" w:hAnsi="Garamond"/>
          <w:sz w:val="24"/>
          <w:szCs w:val="24"/>
          <w:lang w:val="sq-AL" w:eastAsia="it-IT"/>
        </w:rPr>
        <w:t xml:space="preserve"> </w:t>
      </w:r>
      <w:r w:rsidRPr="00540373">
        <w:rPr>
          <w:rFonts w:ascii="Garamond" w:hAnsi="Garamond"/>
          <w:sz w:val="24"/>
          <w:szCs w:val="24"/>
          <w:lang w:val="sq-AL" w:eastAsia="it-IT"/>
        </w:rPr>
        <w:t>me performancë të lartë (HPTLC);</w:t>
      </w:r>
    </w:p>
    <w:p w14:paraId="515B7465" w14:textId="02EB7920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sz w:val="24"/>
          <w:szCs w:val="24"/>
          <w:lang w:val="sq-AL" w:eastAsia="it-IT"/>
        </w:rPr>
        <w:t xml:space="preserve">e) </w:t>
      </w:r>
      <w:r w:rsidR="00731BA7" w:rsidRPr="00540373">
        <w:rPr>
          <w:rFonts w:ascii="Garamond" w:hAnsi="Garamond"/>
          <w:sz w:val="24"/>
          <w:szCs w:val="24"/>
          <w:lang w:val="sq-AL" w:eastAsia="it-IT"/>
        </w:rPr>
        <w:t xml:space="preserve">kontrollin </w:t>
      </w:r>
      <w:r w:rsidRPr="00540373">
        <w:rPr>
          <w:rFonts w:ascii="Garamond" w:hAnsi="Garamond"/>
          <w:sz w:val="24"/>
          <w:szCs w:val="24"/>
          <w:lang w:val="sq-AL" w:eastAsia="it-IT"/>
        </w:rPr>
        <w:t>mikrobiologjik;</w:t>
      </w:r>
    </w:p>
    <w:p w14:paraId="3C8D31D7" w14:textId="17063D3D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sz w:val="24"/>
          <w:szCs w:val="24"/>
          <w:lang w:val="sq-AL" w:eastAsia="it-IT"/>
        </w:rPr>
        <w:t xml:space="preserve">f) </w:t>
      </w:r>
      <w:r w:rsidR="00731BA7" w:rsidRPr="00540373">
        <w:rPr>
          <w:rFonts w:ascii="Garamond" w:hAnsi="Garamond"/>
          <w:sz w:val="24"/>
          <w:szCs w:val="24"/>
          <w:lang w:val="sq-AL" w:eastAsia="it-IT"/>
        </w:rPr>
        <w:t xml:space="preserve">kontrollin </w:t>
      </w:r>
      <w:r w:rsidRPr="00540373">
        <w:rPr>
          <w:rFonts w:ascii="Garamond" w:hAnsi="Garamond"/>
          <w:sz w:val="24"/>
          <w:szCs w:val="24"/>
          <w:lang w:val="sq-AL" w:eastAsia="it-IT"/>
        </w:rPr>
        <w:t>cilësor dhe sasior për praninë e pesticideve;</w:t>
      </w:r>
    </w:p>
    <w:p w14:paraId="0FBDD535" w14:textId="31327C26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sz w:val="24"/>
          <w:szCs w:val="24"/>
          <w:lang w:val="sq-AL" w:eastAsia="it-IT"/>
        </w:rPr>
        <w:t xml:space="preserve">g) </w:t>
      </w:r>
      <w:r w:rsidR="00731BA7" w:rsidRPr="00540373">
        <w:rPr>
          <w:rFonts w:ascii="Garamond" w:hAnsi="Garamond"/>
          <w:sz w:val="24"/>
          <w:szCs w:val="24"/>
          <w:lang w:val="sq-AL" w:eastAsia="it-IT"/>
        </w:rPr>
        <w:t xml:space="preserve">kontrollin 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për nivelin e metaleve të rënda: arsenik, </w:t>
      </w:r>
      <w:r w:rsidR="00731BA7" w:rsidRPr="00540373">
        <w:rPr>
          <w:rFonts w:ascii="Garamond" w:hAnsi="Garamond"/>
          <w:sz w:val="24"/>
          <w:szCs w:val="24"/>
          <w:lang w:val="sq-AL" w:eastAsia="it-IT"/>
        </w:rPr>
        <w:t>merkur</w:t>
      </w:r>
      <w:r w:rsidRPr="00540373">
        <w:rPr>
          <w:rFonts w:ascii="Garamond" w:hAnsi="Garamond"/>
          <w:sz w:val="24"/>
          <w:szCs w:val="24"/>
          <w:lang w:val="sq-AL" w:eastAsia="it-IT"/>
        </w:rPr>
        <w:t>, plumb dhe kadmium;</w:t>
      </w:r>
    </w:p>
    <w:p w14:paraId="00A90C67" w14:textId="69ADD104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sz w:val="24"/>
          <w:szCs w:val="24"/>
          <w:lang w:val="sq-AL" w:eastAsia="it-IT"/>
        </w:rPr>
        <w:t xml:space="preserve">h) </w:t>
      </w:r>
      <w:r w:rsidR="00731BA7" w:rsidRPr="00540373">
        <w:rPr>
          <w:rFonts w:ascii="Garamond" w:hAnsi="Garamond"/>
          <w:sz w:val="24"/>
          <w:szCs w:val="24"/>
          <w:lang w:val="sq-AL" w:eastAsia="it-IT"/>
        </w:rPr>
        <w:t xml:space="preserve">kontrollin </w:t>
      </w:r>
      <w:r w:rsidRPr="00540373">
        <w:rPr>
          <w:rFonts w:ascii="Garamond" w:hAnsi="Garamond"/>
          <w:sz w:val="24"/>
          <w:szCs w:val="24"/>
          <w:lang w:val="sq-AL" w:eastAsia="it-IT"/>
        </w:rPr>
        <w:t>për praninë e mykotoksinave;</w:t>
      </w:r>
    </w:p>
    <w:p w14:paraId="704D7D18" w14:textId="48CBFD32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sz w:val="24"/>
          <w:szCs w:val="24"/>
          <w:lang w:val="sq-AL" w:eastAsia="it-IT"/>
        </w:rPr>
        <w:t xml:space="preserve">i) </w:t>
      </w:r>
      <w:r w:rsidR="00731BA7" w:rsidRPr="00540373">
        <w:rPr>
          <w:rFonts w:ascii="Garamond" w:hAnsi="Garamond"/>
          <w:sz w:val="24"/>
          <w:szCs w:val="24"/>
          <w:lang w:val="sq-AL" w:eastAsia="it-IT"/>
        </w:rPr>
        <w:t xml:space="preserve">analiza 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të tjera të parashikuara në monografitë specifike të farmakopesë evropiane. </w:t>
      </w:r>
    </w:p>
    <w:p w14:paraId="67C4EBF7" w14:textId="1B62EA3D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sz w:val="24"/>
          <w:szCs w:val="24"/>
          <w:lang w:val="sq-AL" w:eastAsia="it-IT"/>
        </w:rPr>
        <w:t>3. Rezultatet e analizave dhe pasiguria në matje (e shprehur si vlerë e matur ± pasigurinë në matje) pasqyrohen në certifikatën e analizës ku shprehen kufijtë e sigurisë së matjeve të kryera. Vlera finale e çdo analize konsiderohet vlera e matur</w:t>
      </w:r>
      <w:r w:rsidR="00731BA7">
        <w:rPr>
          <w:rFonts w:ascii="Garamond" w:hAnsi="Garamond"/>
          <w:sz w:val="24"/>
          <w:szCs w:val="24"/>
          <w:lang w:val="sq-AL" w:eastAsia="it-IT"/>
        </w:rPr>
        <w:t>,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duke i shtuar pasigurinë në matje</w:t>
      </w:r>
      <w:r w:rsidR="00731BA7">
        <w:rPr>
          <w:rFonts w:ascii="Garamond" w:hAnsi="Garamond"/>
          <w:sz w:val="24"/>
          <w:szCs w:val="24"/>
          <w:lang w:val="sq-AL" w:eastAsia="it-IT"/>
        </w:rPr>
        <w:t>,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në përputhje me metodikën e certifikuar. </w:t>
      </w:r>
    </w:p>
    <w:p w14:paraId="089D5DD7" w14:textId="3CC0D9A3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sz w:val="24"/>
          <w:szCs w:val="24"/>
          <w:lang w:val="sq-AL" w:eastAsia="it-IT"/>
        </w:rPr>
        <w:t xml:space="preserve">4. Për 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cannabis</w:t>
      </w:r>
      <w:r w:rsidRPr="00540373">
        <w:rPr>
          <w:rFonts w:ascii="Garamond" w:hAnsi="Garamond"/>
          <w:sz w:val="24"/>
          <w:szCs w:val="24"/>
          <w:lang w:val="sq-AL" w:eastAsia="it-IT"/>
        </w:rPr>
        <w:t>-in industrial, nëse rezultati final i analizimit të mostrës përfaqësuese</w:t>
      </w:r>
      <w:r w:rsidRPr="00540373">
        <w:rPr>
          <w:rFonts w:ascii="Garamond" w:hAnsi="Garamond" w:cs="Calibri"/>
          <w:color w:val="000000"/>
          <w:sz w:val="24"/>
          <w:szCs w:val="24"/>
          <w:lang w:val="sq-AL" w:eastAsia="it-IT"/>
        </w:rPr>
        <w:t xml:space="preserve"> 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për vlerën e THC-së </w:t>
      </w:r>
      <w:r w:rsidRPr="00540373">
        <w:rPr>
          <w:rFonts w:ascii="Garamond" w:hAnsi="Garamond"/>
          <w:sz w:val="24"/>
          <w:szCs w:val="24"/>
          <w:lang w:val="sq-AL" w:eastAsia="it-IT"/>
        </w:rPr>
        <w:t>është më i lartë se 0,8% e përq</w:t>
      </w:r>
      <w:r w:rsidR="00BA0D61">
        <w:rPr>
          <w:rFonts w:ascii="Garamond" w:hAnsi="Garamond"/>
          <w:sz w:val="24"/>
          <w:szCs w:val="24"/>
          <w:lang w:val="sq-AL" w:eastAsia="it-IT"/>
        </w:rPr>
        <w:t>e</w:t>
      </w:r>
      <w:r w:rsidRPr="00540373">
        <w:rPr>
          <w:rFonts w:ascii="Garamond" w:hAnsi="Garamond"/>
          <w:sz w:val="24"/>
          <w:szCs w:val="24"/>
          <w:lang w:val="sq-AL" w:eastAsia="it-IT"/>
        </w:rPr>
        <w:t>ndrimit total të THC-së, i gjithë loti që kjo mostër përfaqëson i nënshtrohet asgjësimit</w:t>
      </w:r>
      <w:r w:rsidR="00731BA7">
        <w:rPr>
          <w:rFonts w:ascii="Garamond" w:hAnsi="Garamond"/>
          <w:sz w:val="24"/>
          <w:szCs w:val="24"/>
          <w:lang w:val="sq-AL" w:eastAsia="it-IT"/>
        </w:rPr>
        <w:t>,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sipas parashikimeve të ligjit nr. 61/2023. </w:t>
      </w:r>
    </w:p>
    <w:p w14:paraId="1825C54B" w14:textId="34A6B17D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sz w:val="24"/>
          <w:szCs w:val="24"/>
          <w:lang w:val="sq-AL" w:eastAsia="it-IT"/>
        </w:rPr>
        <w:t xml:space="preserve">5. Mostra e bimës së 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cannabis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-it industrial, e cila është e dokumentuar për qëllim konsumi në njerëz, kafshë, apo kozmetikë, </w:t>
      </w:r>
      <w:r w:rsidR="00731BA7">
        <w:rPr>
          <w:rFonts w:ascii="Garamond" w:hAnsi="Garamond"/>
          <w:sz w:val="24"/>
          <w:szCs w:val="24"/>
          <w:lang w:val="sq-AL" w:eastAsia="it-IT"/>
        </w:rPr>
        <w:t xml:space="preserve">u </w:t>
      </w:r>
      <w:r w:rsidRPr="00540373">
        <w:rPr>
          <w:rFonts w:ascii="Garamond" w:hAnsi="Garamond"/>
          <w:sz w:val="24"/>
          <w:szCs w:val="24"/>
          <w:lang w:val="sq-AL" w:eastAsia="it-IT"/>
        </w:rPr>
        <w:t>nënshtrohet të gjitha testeve të cituara në pikën 2 të këtij neni, duke marrë si referencë vlerat e lejuara sipas legjislacionit të vendit importues, specifikisht për konsumin në njerëz, kafshë apo për qëllime kozmetike</w:t>
      </w:r>
      <w:r w:rsidR="00660C69">
        <w:rPr>
          <w:rFonts w:ascii="Garamond" w:hAnsi="Garamond"/>
          <w:sz w:val="24"/>
          <w:szCs w:val="24"/>
          <w:lang w:val="sq-AL" w:eastAsia="it-IT"/>
        </w:rPr>
        <w:t>.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</w:t>
      </w:r>
    </w:p>
    <w:p w14:paraId="7C0E8CF5" w14:textId="798A2BCA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sz w:val="24"/>
          <w:szCs w:val="24"/>
          <w:lang w:val="sq-AL" w:eastAsia="it-IT"/>
        </w:rPr>
        <w:t xml:space="preserve">6. Mostra e bimës së 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cannabis</w:t>
      </w:r>
      <w:r w:rsidRPr="00540373">
        <w:rPr>
          <w:rFonts w:ascii="Garamond" w:hAnsi="Garamond"/>
          <w:sz w:val="24"/>
          <w:szCs w:val="24"/>
          <w:lang w:val="sq-AL" w:eastAsia="it-IT"/>
        </w:rPr>
        <w:t>-it industrial, që</w:t>
      </w:r>
      <w:r w:rsidRPr="00540373">
        <w:rPr>
          <w:rFonts w:ascii="Garamond" w:hAnsi="Garamond" w:cs="Calibri"/>
          <w:color w:val="000000"/>
          <w:sz w:val="24"/>
          <w:szCs w:val="24"/>
          <w:lang w:val="sq-AL" w:eastAsia="it-IT"/>
        </w:rPr>
        <w:t xml:space="preserve"> 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>përdoret për sektorët</w:t>
      </w:r>
      <w:r w:rsidR="009F38C1">
        <w:rPr>
          <w:rFonts w:ascii="Garamond" w:hAnsi="Garamond"/>
          <w:color w:val="000000"/>
          <w:sz w:val="24"/>
          <w:szCs w:val="24"/>
          <w:lang w:val="sq-AL" w:eastAsia="it-IT"/>
        </w:rPr>
        <w:t>,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 sipas përcaktimeve në pikën 9 të nenit 3, të ligjit nr. 61/2023, përveç atyre që përfshihen në kategoritë e pikës 5 të këtij neni, </w:t>
      </w:r>
      <w:r w:rsidR="009F38C1">
        <w:rPr>
          <w:rFonts w:ascii="Garamond" w:hAnsi="Garamond"/>
          <w:color w:val="000000"/>
          <w:sz w:val="24"/>
          <w:szCs w:val="24"/>
          <w:lang w:val="sq-AL" w:eastAsia="it-IT"/>
        </w:rPr>
        <w:t>u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 nënshtrohet vetëm analizave në g</w:t>
      </w:r>
      <w:r w:rsidR="003854E0">
        <w:rPr>
          <w:rFonts w:ascii="Garamond" w:hAnsi="Garamond"/>
          <w:color w:val="000000"/>
          <w:sz w:val="24"/>
          <w:szCs w:val="24"/>
          <w:lang w:val="sq-AL" w:eastAsia="it-IT"/>
        </w:rPr>
        <w:t>e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>rmat “a”, “b”, “c”, “d” sipas pikës 2 të këtij neni.</w:t>
      </w:r>
    </w:p>
    <w:p w14:paraId="5542947B" w14:textId="269E47EC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sz w:val="24"/>
          <w:szCs w:val="24"/>
          <w:lang w:val="sq-AL" w:eastAsia="it-IT"/>
        </w:rPr>
        <w:t xml:space="preserve">7. Mbetja e bimës së 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cannabis</w:t>
      </w:r>
      <w:r w:rsidRPr="00540373">
        <w:rPr>
          <w:rFonts w:ascii="Garamond" w:hAnsi="Garamond"/>
          <w:sz w:val="24"/>
          <w:szCs w:val="24"/>
          <w:lang w:val="sq-AL" w:eastAsia="it-IT"/>
        </w:rPr>
        <w:t>-it, pas kontrollit të cilësisë, asgjësohet nga laboratori sipas procedurave përkatëse, sipas tipologjisë së mostrës, duke përdorur metodën e djegies mbi 800 gradë ose të asgjësimit me metoda kimike</w:t>
      </w:r>
      <w:r w:rsidR="00863E71">
        <w:rPr>
          <w:rFonts w:ascii="Garamond" w:hAnsi="Garamond"/>
          <w:sz w:val="24"/>
          <w:szCs w:val="24"/>
          <w:lang w:val="sq-AL" w:eastAsia="it-IT"/>
        </w:rPr>
        <w:t>,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në përputhje me përshkrimin përkatës në </w:t>
      </w:r>
      <w:r w:rsidR="00863E71" w:rsidRPr="00540373">
        <w:rPr>
          <w:rFonts w:ascii="Garamond" w:hAnsi="Garamond"/>
          <w:sz w:val="24"/>
          <w:szCs w:val="24"/>
          <w:lang w:val="sq-AL" w:eastAsia="it-IT"/>
        </w:rPr>
        <w:t xml:space="preserve">udhëzimin 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“Për mënyrën e hollësishme të asgjësimit të bimëve të 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cannabis</w:t>
      </w:r>
      <w:r w:rsidRPr="00540373">
        <w:rPr>
          <w:rFonts w:ascii="Garamond" w:hAnsi="Garamond"/>
          <w:sz w:val="24"/>
          <w:szCs w:val="24"/>
          <w:lang w:val="sq-AL" w:eastAsia="it-IT"/>
        </w:rPr>
        <w:t>-it”.</w:t>
      </w:r>
    </w:p>
    <w:p w14:paraId="764707B9" w14:textId="585E428C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8. Procedura e asgjësimit të mbetjeve të bimës së </w:t>
      </w:r>
      <w:r w:rsidRPr="00540373">
        <w:rPr>
          <w:rFonts w:ascii="Garamond" w:hAnsi="Garamond"/>
          <w:i/>
          <w:iCs/>
          <w:color w:val="000000"/>
          <w:sz w:val="24"/>
          <w:szCs w:val="24"/>
          <w:lang w:val="sq-AL" w:eastAsia="it-IT"/>
        </w:rPr>
        <w:t>cannabis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>-it nga mostra e kontrollit të cilësisë kryhet si vijon:</w:t>
      </w:r>
    </w:p>
    <w:p w14:paraId="1E004AA1" w14:textId="7E627D73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- Laboratori njofton me shkrim </w:t>
      </w:r>
      <w:r w:rsidR="00F14A90" w:rsidRPr="00E16418">
        <w:rPr>
          <w:rFonts w:ascii="Garamond" w:hAnsi="Garamond"/>
          <w:color w:val="000000"/>
          <w:sz w:val="24"/>
          <w:szCs w:val="24"/>
          <w:lang w:val="sq-AL" w:eastAsia="it-IT"/>
        </w:rPr>
        <w:t>Agjencinë</w:t>
      </w:r>
      <w:r w:rsidR="00F14A90"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 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>brenda 3 ditë</w:t>
      </w:r>
      <w:r w:rsidR="00863E71">
        <w:rPr>
          <w:rFonts w:ascii="Garamond" w:hAnsi="Garamond"/>
          <w:color w:val="000000"/>
          <w:sz w:val="24"/>
          <w:szCs w:val="24"/>
          <w:lang w:val="sq-AL" w:eastAsia="it-IT"/>
        </w:rPr>
        <w:t>ve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 pune, lidhur me llojin, sasinë, përmbajtjen e THC-së</w:t>
      </w:r>
      <w:r w:rsidR="00C469D9">
        <w:rPr>
          <w:rFonts w:ascii="Garamond" w:hAnsi="Garamond"/>
          <w:color w:val="000000"/>
          <w:sz w:val="24"/>
          <w:szCs w:val="24"/>
          <w:lang w:val="sq-AL" w:eastAsia="it-IT"/>
        </w:rPr>
        <w:t>,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 sipas certifikatës së analizës së lotit të cilit i përket materiali i mbetur i mostrës, metodën për asgjësim që parashikon të kryejë sipas parashikimeve në këtë </w:t>
      </w:r>
      <w:r w:rsidR="00C469D9" w:rsidRPr="00540373">
        <w:rPr>
          <w:rFonts w:ascii="Garamond" w:hAnsi="Garamond"/>
          <w:color w:val="000000"/>
          <w:sz w:val="24"/>
          <w:szCs w:val="24"/>
          <w:lang w:val="sq-AL" w:eastAsia="it-IT"/>
        </w:rPr>
        <w:t>udhëzim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, datën e parashikuar për asgjësim, në përputhje me </w:t>
      </w:r>
      <w:r w:rsidR="00C469D9"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shtojcën 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nr. 3 bashkëlidhur dhe pjesë përbërëse e këtij </w:t>
      </w:r>
      <w:r w:rsidR="00C469D9" w:rsidRPr="00540373">
        <w:rPr>
          <w:rFonts w:ascii="Garamond" w:hAnsi="Garamond"/>
          <w:color w:val="000000"/>
          <w:sz w:val="24"/>
          <w:szCs w:val="24"/>
          <w:lang w:val="sq-AL" w:eastAsia="it-IT"/>
        </w:rPr>
        <w:t>udhëzimi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>, si dhe të dhënat identifikuese të laboratorit;</w:t>
      </w:r>
    </w:p>
    <w:p w14:paraId="0C3BD73C" w14:textId="1DAF8A5A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>- Agjencia</w:t>
      </w:r>
      <w:r w:rsidR="00C469D9">
        <w:rPr>
          <w:rFonts w:ascii="Garamond" w:hAnsi="Garamond"/>
          <w:color w:val="000000"/>
          <w:sz w:val="24"/>
          <w:szCs w:val="24"/>
          <w:lang w:val="sq-AL" w:eastAsia="it-IT"/>
        </w:rPr>
        <w:t>,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 brenda 5 (pesë) ditë</w:t>
      </w:r>
      <w:r w:rsidR="00C469D9">
        <w:rPr>
          <w:rFonts w:ascii="Garamond" w:hAnsi="Garamond"/>
          <w:color w:val="000000"/>
          <w:sz w:val="24"/>
          <w:szCs w:val="24"/>
          <w:lang w:val="sq-AL" w:eastAsia="it-IT"/>
        </w:rPr>
        <w:t>ve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 pune nga marrja e njoftimit nga laboratori, shqyrton njoftimin dhe konfirmon datën e asgjësimit në prezencë të punonjësit të autorizuar të Agjencisë.</w:t>
      </w:r>
    </w:p>
    <w:p w14:paraId="6EBCDCFB" w14:textId="3BE10F9E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sz w:val="24"/>
          <w:szCs w:val="24"/>
          <w:lang w:val="sq-AL" w:eastAsia="it-IT"/>
        </w:rPr>
        <w:t xml:space="preserve">9. Subjekti mund të kryejë analiza për qëllime vetëkontrolli në </w:t>
      </w:r>
      <w:r w:rsidR="003854E0" w:rsidRPr="00540373">
        <w:rPr>
          <w:rFonts w:ascii="Garamond" w:hAnsi="Garamond"/>
          <w:sz w:val="24"/>
          <w:szCs w:val="24"/>
          <w:lang w:val="sq-AL" w:eastAsia="it-IT"/>
        </w:rPr>
        <w:t>laboratorë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të miratuar. </w:t>
      </w:r>
    </w:p>
    <w:p w14:paraId="5E766E43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it-IT"/>
        </w:rPr>
      </w:pPr>
    </w:p>
    <w:p w14:paraId="0070DB88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color w:val="000000"/>
          <w:sz w:val="24"/>
          <w:szCs w:val="24"/>
          <w:lang w:val="sq-AL" w:eastAsia="it-IT"/>
        </w:rPr>
        <w:t>Neni 5</w:t>
      </w:r>
    </w:p>
    <w:p w14:paraId="04A2A60F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it-IT"/>
        </w:rPr>
      </w:pPr>
      <w:r w:rsidRPr="00540373">
        <w:rPr>
          <w:rFonts w:ascii="Garamond" w:hAnsi="Garamond"/>
          <w:b/>
          <w:bCs/>
          <w:color w:val="000000"/>
          <w:sz w:val="24"/>
          <w:szCs w:val="24"/>
          <w:lang w:val="sq-AL" w:eastAsia="it-IT"/>
        </w:rPr>
        <w:t>Certifikata e analizës</w:t>
      </w:r>
    </w:p>
    <w:p w14:paraId="6EC94306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it-IT"/>
        </w:rPr>
      </w:pPr>
    </w:p>
    <w:p w14:paraId="3A1D1DA5" w14:textId="4FBA1201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>1. Laboratori fillon kryerjen e analizave brenda 3 (tr</w:t>
      </w:r>
      <w:r w:rsidR="001673B3">
        <w:rPr>
          <w:rFonts w:ascii="Garamond" w:hAnsi="Garamond"/>
          <w:color w:val="000000"/>
          <w:sz w:val="24"/>
          <w:szCs w:val="24"/>
          <w:lang w:val="sq-AL" w:eastAsia="it-IT"/>
        </w:rPr>
        <w:t>i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>) ditëve pune pas marrjes në dorëzim të mostrës, si dhe brenda 2 (dy) ditëve pune pas përfundimit të tyre laboratori lëshon certifikatën e analizës</w:t>
      </w:r>
      <w:r w:rsidR="001673B3">
        <w:rPr>
          <w:rFonts w:ascii="Garamond" w:hAnsi="Garamond"/>
          <w:color w:val="000000"/>
          <w:sz w:val="24"/>
          <w:szCs w:val="24"/>
          <w:lang w:val="sq-AL" w:eastAsia="it-IT"/>
        </w:rPr>
        <w:t>,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 në përputhje me procedurën specifike të ruajtjes së anonimatit.</w:t>
      </w:r>
    </w:p>
    <w:p w14:paraId="0A072314" w14:textId="088D4A1C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sz w:val="24"/>
          <w:szCs w:val="24"/>
          <w:lang w:val="sq-AL" w:eastAsia="it-IT"/>
        </w:rPr>
        <w:t>2. Certifikata e analizës hartohet në tr</w:t>
      </w:r>
      <w:r w:rsidR="001673B3">
        <w:rPr>
          <w:rFonts w:ascii="Garamond" w:hAnsi="Garamond"/>
          <w:sz w:val="24"/>
          <w:szCs w:val="24"/>
          <w:lang w:val="sq-AL" w:eastAsia="it-IT"/>
        </w:rPr>
        <w:t>i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kopje, dy prej të cilave, laboratori ia dorëzon zyrtarisht me shkrim Agjencisë, ndërsa një kopje e mban vetë për një periudhë të njëjtë me atë të akreditimit të laboratorit dhe në çdo rast</w:t>
      </w:r>
      <w:r w:rsidR="001673B3">
        <w:rPr>
          <w:rFonts w:ascii="Garamond" w:hAnsi="Garamond"/>
          <w:sz w:val="24"/>
          <w:szCs w:val="24"/>
          <w:lang w:val="sq-AL" w:eastAsia="it-IT"/>
        </w:rPr>
        <w:t>,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jo më pak se 3 v</w:t>
      </w:r>
      <w:r w:rsidR="001673B3">
        <w:rPr>
          <w:rFonts w:ascii="Garamond" w:hAnsi="Garamond"/>
          <w:sz w:val="24"/>
          <w:szCs w:val="24"/>
          <w:lang w:val="sq-AL" w:eastAsia="it-IT"/>
        </w:rPr>
        <w:t>jet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nga data e lëshimit të </w:t>
      </w:r>
      <w:r w:rsidR="00AC5B2B" w:rsidRPr="00540373">
        <w:rPr>
          <w:rFonts w:ascii="Garamond" w:hAnsi="Garamond"/>
          <w:sz w:val="24"/>
          <w:szCs w:val="24"/>
          <w:lang w:val="sq-AL" w:eastAsia="it-IT"/>
        </w:rPr>
        <w:t>certifikatës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së analizës, duke e vënë në dispozicion të çdo inspektimi.</w:t>
      </w:r>
    </w:p>
    <w:p w14:paraId="4ED96B77" w14:textId="12CD424E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sz w:val="24"/>
          <w:szCs w:val="24"/>
          <w:lang w:val="sq-AL" w:eastAsia="it-IT"/>
        </w:rPr>
        <w:lastRenderedPageBreak/>
        <w:t>3. Agjencia, brenda dy ditëve pune nga marrja e certifikatës së analizës nga laboratori i miratuar, kryen çkodimin e mostrës së dërguar për analizë dhe i përcjell zyrtarisht subjektit përkatës certifikatën e analizës</w:t>
      </w:r>
      <w:r w:rsidR="00AD10C0">
        <w:rPr>
          <w:rFonts w:ascii="Garamond" w:hAnsi="Garamond"/>
          <w:sz w:val="24"/>
          <w:szCs w:val="24"/>
          <w:lang w:val="sq-AL" w:eastAsia="it-IT"/>
        </w:rPr>
        <w:t>.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Agjencia</w:t>
      </w:r>
      <w:r w:rsidR="00AD10C0">
        <w:rPr>
          <w:rFonts w:ascii="Garamond" w:hAnsi="Garamond"/>
          <w:sz w:val="24"/>
          <w:szCs w:val="24"/>
          <w:lang w:val="sq-AL" w:eastAsia="it-IT"/>
        </w:rPr>
        <w:t xml:space="preserve"> 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pasqyron rezultatet e analizës në </w:t>
      </w:r>
      <w:r w:rsidR="00AD10C0" w:rsidRPr="00540373">
        <w:rPr>
          <w:rFonts w:ascii="Garamond" w:hAnsi="Garamond"/>
          <w:sz w:val="24"/>
          <w:szCs w:val="24"/>
          <w:lang w:val="sq-AL" w:eastAsia="it-IT"/>
        </w:rPr>
        <w:t>regjistër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. </w:t>
      </w:r>
    </w:p>
    <w:p w14:paraId="44AF5C8A" w14:textId="1B11CAFB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sz w:val="24"/>
          <w:szCs w:val="24"/>
          <w:lang w:val="sq-AL" w:eastAsia="it-IT"/>
        </w:rPr>
        <w:t>4. Subjekti duhet të ruajë certifikatat e analizës në mënyrë të sigurt dhe të organizuar, duke përdorur sisteme elektronike dhe/ose fizike të menaxhimit të regjistrimeve, që lehtësojnë gjurmimin.</w:t>
      </w:r>
    </w:p>
    <w:p w14:paraId="78926E4C" w14:textId="739062B9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sz w:val="24"/>
          <w:szCs w:val="24"/>
          <w:lang w:val="sq-AL" w:eastAsia="it-IT"/>
        </w:rPr>
        <w:t>5. Certifikata e analizës duhet të përmbajë element</w:t>
      </w:r>
      <w:r w:rsidR="008E44F4">
        <w:rPr>
          <w:rFonts w:ascii="Garamond" w:hAnsi="Garamond"/>
          <w:sz w:val="24"/>
          <w:szCs w:val="24"/>
          <w:lang w:val="sq-AL" w:eastAsia="it-IT"/>
        </w:rPr>
        <w:t>e</w:t>
      </w:r>
      <w:r w:rsidRPr="00540373">
        <w:rPr>
          <w:rFonts w:ascii="Garamond" w:hAnsi="Garamond"/>
          <w:sz w:val="24"/>
          <w:szCs w:val="24"/>
          <w:lang w:val="sq-AL" w:eastAsia="it-IT"/>
        </w:rPr>
        <w:t>t e parashikuar</w:t>
      </w:r>
      <w:r w:rsidR="003D2047">
        <w:rPr>
          <w:rFonts w:ascii="Garamond" w:hAnsi="Garamond"/>
          <w:sz w:val="24"/>
          <w:szCs w:val="24"/>
          <w:lang w:val="sq-AL" w:eastAsia="it-IT"/>
        </w:rPr>
        <w:t>a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në standardin ISO 17025 dhe numrin identifikues të laboratorit dhe të dhënat e aktit të miratimit</w:t>
      </w:r>
      <w:r w:rsidR="00540373" w:rsidRPr="00540373">
        <w:rPr>
          <w:rFonts w:ascii="Garamond" w:hAnsi="Garamond"/>
          <w:sz w:val="24"/>
          <w:szCs w:val="24"/>
          <w:lang w:val="sq-AL" w:eastAsia="it-IT"/>
        </w:rPr>
        <w:t xml:space="preserve"> </w:t>
      </w:r>
      <w:r w:rsidRPr="00540373">
        <w:rPr>
          <w:rFonts w:ascii="Garamond" w:hAnsi="Garamond"/>
          <w:sz w:val="24"/>
          <w:szCs w:val="24"/>
          <w:lang w:val="sq-AL" w:eastAsia="it-IT"/>
        </w:rPr>
        <w:t>të laboratorit për kryerjen e këtyre analizave.</w:t>
      </w:r>
    </w:p>
    <w:p w14:paraId="6B8BFF6D" w14:textId="4B23758F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sz w:val="24"/>
          <w:szCs w:val="24"/>
          <w:lang w:val="sq-AL" w:eastAsia="it-IT"/>
        </w:rPr>
        <w:t>6. Subjekti duhet të ketë një sistem të brendshëm kontrolli të cilësisë me procedurat përkatëse</w:t>
      </w:r>
      <w:r w:rsidR="00311293">
        <w:rPr>
          <w:rFonts w:ascii="Garamond" w:hAnsi="Garamond"/>
          <w:sz w:val="24"/>
          <w:szCs w:val="24"/>
          <w:lang w:val="sq-AL" w:eastAsia="it-IT"/>
        </w:rPr>
        <w:t>,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me qëllim përftimin e bimës së </w:t>
      </w:r>
      <w:r w:rsidRPr="00E16418">
        <w:rPr>
          <w:rFonts w:ascii="Garamond" w:hAnsi="Garamond"/>
          <w:i/>
          <w:iCs/>
          <w:sz w:val="24"/>
          <w:szCs w:val="24"/>
          <w:lang w:val="sq-AL" w:eastAsia="it-IT"/>
        </w:rPr>
        <w:t>cannabis</w:t>
      </w:r>
      <w:r w:rsidRPr="00E16418">
        <w:rPr>
          <w:rFonts w:ascii="Garamond" w:hAnsi="Garamond"/>
          <w:sz w:val="24"/>
          <w:szCs w:val="24"/>
          <w:lang w:val="sq-AL" w:eastAsia="it-IT"/>
        </w:rPr>
        <w:t>-</w:t>
      </w:r>
      <w:r w:rsidRPr="00540373">
        <w:rPr>
          <w:rFonts w:ascii="Garamond" w:hAnsi="Garamond"/>
          <w:sz w:val="24"/>
          <w:szCs w:val="24"/>
          <w:lang w:val="sq-AL" w:eastAsia="it-IT"/>
        </w:rPr>
        <w:t>it, nënprodukteve dhe produkteve përfundimtare</w:t>
      </w:r>
      <w:r w:rsidR="00311293">
        <w:rPr>
          <w:rFonts w:ascii="Garamond" w:hAnsi="Garamond"/>
          <w:sz w:val="24"/>
          <w:szCs w:val="24"/>
          <w:lang w:val="sq-AL" w:eastAsia="it-IT"/>
        </w:rPr>
        <w:t>,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në përputhje me kërkesat ligjore. </w:t>
      </w:r>
    </w:p>
    <w:p w14:paraId="74D2E517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1F1F1F"/>
          <w:sz w:val="24"/>
          <w:szCs w:val="24"/>
          <w:lang w:val="sq-AL" w:eastAsia="it-IT"/>
        </w:rPr>
      </w:pPr>
    </w:p>
    <w:p w14:paraId="59ABA428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color w:val="000000"/>
          <w:sz w:val="24"/>
          <w:szCs w:val="24"/>
          <w:lang w:val="sq-AL" w:eastAsia="it-IT"/>
        </w:rPr>
        <w:t>Neni 6</w:t>
      </w:r>
    </w:p>
    <w:p w14:paraId="28C575AA" w14:textId="0E0678A8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1F1F1F"/>
          <w:sz w:val="24"/>
          <w:szCs w:val="24"/>
          <w:lang w:val="sq-AL" w:eastAsia="it-IT"/>
        </w:rPr>
      </w:pPr>
      <w:r w:rsidRPr="00540373">
        <w:rPr>
          <w:rFonts w:ascii="Garamond" w:hAnsi="Garamond"/>
          <w:b/>
          <w:color w:val="1F1F1F"/>
          <w:sz w:val="24"/>
          <w:szCs w:val="24"/>
          <w:lang w:val="sq-AL" w:eastAsia="it-IT"/>
        </w:rPr>
        <w:t>Procedura e ritestimit dhe rimostrimit</w:t>
      </w:r>
    </w:p>
    <w:p w14:paraId="294F8B8A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1F1F1F"/>
          <w:sz w:val="24"/>
          <w:szCs w:val="24"/>
          <w:lang w:val="sq-AL" w:eastAsia="it-IT"/>
        </w:rPr>
      </w:pPr>
    </w:p>
    <w:p w14:paraId="3A3FBA26" w14:textId="0F48AE1B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1F1F1F"/>
          <w:sz w:val="24"/>
          <w:szCs w:val="24"/>
          <w:lang w:val="sq-AL" w:eastAsia="it-IT"/>
        </w:rPr>
      </w:pPr>
      <w:r w:rsidRPr="00540373">
        <w:rPr>
          <w:rFonts w:ascii="Garamond" w:hAnsi="Garamond"/>
          <w:color w:val="1F1F1F"/>
          <w:sz w:val="24"/>
          <w:szCs w:val="24"/>
          <w:lang w:val="sq-AL" w:eastAsia="it-IT"/>
        </w:rPr>
        <w:t xml:space="preserve">1. Subjekti i licencuar ose i lejuar 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sipas </w:t>
      </w:r>
      <w:r w:rsidR="00311293"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ligjit </w:t>
      </w:r>
      <w:r w:rsidR="0031129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nr. 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>61/2023,</w:t>
      </w:r>
      <w:r w:rsidRPr="00540373">
        <w:rPr>
          <w:rFonts w:ascii="Garamond" w:hAnsi="Garamond" w:cs="Calibri"/>
          <w:color w:val="000000"/>
          <w:sz w:val="24"/>
          <w:szCs w:val="24"/>
          <w:lang w:val="sq-AL" w:eastAsia="it-IT"/>
        </w:rPr>
        <w:t xml:space="preserve"> </w:t>
      </w:r>
      <w:r w:rsidRPr="00540373">
        <w:rPr>
          <w:rFonts w:ascii="Garamond" w:hAnsi="Garamond"/>
          <w:color w:val="1F1F1F"/>
          <w:sz w:val="24"/>
          <w:szCs w:val="24"/>
          <w:lang w:val="sq-AL" w:eastAsia="it-IT"/>
        </w:rPr>
        <w:t xml:space="preserve">mund të kundërshtojë rezultatet e analizave, nëse pretendon se një apo disa nga të dhënat në certifikatën e analizës janë të gabuara. </w:t>
      </w:r>
    </w:p>
    <w:p w14:paraId="3DF66A99" w14:textId="30FB6B0C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it-IT"/>
        </w:rPr>
      </w:pP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>2. Ritestimi dhe rimostrimi nuk mund të kërkohen në rastin kur rezultati i THC-së është 10% më i lartë se vlera e lejuar të THC-së.</w:t>
      </w:r>
    </w:p>
    <w:p w14:paraId="70D1755A" w14:textId="2B801ADF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1F1F1F"/>
          <w:sz w:val="24"/>
          <w:szCs w:val="24"/>
          <w:lang w:val="sq-AL" w:eastAsia="it-IT"/>
        </w:rPr>
      </w:pPr>
      <w:r w:rsidRPr="00540373">
        <w:rPr>
          <w:rFonts w:ascii="Garamond" w:hAnsi="Garamond"/>
          <w:color w:val="1F1F1F"/>
          <w:sz w:val="24"/>
          <w:szCs w:val="24"/>
          <w:lang w:val="sq-AL" w:eastAsia="it-IT"/>
        </w:rPr>
        <w:t>3. Në rastin e kundërshtimit të rezultatit, subjekti, brenda dy ditëve pune nga momenti i marrjes së rezultatit, duhet të depozitojë, me shkrim dhe elektronikisht,</w:t>
      </w:r>
      <w:r w:rsidR="00540373" w:rsidRPr="00540373">
        <w:rPr>
          <w:rFonts w:ascii="Garamond" w:hAnsi="Garamond"/>
          <w:color w:val="1F1F1F"/>
          <w:sz w:val="24"/>
          <w:szCs w:val="24"/>
          <w:lang w:val="sq-AL" w:eastAsia="it-IT"/>
        </w:rPr>
        <w:t xml:space="preserve"> </w:t>
      </w:r>
      <w:r w:rsidRPr="00540373">
        <w:rPr>
          <w:rFonts w:ascii="Garamond" w:hAnsi="Garamond"/>
          <w:color w:val="1F1F1F"/>
          <w:sz w:val="24"/>
          <w:szCs w:val="24"/>
          <w:lang w:val="sq-AL" w:eastAsia="it-IT"/>
        </w:rPr>
        <w:t>pranë Agjencisë kërkesën e arsyetuar. Në këto raste</w:t>
      </w:r>
      <w:r w:rsidR="00714DBE">
        <w:rPr>
          <w:rFonts w:ascii="Garamond" w:hAnsi="Garamond"/>
          <w:color w:val="1F1F1F"/>
          <w:sz w:val="24"/>
          <w:szCs w:val="24"/>
          <w:lang w:val="sq-AL" w:eastAsia="it-IT"/>
        </w:rPr>
        <w:t>,</w:t>
      </w:r>
      <w:r w:rsidRPr="00540373">
        <w:rPr>
          <w:rFonts w:ascii="Garamond" w:hAnsi="Garamond"/>
          <w:color w:val="1F1F1F"/>
          <w:sz w:val="24"/>
          <w:szCs w:val="24"/>
          <w:lang w:val="sq-AL" w:eastAsia="it-IT"/>
        </w:rPr>
        <w:t xml:space="preserve"> Agjencia shqyrton kërkesën brenda 3 ditëve pune dhe shprehet nëse do të kryhet ritestimi dhe/ose rimostrimi në laboratorin e miratuar. </w:t>
      </w:r>
    </w:p>
    <w:p w14:paraId="60AB24BD" w14:textId="0B3B1FCC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1F1F1F"/>
          <w:sz w:val="24"/>
          <w:szCs w:val="24"/>
          <w:lang w:val="sq-AL" w:eastAsia="it-IT"/>
        </w:rPr>
      </w:pPr>
      <w:r w:rsidRPr="00540373">
        <w:rPr>
          <w:rFonts w:ascii="Garamond" w:hAnsi="Garamond"/>
          <w:color w:val="1F1F1F"/>
          <w:sz w:val="24"/>
          <w:szCs w:val="24"/>
          <w:lang w:val="sq-AL" w:eastAsia="it-IT"/>
        </w:rPr>
        <w:t xml:space="preserve">4. Ritestimi/rimostrimi kryhet vetëm për parametrin/parametrat që devijojnë nga limitet e lejuara. Ritestimi/rimostrimi ndjek të njëjtat procedura dhe metodika si për analizën fillestare dhe rezultatet përkatëse përcillen sipas së njëjtës procedurë si për analizën fillestare. </w:t>
      </w:r>
    </w:p>
    <w:p w14:paraId="31EF1BE8" w14:textId="49B472BC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it-IT"/>
        </w:rPr>
      </w:pP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5. Ritestimi/rimostrimi mund të kërkohet vetëm një herë për çdo lot prodhimi të pakorrigjuar dhe rezultatet e marra konsiderohen si rezultate përfundimtare. Në rastet kur vlerat e analizave të dy testimeve kanë një diferencë më të madhe se 10%, analiza ripërsëritet në një laborator tjetër të miratuar dhe laboratori i parë duhet të përcjellë sqarimet përkatëse për diferencën e vërejtur që del jashtë standardeve të akreditimit. Agjencia ndërmerr veprime konkrete në zbatim të përcaktimeve në kuadrin ligjor në fuqi deri në propozimin për revokimin e miratimit të laboratorit nga </w:t>
      </w:r>
      <w:r w:rsidR="00F4121F" w:rsidRPr="00540373">
        <w:rPr>
          <w:rFonts w:ascii="Garamond" w:hAnsi="Garamond"/>
          <w:color w:val="000000"/>
          <w:sz w:val="24"/>
          <w:szCs w:val="24"/>
          <w:lang w:val="sq-AL" w:eastAsia="it-IT"/>
        </w:rPr>
        <w:t>ministri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>.</w:t>
      </w:r>
    </w:p>
    <w:p w14:paraId="3D0E57C4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it-IT"/>
        </w:rPr>
      </w:pPr>
    </w:p>
    <w:p w14:paraId="6A49D4CA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color w:val="000000"/>
          <w:sz w:val="24"/>
          <w:szCs w:val="24"/>
          <w:lang w:val="sq-AL" w:eastAsia="it-IT"/>
        </w:rPr>
        <w:t>Neni 7</w:t>
      </w:r>
    </w:p>
    <w:p w14:paraId="2D753A60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1F1F1F"/>
          <w:sz w:val="24"/>
          <w:szCs w:val="24"/>
          <w:lang w:val="sq-AL" w:eastAsia="it-IT"/>
        </w:rPr>
      </w:pPr>
      <w:r w:rsidRPr="00540373">
        <w:rPr>
          <w:rFonts w:ascii="Garamond" w:hAnsi="Garamond"/>
          <w:b/>
          <w:color w:val="1F1F1F"/>
          <w:sz w:val="24"/>
          <w:szCs w:val="24"/>
          <w:lang w:val="sq-AL" w:eastAsia="it-IT"/>
        </w:rPr>
        <w:t xml:space="preserve">Veprimet korrigjuese për përmirësimin e parametrave të lotit të bimës së </w:t>
      </w:r>
      <w:r w:rsidRPr="00540373">
        <w:rPr>
          <w:rFonts w:ascii="Garamond" w:hAnsi="Garamond"/>
          <w:b/>
          <w:i/>
          <w:iCs/>
          <w:color w:val="1F1F1F"/>
          <w:sz w:val="24"/>
          <w:szCs w:val="24"/>
          <w:lang w:val="sq-AL" w:eastAsia="it-IT"/>
        </w:rPr>
        <w:t>cannabis</w:t>
      </w:r>
      <w:r w:rsidRPr="00540373">
        <w:rPr>
          <w:rFonts w:ascii="Garamond" w:hAnsi="Garamond"/>
          <w:b/>
          <w:color w:val="1F1F1F"/>
          <w:sz w:val="24"/>
          <w:szCs w:val="24"/>
          <w:lang w:val="sq-AL" w:eastAsia="it-IT"/>
        </w:rPr>
        <w:t>-it që lidhen me nivelin e lagështisë dhe ngarkesën mikrobiale</w:t>
      </w:r>
    </w:p>
    <w:p w14:paraId="054D4B6C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szCs w:val="24"/>
          <w:lang w:val="sq-AL" w:eastAsia="it-IT"/>
        </w:rPr>
      </w:pPr>
    </w:p>
    <w:p w14:paraId="015319D9" w14:textId="7F5114AE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it-IT"/>
        </w:rPr>
      </w:pP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1. Subjekti i licencuar ose i lejuar sipas </w:t>
      </w:r>
      <w:r w:rsidR="001625D9"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ligjit </w:t>
      </w:r>
      <w:r w:rsidR="001625D9">
        <w:rPr>
          <w:rFonts w:ascii="Garamond" w:hAnsi="Garamond"/>
          <w:color w:val="000000"/>
          <w:sz w:val="24"/>
          <w:szCs w:val="24"/>
          <w:lang w:val="sq-AL" w:eastAsia="it-IT"/>
        </w:rPr>
        <w:t xml:space="preserve">nr. 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61/2023, mund të korrigjojë vetëm një herë lotin e bimës së </w:t>
      </w:r>
      <w:r w:rsidRPr="00540373">
        <w:rPr>
          <w:rFonts w:ascii="Garamond" w:hAnsi="Garamond"/>
          <w:i/>
          <w:iCs/>
          <w:color w:val="000000"/>
          <w:sz w:val="24"/>
          <w:szCs w:val="24"/>
          <w:lang w:val="sq-AL" w:eastAsia="it-IT"/>
        </w:rPr>
        <w:t>Cannabis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-it, duke trajtuar materialin për </w:t>
      </w:r>
      <w:r w:rsidRPr="00540373">
        <w:rPr>
          <w:rFonts w:ascii="Garamond" w:hAnsi="Garamond"/>
          <w:color w:val="1F1F1F"/>
          <w:sz w:val="24"/>
          <w:szCs w:val="24"/>
          <w:lang w:val="sq-AL" w:eastAsia="it-IT"/>
        </w:rPr>
        <w:t>nivelin e lagështisë dhe ngarkesën mikrobiale,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 në rast se rezultati i analizës nuk përmbush limitet e lejuara lidhur me kët</w:t>
      </w:r>
      <w:r w:rsidR="00B66D23">
        <w:rPr>
          <w:rFonts w:ascii="Garamond" w:hAnsi="Garamond"/>
          <w:color w:val="000000"/>
          <w:sz w:val="24"/>
          <w:szCs w:val="24"/>
          <w:lang w:val="sq-AL" w:eastAsia="it-IT"/>
        </w:rPr>
        <w:t>a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 parametra.</w:t>
      </w:r>
    </w:p>
    <w:p w14:paraId="6C13425E" w14:textId="7B76AFD6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it-IT"/>
        </w:rPr>
      </w:pP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>2. Veprimet korrigjuese duhet të jenë të parashikuara në procedurat standarde operacionale të subjektit (SOP)</w:t>
      </w:r>
      <w:r w:rsidR="002C56FF">
        <w:rPr>
          <w:rFonts w:ascii="Garamond" w:hAnsi="Garamond"/>
          <w:color w:val="000000"/>
          <w:sz w:val="24"/>
          <w:szCs w:val="24"/>
          <w:lang w:val="sq-AL" w:eastAsia="it-IT"/>
        </w:rPr>
        <w:t>,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 të miratuara nga Agjencia, të cilat përfshijnë metoda specifike që nuk ndikojnë në cilësinë e materialit, por rregullojnë nivelet e kontaminimit mikrobial dhe lagështisë</w:t>
      </w:r>
      <w:r w:rsidR="002C56FF">
        <w:rPr>
          <w:rFonts w:ascii="Garamond" w:hAnsi="Garamond"/>
          <w:color w:val="000000"/>
          <w:sz w:val="24"/>
          <w:szCs w:val="24"/>
          <w:lang w:val="sq-AL" w:eastAsia="it-IT"/>
        </w:rPr>
        <w:t>,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 në përputhje me limitet e analizës së kryer.</w:t>
      </w:r>
    </w:p>
    <w:p w14:paraId="39E5F441" w14:textId="6A8CF415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it-IT"/>
        </w:rPr>
      </w:pP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3. Për mostrën e përzgjedhur nga loti i korrigjuar, realizohet e njëjta procedurë mostrimi dhe/ose </w:t>
      </w:r>
      <w:r w:rsidRPr="00540373">
        <w:rPr>
          <w:rFonts w:ascii="Garamond" w:hAnsi="Garamond"/>
          <w:color w:val="1F1F1F"/>
          <w:sz w:val="24"/>
          <w:szCs w:val="24"/>
          <w:lang w:val="sq-AL" w:eastAsia="it-IT"/>
        </w:rPr>
        <w:t>ritestimi, e cila do të kryhet për të gjithë parametrat dhe jo vetëm për ato që devijojnë nga specifikimet në analizën fillestare.</w:t>
      </w:r>
    </w:p>
    <w:p w14:paraId="45D83A67" w14:textId="15419CA3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it-IT"/>
        </w:rPr>
      </w:pP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>4. Rezultatet përfundimtare për mostrën e lotit të korrigjuar janë të pakundërshtueshme.</w:t>
      </w:r>
    </w:p>
    <w:p w14:paraId="6832147B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color w:val="000000"/>
          <w:sz w:val="24"/>
          <w:szCs w:val="24"/>
          <w:lang w:val="sq-AL" w:eastAsia="it-IT"/>
        </w:rPr>
        <w:lastRenderedPageBreak/>
        <w:t>Neni 8</w:t>
      </w:r>
    </w:p>
    <w:p w14:paraId="6448A206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1F1F1F"/>
          <w:sz w:val="24"/>
          <w:szCs w:val="24"/>
          <w:lang w:val="sq-AL" w:eastAsia="it-IT"/>
        </w:rPr>
      </w:pPr>
      <w:r w:rsidRPr="00540373">
        <w:rPr>
          <w:rFonts w:ascii="Garamond" w:hAnsi="Garamond"/>
          <w:b/>
          <w:color w:val="1F1F1F"/>
          <w:sz w:val="24"/>
          <w:szCs w:val="24"/>
          <w:lang w:val="sq-AL" w:eastAsia="it-IT"/>
        </w:rPr>
        <w:t>Paketimi dhe etiketimi</w:t>
      </w:r>
    </w:p>
    <w:p w14:paraId="517CBD3C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it-IT"/>
        </w:rPr>
      </w:pPr>
    </w:p>
    <w:p w14:paraId="397486B5" w14:textId="1344929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1. </w:t>
      </w:r>
      <w:r w:rsidRPr="00540373">
        <w:rPr>
          <w:rFonts w:ascii="Garamond" w:hAnsi="Garamond"/>
          <w:sz w:val="24"/>
          <w:szCs w:val="24"/>
          <w:lang w:val="sq-AL" w:eastAsia="it-IT"/>
        </w:rPr>
        <w:t>Paketimi primar dhe ai sekondar duhet të garantojnë cilësinë dhe sigurinë e materialit bimor</w:t>
      </w:r>
      <w:r w:rsidR="002C56FF">
        <w:rPr>
          <w:rFonts w:ascii="Garamond" w:hAnsi="Garamond"/>
          <w:sz w:val="24"/>
          <w:szCs w:val="24"/>
          <w:lang w:val="sq-AL" w:eastAsia="it-IT"/>
        </w:rPr>
        <w:t>,</w:t>
      </w:r>
      <w:r w:rsidRPr="00540373">
        <w:rPr>
          <w:rFonts w:ascii="Garamond" w:hAnsi="Garamond"/>
          <w:sz w:val="24"/>
          <w:szCs w:val="24"/>
          <w:lang w:val="sq-AL" w:eastAsia="it-IT"/>
        </w:rPr>
        <w:t xml:space="preserve"> në përputhje me kriteret e mëposhtme dhe me kërkesat shtesë të vendit importues. </w:t>
      </w:r>
    </w:p>
    <w:p w14:paraId="46609469" w14:textId="27ECD695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it-IT"/>
        </w:rPr>
      </w:pPr>
      <w:r w:rsidRPr="00540373">
        <w:rPr>
          <w:rFonts w:ascii="Garamond" w:hAnsi="Garamond"/>
          <w:sz w:val="24"/>
          <w:szCs w:val="24"/>
          <w:lang w:val="sq-AL" w:eastAsia="it-IT"/>
        </w:rPr>
        <w:t xml:space="preserve">2. Ambienti, mënyra sesi realizohet procesi i paketimit dhe kontrolli mbi materialet paketuese për bimën e </w:t>
      </w:r>
      <w:r w:rsidRPr="00540373">
        <w:rPr>
          <w:rFonts w:ascii="Garamond" w:hAnsi="Garamond"/>
          <w:i/>
          <w:iCs/>
          <w:sz w:val="24"/>
          <w:szCs w:val="24"/>
          <w:lang w:val="sq-AL" w:eastAsia="it-IT"/>
        </w:rPr>
        <w:t>cannabis</w:t>
      </w:r>
      <w:r w:rsidRPr="00540373">
        <w:rPr>
          <w:rFonts w:ascii="Garamond" w:hAnsi="Garamond"/>
          <w:sz w:val="24"/>
          <w:szCs w:val="24"/>
          <w:lang w:val="sq-AL" w:eastAsia="it-IT"/>
        </w:rPr>
        <w:t>-it, të cilat tregtohen me qëllim përfundimtar përdorimin për konsum ose në kozmetikë, duhet të jenë në përputhje me udhëzimet e EU-GMP dhe EU-GACP.</w:t>
      </w:r>
    </w:p>
    <w:p w14:paraId="022A6501" w14:textId="48AFDEFF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it-IT"/>
        </w:rPr>
      </w:pP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>3. Në çdo rast, paketimi duhet të plotësojë kërkesat sipas shtojcës nr.</w:t>
      </w:r>
      <w:r w:rsidR="00114106">
        <w:rPr>
          <w:rFonts w:ascii="Garamond" w:hAnsi="Garamond"/>
          <w:color w:val="000000"/>
          <w:sz w:val="24"/>
          <w:szCs w:val="24"/>
          <w:lang w:val="sq-AL" w:eastAsia="it-IT"/>
        </w:rPr>
        <w:t xml:space="preserve"> 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>2 bashkëlidhur dhe pjesë përbërëse e këtij udhëzimi.</w:t>
      </w:r>
    </w:p>
    <w:p w14:paraId="2F717736" w14:textId="74185AE8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it-IT"/>
        </w:rPr>
      </w:pP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>4. Etiketa duhet të ketë ngjyrë uniforme dhe të dallueshme, të tillë që të krijojë kontrast me</w:t>
      </w:r>
      <w:r w:rsidR="00540373"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 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simbolin e rrezikshmërisë dhe simbolin e standardizuar të </w:t>
      </w:r>
      <w:r w:rsidRPr="00540373">
        <w:rPr>
          <w:rFonts w:ascii="Garamond" w:hAnsi="Garamond"/>
          <w:i/>
          <w:iCs/>
          <w:color w:val="000000"/>
          <w:sz w:val="24"/>
          <w:szCs w:val="24"/>
          <w:lang w:val="sq-AL" w:eastAsia="it-IT"/>
        </w:rPr>
        <w:t>cannabis-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it (në varësi të vendit importues). Etiketa nuk duhet të përmbajë reklamim të produktit dhe të dhëna që shkaktojnë keqinformim të konsumatorit. </w:t>
      </w:r>
    </w:p>
    <w:p w14:paraId="2EF70DAA" w14:textId="035004A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it-IT"/>
        </w:rPr>
      </w:pP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5. Gjuha e përdorur në etiketë duhet të jetë e qartë, e kuptueshme dhe lehtësisht e lexueshme. Formati i etiketës dhe </w:t>
      </w:r>
      <w:r w:rsidR="00114106">
        <w:rPr>
          <w:rFonts w:ascii="Garamond" w:hAnsi="Garamond"/>
          <w:color w:val="000000"/>
          <w:sz w:val="24"/>
          <w:szCs w:val="24"/>
          <w:lang w:val="sq-AL" w:eastAsia="it-IT"/>
        </w:rPr>
        <w:t xml:space="preserve">i 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>shkrimit, gjuha dhe element</w:t>
      </w:r>
      <w:r w:rsidR="00331C8C">
        <w:rPr>
          <w:rFonts w:ascii="Garamond" w:hAnsi="Garamond"/>
          <w:color w:val="000000"/>
          <w:sz w:val="24"/>
          <w:szCs w:val="24"/>
          <w:lang w:val="sq-AL" w:eastAsia="it-IT"/>
        </w:rPr>
        <w:t>e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>t shtesë të përmbajtjes së etiketës duhet të jenë në përputhje me kërkesat e vendit importues.</w:t>
      </w:r>
    </w:p>
    <w:p w14:paraId="56D40255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it-IT"/>
        </w:rPr>
      </w:pPr>
    </w:p>
    <w:p w14:paraId="7C6D16CE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color w:val="000000"/>
          <w:sz w:val="24"/>
          <w:szCs w:val="24"/>
          <w:lang w:val="sq-AL" w:eastAsia="it-IT"/>
        </w:rPr>
        <w:t>Neni 9</w:t>
      </w:r>
    </w:p>
    <w:p w14:paraId="0010E522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it-IT"/>
        </w:rPr>
      </w:pPr>
      <w:r w:rsidRPr="00540373">
        <w:rPr>
          <w:rFonts w:ascii="Garamond" w:hAnsi="Garamond"/>
          <w:b/>
          <w:bCs/>
          <w:color w:val="000000"/>
          <w:sz w:val="24"/>
          <w:szCs w:val="24"/>
          <w:lang w:val="sq-AL" w:eastAsia="it-IT"/>
        </w:rPr>
        <w:t>Dispozita të veçanta</w:t>
      </w:r>
    </w:p>
    <w:p w14:paraId="23330C6A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it-IT"/>
        </w:rPr>
      </w:pPr>
    </w:p>
    <w:p w14:paraId="787007C9" w14:textId="2AE98353" w:rsidR="00AE1F81" w:rsidRPr="00540373" w:rsidRDefault="00AE1F81" w:rsidP="00235D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it-IT"/>
        </w:rPr>
      </w:pP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1. Mënyra dhe sasia e marrjes së mostrave për kryerjen e analizave me metodat e akredituara për kontrollin e cilësisë </w:t>
      </w:r>
      <w:r w:rsidRPr="00540373">
        <w:rPr>
          <w:rFonts w:ascii="Garamond" w:hAnsi="Garamond"/>
          <w:color w:val="1F1F1F"/>
          <w:sz w:val="24"/>
          <w:szCs w:val="24"/>
          <w:lang w:val="sq-AL" w:eastAsia="it-IT"/>
        </w:rPr>
        <w:t xml:space="preserve">bëhet në përputhje me përcaktimet e </w:t>
      </w:r>
      <w:r w:rsidR="00235D35" w:rsidRPr="00540373">
        <w:rPr>
          <w:rFonts w:ascii="Garamond" w:hAnsi="Garamond"/>
          <w:color w:val="1F1F1F"/>
          <w:sz w:val="24"/>
          <w:szCs w:val="24"/>
          <w:lang w:val="sq-AL" w:eastAsia="it-IT"/>
        </w:rPr>
        <w:t xml:space="preserve">udhëzimit </w:t>
      </w:r>
      <w:r w:rsidRPr="00540373">
        <w:rPr>
          <w:rFonts w:ascii="Garamond" w:hAnsi="Garamond"/>
          <w:color w:val="1F1F1F"/>
          <w:sz w:val="24"/>
          <w:szCs w:val="24"/>
          <w:lang w:val="sq-AL" w:eastAsia="it-IT"/>
        </w:rPr>
        <w:t xml:space="preserve">të përbashkët të </w:t>
      </w:r>
      <w:r w:rsidR="00235D35" w:rsidRPr="00540373">
        <w:rPr>
          <w:rFonts w:ascii="Garamond" w:hAnsi="Garamond"/>
          <w:color w:val="1F1F1F"/>
          <w:sz w:val="24"/>
          <w:szCs w:val="24"/>
          <w:lang w:val="sq-AL" w:eastAsia="it-IT"/>
        </w:rPr>
        <w:t xml:space="preserve">ministrit </w:t>
      </w:r>
      <w:r w:rsidRPr="00540373">
        <w:rPr>
          <w:rFonts w:ascii="Garamond" w:hAnsi="Garamond"/>
          <w:color w:val="1F1F1F"/>
          <w:sz w:val="24"/>
          <w:szCs w:val="24"/>
          <w:lang w:val="sq-AL" w:eastAsia="it-IT"/>
        </w:rPr>
        <w:t xml:space="preserve">të Shëndetësisë dhe </w:t>
      </w:r>
      <w:r w:rsidR="00235D35" w:rsidRPr="00540373">
        <w:rPr>
          <w:rFonts w:ascii="Garamond" w:hAnsi="Garamond"/>
          <w:color w:val="1F1F1F"/>
          <w:sz w:val="24"/>
          <w:szCs w:val="24"/>
          <w:lang w:val="sq-AL" w:eastAsia="it-IT"/>
        </w:rPr>
        <w:t xml:space="preserve">ministrit </w:t>
      </w:r>
      <w:r w:rsidRPr="00540373">
        <w:rPr>
          <w:rFonts w:ascii="Garamond" w:hAnsi="Garamond"/>
          <w:color w:val="1F1F1F"/>
          <w:sz w:val="24"/>
          <w:szCs w:val="24"/>
          <w:lang w:val="sq-AL" w:eastAsia="it-IT"/>
        </w:rPr>
        <w:t>të Bujqësisë</w:t>
      </w:r>
      <w:r w:rsidR="00235D35">
        <w:rPr>
          <w:rFonts w:ascii="Garamond" w:hAnsi="Garamond"/>
          <w:color w:val="1F1F1F"/>
          <w:sz w:val="24"/>
          <w:szCs w:val="24"/>
          <w:lang w:val="sq-AL" w:eastAsia="it-IT"/>
        </w:rPr>
        <w:t>,</w:t>
      </w:r>
      <w:r w:rsidRPr="00540373">
        <w:rPr>
          <w:rFonts w:ascii="Garamond" w:hAnsi="Garamond"/>
          <w:color w:val="1F1F1F"/>
          <w:sz w:val="24"/>
          <w:szCs w:val="24"/>
          <w:lang w:val="sq-AL" w:eastAsia="it-IT"/>
        </w:rPr>
        <w:t xml:space="preserve"> sipas përcaktimeve në nenin 37 të ligjit nr. 61/2023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. </w:t>
      </w:r>
    </w:p>
    <w:p w14:paraId="7CE7AA38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it-IT"/>
        </w:rPr>
      </w:pPr>
    </w:p>
    <w:p w14:paraId="5E7A1E74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color w:val="000000"/>
          <w:sz w:val="24"/>
          <w:szCs w:val="24"/>
          <w:lang w:val="sq-AL" w:eastAsia="it-IT"/>
        </w:rPr>
        <w:t>Neni 10</w:t>
      </w:r>
    </w:p>
    <w:p w14:paraId="0DEF2894" w14:textId="6BA9040C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it-IT"/>
        </w:rPr>
      </w:pPr>
      <w:r w:rsidRPr="00540373">
        <w:rPr>
          <w:rFonts w:ascii="Garamond" w:hAnsi="Garamond"/>
          <w:b/>
          <w:bCs/>
          <w:color w:val="000000"/>
          <w:sz w:val="24"/>
          <w:szCs w:val="24"/>
          <w:lang w:val="sq-AL" w:eastAsia="it-IT"/>
        </w:rPr>
        <w:t>Dispozita përfundimtare</w:t>
      </w:r>
    </w:p>
    <w:p w14:paraId="4E0D352C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it-IT"/>
        </w:rPr>
      </w:pPr>
    </w:p>
    <w:p w14:paraId="2AF4607A" w14:textId="24D76B00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it-IT"/>
        </w:rPr>
      </w:pP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>1. Për zbatimin e këtij udhëzimi ngarkohen të gjitha institucionet dhe subjektet e përmendura në këtë udhëzim.</w:t>
      </w:r>
    </w:p>
    <w:p w14:paraId="7C25F053" w14:textId="21A333A0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it-IT"/>
        </w:rPr>
      </w:pP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>2. Shtojca 1 dhe 2 i bashkëlidhen dhe janë pjesë përbërëse e këtij udhëzimi.</w:t>
      </w:r>
    </w:p>
    <w:p w14:paraId="56818F58" w14:textId="2A52D62A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it-IT"/>
        </w:rPr>
      </w:pP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>3. Udhëzimi nr. 12</w:t>
      </w:r>
      <w:r w:rsidR="00235D35">
        <w:rPr>
          <w:rFonts w:ascii="Garamond" w:hAnsi="Garamond"/>
          <w:color w:val="000000"/>
          <w:sz w:val="24"/>
          <w:szCs w:val="24"/>
          <w:lang w:val="sq-AL" w:eastAsia="it-IT"/>
        </w:rPr>
        <w:t>,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 datë 21.5.2024</w:t>
      </w:r>
      <w:r w:rsidR="00235D35">
        <w:rPr>
          <w:rFonts w:ascii="Garamond" w:hAnsi="Garamond"/>
          <w:color w:val="000000"/>
          <w:sz w:val="24"/>
          <w:szCs w:val="24"/>
          <w:lang w:val="sq-AL" w:eastAsia="it-IT"/>
        </w:rPr>
        <w:t>,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 i ministrit të Bujqësisë dhe </w:t>
      </w:r>
      <w:r w:rsidR="00AC5B2B" w:rsidRPr="00540373">
        <w:rPr>
          <w:rFonts w:ascii="Garamond" w:hAnsi="Garamond"/>
          <w:color w:val="000000"/>
          <w:sz w:val="24"/>
          <w:szCs w:val="24"/>
          <w:lang w:val="sq-AL" w:eastAsia="it-IT"/>
        </w:rPr>
        <w:t>Zhvillimit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 Rural</w:t>
      </w:r>
      <w:r w:rsidR="00235D35">
        <w:rPr>
          <w:rFonts w:ascii="Garamond" w:hAnsi="Garamond"/>
          <w:color w:val="000000"/>
          <w:sz w:val="24"/>
          <w:szCs w:val="24"/>
          <w:lang w:val="sq-AL" w:eastAsia="it-IT"/>
        </w:rPr>
        <w:t>,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 “Për metodat e kontrollit të cilësisë, lidhur me përmbajtjen e</w:t>
      </w:r>
      <w:r w:rsidR="00540373"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 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>komponentëve të kanabinoidit dhe tetrahidrokanabinolit, si dhe të kontrollit fiziko-kimik dhe mikrobiologjik për mënyrën e paketimit, formën dhe sasinë”,</w:t>
      </w:r>
      <w:r w:rsidR="00540373" w:rsidRPr="00540373">
        <w:rPr>
          <w:rFonts w:ascii="Garamond" w:hAnsi="Garamond"/>
          <w:color w:val="000000"/>
          <w:sz w:val="24"/>
          <w:szCs w:val="24"/>
          <w:lang w:val="sq-AL" w:eastAsia="it-IT"/>
        </w:rPr>
        <w:t xml:space="preserve"> </w:t>
      </w:r>
      <w:r w:rsidRPr="00540373">
        <w:rPr>
          <w:rFonts w:ascii="Garamond" w:hAnsi="Garamond"/>
          <w:color w:val="000000"/>
          <w:sz w:val="24"/>
          <w:szCs w:val="24"/>
          <w:lang w:val="sq-AL" w:eastAsia="it-IT"/>
        </w:rPr>
        <w:t>shfuqizohet.</w:t>
      </w:r>
    </w:p>
    <w:p w14:paraId="1773BE25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 w:val="24"/>
          <w:szCs w:val="24"/>
          <w:lang w:val="sq-AL" w:eastAsia="it-IT"/>
        </w:rPr>
      </w:pPr>
      <w:r w:rsidRPr="00540373">
        <w:rPr>
          <w:rFonts w:ascii="Garamond" w:hAnsi="Garamond"/>
          <w:iCs/>
          <w:sz w:val="24"/>
          <w:szCs w:val="24"/>
          <w:lang w:val="sq-AL" w:eastAsia="it-IT"/>
        </w:rPr>
        <w:t>Ky udhëzim hyn fuqi pas botimit në Fletoren Zyrtare.</w:t>
      </w:r>
    </w:p>
    <w:p w14:paraId="688A8E6D" w14:textId="77777777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 w:eastAsia="it-IT"/>
        </w:rPr>
      </w:pPr>
    </w:p>
    <w:p w14:paraId="20A63E13" w14:textId="215D638D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MINISTËR I BUJQËSISË DHE ZHVILLIMIT RURAL</w:t>
      </w:r>
    </w:p>
    <w:p w14:paraId="01E25932" w14:textId="0D75EB1D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/>
          <w:bCs/>
          <w:sz w:val="24"/>
          <w:szCs w:val="24"/>
          <w:lang w:val="sq-AL" w:eastAsia="it-IT"/>
        </w:rPr>
        <w:t>Anila</w:t>
      </w:r>
      <w:r w:rsidR="00540373" w:rsidRPr="00540373">
        <w:rPr>
          <w:rFonts w:ascii="Garamond" w:hAnsi="Garamond"/>
          <w:b/>
          <w:bCs/>
          <w:sz w:val="24"/>
          <w:szCs w:val="24"/>
          <w:lang w:val="sq-AL" w:eastAsia="it-IT"/>
        </w:rPr>
        <w:t xml:space="preserve"> </w:t>
      </w:r>
      <w:r w:rsidRPr="00540373">
        <w:rPr>
          <w:rFonts w:ascii="Garamond" w:hAnsi="Garamond"/>
          <w:b/>
          <w:bCs/>
          <w:sz w:val="24"/>
          <w:szCs w:val="24"/>
          <w:lang w:val="sq-AL" w:eastAsia="it-IT"/>
        </w:rPr>
        <w:t>Denaj</w:t>
      </w:r>
    </w:p>
    <w:p w14:paraId="638484C4" w14:textId="5D07966C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 w:eastAsia="it-IT"/>
        </w:rPr>
      </w:pPr>
    </w:p>
    <w:p w14:paraId="0722A785" w14:textId="0AADB6AA" w:rsidR="00AE1F81" w:rsidRPr="00540373" w:rsidRDefault="00AE1F81" w:rsidP="00AE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/>
          <w:bCs/>
          <w:noProof/>
          <w:sz w:val="24"/>
          <w:szCs w:val="24"/>
          <w:lang w:val="sq-AL" w:eastAsia="it-IT"/>
        </w:rPr>
        <w:lastRenderedPageBreak/>
        <w:drawing>
          <wp:inline distT="0" distB="0" distL="0" distR="0" wp14:anchorId="6AE9ABFB" wp14:editId="4AB56ABC">
            <wp:extent cx="5815965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htojca nr.1 . Ph Eur 3028 Cannabis flos.al. 21.01.24_Page_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59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40373">
        <w:rPr>
          <w:rFonts w:ascii="Garamond" w:hAnsi="Garamond"/>
          <w:b/>
          <w:bCs/>
          <w:noProof/>
          <w:sz w:val="24"/>
          <w:szCs w:val="24"/>
          <w:lang w:val="sq-AL" w:eastAsia="it-IT"/>
        </w:rPr>
        <w:lastRenderedPageBreak/>
        <w:drawing>
          <wp:inline distT="0" distB="0" distL="0" distR="0" wp14:anchorId="28064AAE" wp14:editId="2CCC97CC">
            <wp:extent cx="5814060" cy="822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htojca nr.1 . Ph Eur 3028 Cannabis flos.al. 21.01.24_Page_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40373">
        <w:rPr>
          <w:rFonts w:ascii="Garamond" w:hAnsi="Garamond"/>
          <w:b/>
          <w:bCs/>
          <w:noProof/>
          <w:sz w:val="24"/>
          <w:szCs w:val="24"/>
          <w:lang w:val="sq-AL" w:eastAsia="it-IT"/>
        </w:rPr>
        <w:lastRenderedPageBreak/>
        <w:drawing>
          <wp:inline distT="0" distB="0" distL="0" distR="0" wp14:anchorId="38B74C21" wp14:editId="3FE83D5C">
            <wp:extent cx="5815330" cy="822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htojca nr.1 . Ph Eur 3028 Cannabis flos.al. 21.01.24_Page_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533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40373">
        <w:rPr>
          <w:rFonts w:ascii="Garamond" w:hAnsi="Garamond"/>
          <w:b/>
          <w:bCs/>
          <w:noProof/>
          <w:sz w:val="24"/>
          <w:szCs w:val="24"/>
          <w:lang w:val="sq-AL" w:eastAsia="it-IT"/>
        </w:rPr>
        <w:lastRenderedPageBreak/>
        <w:drawing>
          <wp:inline distT="0" distB="0" distL="0" distR="0" wp14:anchorId="77ECFB08" wp14:editId="4B86BA81">
            <wp:extent cx="5815965" cy="8229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htojca nr.1 . Ph Eur 3028 Cannabis flos.al. 21.01.24_Page_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59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E3C05" w14:textId="5F7AF3D2" w:rsidR="000472F7" w:rsidRPr="00AC5B2B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it-IT"/>
        </w:rPr>
      </w:pPr>
      <w:r w:rsidRPr="00AC5B2B">
        <w:rPr>
          <w:rFonts w:ascii="Garamond" w:hAnsi="Garamond"/>
          <w:b/>
          <w:sz w:val="24"/>
          <w:szCs w:val="24"/>
          <w:lang w:val="sq-AL" w:eastAsia="it-IT"/>
        </w:rPr>
        <w:lastRenderedPageBreak/>
        <w:t>Shtojcë nr.</w:t>
      </w:r>
      <w:r w:rsidR="00AC5B2B" w:rsidRPr="00AC5B2B">
        <w:rPr>
          <w:rFonts w:ascii="Garamond" w:hAnsi="Garamond"/>
          <w:b/>
          <w:sz w:val="24"/>
          <w:szCs w:val="24"/>
          <w:lang w:val="sq-AL" w:eastAsia="it-IT"/>
        </w:rPr>
        <w:t xml:space="preserve"> </w:t>
      </w:r>
      <w:r w:rsidRPr="00AC5B2B">
        <w:rPr>
          <w:rFonts w:ascii="Garamond" w:hAnsi="Garamond"/>
          <w:b/>
          <w:sz w:val="24"/>
          <w:szCs w:val="24"/>
          <w:lang w:val="sq-AL" w:eastAsia="it-IT"/>
        </w:rPr>
        <w:t>2</w:t>
      </w:r>
    </w:p>
    <w:p w14:paraId="695BFFAC" w14:textId="77777777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 w:eastAsia="it-IT"/>
        </w:rPr>
      </w:pPr>
    </w:p>
    <w:p w14:paraId="42D177CA" w14:textId="3B0E504C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Kërkesat për paketimin dhe </w:t>
      </w:r>
      <w:r w:rsidR="00927F50">
        <w:rPr>
          <w:rFonts w:ascii="Garamond" w:hAnsi="Garamond"/>
          <w:bCs/>
          <w:sz w:val="24"/>
          <w:szCs w:val="24"/>
          <w:lang w:val="sq-AL" w:eastAsia="it-IT"/>
        </w:rPr>
        <w:t xml:space="preserve">për 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etiketimin e materialeve të bimës së </w:t>
      </w:r>
      <w:r w:rsidRPr="00540373">
        <w:rPr>
          <w:rFonts w:ascii="Garamond" w:hAnsi="Garamond"/>
          <w:bCs/>
          <w:i/>
          <w:iCs/>
          <w:sz w:val="24"/>
          <w:szCs w:val="24"/>
          <w:lang w:val="sq-AL" w:eastAsia="it-IT"/>
        </w:rPr>
        <w:t>cannabis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>-it, nënprodukteve dhe produkteve përfundimtare të tij.</w:t>
      </w:r>
    </w:p>
    <w:p w14:paraId="78ED5067" w14:textId="03C87E34" w:rsidR="000472F7" w:rsidRPr="00495684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 w:eastAsia="it-IT"/>
        </w:rPr>
      </w:pPr>
      <w:r w:rsidRPr="00495684">
        <w:rPr>
          <w:rFonts w:ascii="Garamond" w:hAnsi="Garamond"/>
          <w:b/>
          <w:sz w:val="24"/>
          <w:szCs w:val="24"/>
          <w:lang w:val="sq-AL" w:eastAsia="it-IT"/>
        </w:rPr>
        <w:t xml:space="preserve">I. Paketimi i materialeve të bimës së </w:t>
      </w:r>
      <w:r w:rsidRPr="00495684">
        <w:rPr>
          <w:rFonts w:ascii="Garamond" w:hAnsi="Garamond"/>
          <w:b/>
          <w:i/>
          <w:iCs/>
          <w:sz w:val="24"/>
          <w:szCs w:val="24"/>
          <w:lang w:val="sq-AL" w:eastAsia="it-IT"/>
        </w:rPr>
        <w:t>cannabis</w:t>
      </w:r>
      <w:r w:rsidRPr="00495684">
        <w:rPr>
          <w:rFonts w:ascii="Garamond" w:hAnsi="Garamond"/>
          <w:b/>
          <w:sz w:val="24"/>
          <w:szCs w:val="24"/>
          <w:lang w:val="sq-AL" w:eastAsia="it-IT"/>
        </w:rPr>
        <w:t>-it, nënprodukteve dhe produkteve përfundimtare të tij</w:t>
      </w:r>
    </w:p>
    <w:p w14:paraId="034B4908" w14:textId="62D9C346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1. Kriteret e përgjithshme lidhur me paketimin janë si më poshtë:</w:t>
      </w:r>
    </w:p>
    <w:p w14:paraId="7A3D5C05" w14:textId="4C5251DD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a) të jetë rezistent ndaj dëmtimeve;</w:t>
      </w:r>
    </w:p>
    <w:p w14:paraId="1F001ACA" w14:textId="6D5CC14E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b) të jetë opak dhe i papërshkueshëm nga drita;</w:t>
      </w:r>
    </w:p>
    <w:p w14:paraId="6210823C" w14:textId="73452791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c) të parandalojë kontaminimin e </w:t>
      </w:r>
      <w:r w:rsidRPr="00540373">
        <w:rPr>
          <w:rFonts w:ascii="Garamond" w:hAnsi="Garamond"/>
          <w:bCs/>
          <w:i/>
          <w:iCs/>
          <w:sz w:val="24"/>
          <w:szCs w:val="24"/>
          <w:lang w:val="sq-AL" w:eastAsia="it-IT"/>
        </w:rPr>
        <w:t>cannabis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>-it;</w:t>
      </w:r>
    </w:p>
    <w:p w14:paraId="2E61233F" w14:textId="32EA6091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ç)</w:t>
      </w:r>
      <w:r w:rsidR="00540373"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në rastet kur produkti që paketohet është bima e tharë e </w:t>
      </w:r>
      <w:r w:rsidRPr="00540373">
        <w:rPr>
          <w:rFonts w:ascii="Garamond" w:hAnsi="Garamond"/>
          <w:bCs/>
          <w:i/>
          <w:iCs/>
          <w:sz w:val="24"/>
          <w:szCs w:val="24"/>
          <w:lang w:val="sq-AL" w:eastAsia="it-IT"/>
        </w:rPr>
        <w:t>cannabis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>-it, duhet të garantojë ruajtjen e tij në kushte të thata;</w:t>
      </w:r>
    </w:p>
    <w:p w14:paraId="5F91ED7E" w14:textId="6B7E7994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d) të jetë i shoqëruar me elemente sigurie</w:t>
      </w:r>
      <w:r w:rsidR="00E9655A">
        <w:rPr>
          <w:rFonts w:ascii="Garamond" w:hAnsi="Garamond"/>
          <w:bCs/>
          <w:sz w:val="24"/>
          <w:szCs w:val="24"/>
          <w:lang w:val="sq-AL" w:eastAsia="it-IT"/>
        </w:rPr>
        <w:t>,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që garantojnë konsumatorin se produkti i paketuar nuk është hapur para dorëzimit;</w:t>
      </w:r>
    </w:p>
    <w:p w14:paraId="7C50F128" w14:textId="2C79FCD6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dh) të jetë prej materiali inert (kimikisht inaktiv)</w:t>
      </w:r>
      <w:r w:rsidR="00540373"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>dhe që nuk çliron substanca në produkt;</w:t>
      </w:r>
    </w:p>
    <w:p w14:paraId="48408B6F" w14:textId="61328FDA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e) pjesa e brendshme dhe e jashtme e paketimit nuk duhet të përmbajë asnjë element reklamues të subjektit kultivues apo prodhues;</w:t>
      </w:r>
    </w:p>
    <w:p w14:paraId="6F31FD8F" w14:textId="77777777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ë) ngjyra e sipërfaqeve të brendshme dhe të jashtme të paketimit duhet të jetë e njëtrajtshme dhe të plotësojë kriteret e mëposhtme:</w:t>
      </w:r>
    </w:p>
    <w:p w14:paraId="6BD947CA" w14:textId="79140FCB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i. të mos vishet me shtresë metalike ose të përmbajë element</w:t>
      </w:r>
      <w:r w:rsidR="00E9655A">
        <w:rPr>
          <w:rFonts w:ascii="Garamond" w:hAnsi="Garamond"/>
          <w:bCs/>
          <w:sz w:val="24"/>
          <w:szCs w:val="24"/>
          <w:lang w:val="sq-AL" w:eastAsia="it-IT"/>
        </w:rPr>
        <w:t xml:space="preserve">e 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>metalike në bojë</w:t>
      </w:r>
      <w:r w:rsidR="00980EBC">
        <w:rPr>
          <w:rFonts w:ascii="Garamond" w:hAnsi="Garamond"/>
          <w:bCs/>
          <w:sz w:val="24"/>
          <w:szCs w:val="24"/>
          <w:lang w:val="sq-AL" w:eastAsia="it-IT"/>
        </w:rPr>
        <w:t>;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përjashtohen këtu rastet kur paketimi i brendshëm ose i jashtëm është prej metali;</w:t>
      </w:r>
    </w:p>
    <w:p w14:paraId="09A3FF81" w14:textId="1A8B8B1D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ii. të mos jetë fluoreshente, ose të ketë përmbajtje fluoreshente në bojë, ose të përmbajë pigmente që absorbojnë rrezatim ultraviolet dhe e çlirojnë si rrezatim me valë më të gjatë (si seria Pantone 800);</w:t>
      </w:r>
    </w:p>
    <w:p w14:paraId="738DB9B9" w14:textId="0EC4CF42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iii. duhet të krijojnë kontrast të mjaftueshëm me simbolin që sinjalizon rrezikun për shëndetin dhe simbolin e </w:t>
      </w:r>
      <w:r w:rsidRPr="00540373">
        <w:rPr>
          <w:rFonts w:ascii="Garamond" w:hAnsi="Garamond"/>
          <w:bCs/>
          <w:i/>
          <w:iCs/>
          <w:sz w:val="24"/>
          <w:szCs w:val="24"/>
          <w:lang w:val="sq-AL" w:eastAsia="it-IT"/>
        </w:rPr>
        <w:t>cannabis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>-it;</w:t>
      </w:r>
    </w:p>
    <w:p w14:paraId="1F1AE173" w14:textId="4899B5CE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f) tekstura e sipërfaqeve paketuese duhet të jetë e njëtrajtshme, pa relieve, riga dekorative, gdhendje apo element</w:t>
      </w:r>
      <w:r w:rsidR="0056010F">
        <w:rPr>
          <w:rFonts w:ascii="Garamond" w:hAnsi="Garamond"/>
          <w:bCs/>
          <w:sz w:val="24"/>
          <w:szCs w:val="24"/>
          <w:lang w:val="sq-AL" w:eastAsia="it-IT"/>
        </w:rPr>
        <w:t>e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të tjer</w:t>
      </w:r>
      <w:r w:rsidR="0056010F">
        <w:rPr>
          <w:rFonts w:ascii="Garamond" w:hAnsi="Garamond"/>
          <w:bCs/>
          <w:sz w:val="24"/>
          <w:szCs w:val="24"/>
          <w:lang w:val="sq-AL" w:eastAsia="it-IT"/>
        </w:rPr>
        <w:t>a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parregullsie, përjashtohen këtu element</w:t>
      </w:r>
      <w:r w:rsidR="0056010F">
        <w:rPr>
          <w:rFonts w:ascii="Garamond" w:hAnsi="Garamond"/>
          <w:bCs/>
          <w:sz w:val="24"/>
          <w:szCs w:val="24"/>
          <w:lang w:val="sq-AL" w:eastAsia="it-IT"/>
        </w:rPr>
        <w:t>e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>t e nevojsh</w:t>
      </w:r>
      <w:r w:rsidR="0056010F">
        <w:rPr>
          <w:rFonts w:ascii="Garamond" w:hAnsi="Garamond"/>
          <w:bCs/>
          <w:sz w:val="24"/>
          <w:szCs w:val="24"/>
          <w:lang w:val="sq-AL" w:eastAsia="it-IT"/>
        </w:rPr>
        <w:t xml:space="preserve">me 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>për të lehtësuar hapjen e paketimit</w:t>
      </w:r>
      <w:r w:rsidR="00107A24">
        <w:rPr>
          <w:rFonts w:ascii="Garamond" w:hAnsi="Garamond"/>
          <w:bCs/>
          <w:sz w:val="24"/>
          <w:szCs w:val="24"/>
          <w:lang w:val="sq-AL" w:eastAsia="it-IT"/>
        </w:rPr>
        <w:t>,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ose për të sinjalizuar personat me aftësi të kufizuara;</w:t>
      </w:r>
    </w:p>
    <w:p w14:paraId="6547BA56" w14:textId="3C2AE817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g) asnjë pjesë e paketimit nuk duhet të përmbajë element</w:t>
      </w:r>
      <w:r w:rsidR="00EC45CD">
        <w:rPr>
          <w:rFonts w:ascii="Garamond" w:hAnsi="Garamond"/>
          <w:bCs/>
          <w:sz w:val="24"/>
          <w:szCs w:val="24"/>
          <w:lang w:val="sq-AL" w:eastAsia="it-IT"/>
        </w:rPr>
        <w:t>e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të fshehur</w:t>
      </w:r>
      <w:r w:rsidR="00EC45CD">
        <w:rPr>
          <w:rFonts w:ascii="Garamond" w:hAnsi="Garamond"/>
          <w:bCs/>
          <w:sz w:val="24"/>
          <w:szCs w:val="24"/>
          <w:lang w:val="sq-AL" w:eastAsia="it-IT"/>
        </w:rPr>
        <w:t>a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të krijuar</w:t>
      </w:r>
      <w:r w:rsidR="00EC45CD">
        <w:rPr>
          <w:rFonts w:ascii="Garamond" w:hAnsi="Garamond"/>
          <w:bCs/>
          <w:sz w:val="24"/>
          <w:szCs w:val="24"/>
          <w:lang w:val="sq-AL" w:eastAsia="it-IT"/>
        </w:rPr>
        <w:t>a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për të ndryshuar pamjen e tij, si bojë që aktivizohet në nxehtësi apo element</w:t>
      </w:r>
      <w:r w:rsidR="00EC45CD">
        <w:rPr>
          <w:rFonts w:ascii="Garamond" w:hAnsi="Garamond"/>
          <w:bCs/>
          <w:sz w:val="24"/>
          <w:szCs w:val="24"/>
          <w:lang w:val="sq-AL" w:eastAsia="it-IT"/>
        </w:rPr>
        <w:t>e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të tjer</w:t>
      </w:r>
      <w:r w:rsidR="00EC45CD">
        <w:rPr>
          <w:rFonts w:ascii="Garamond" w:hAnsi="Garamond"/>
          <w:bCs/>
          <w:sz w:val="24"/>
          <w:szCs w:val="24"/>
          <w:lang w:val="sq-AL" w:eastAsia="it-IT"/>
        </w:rPr>
        <w:t>a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që bëhen të dallueshëm me mjete të tjera teknologjike, përjashtohen këtu elementet që parandalojnë falsifikimin; </w:t>
      </w:r>
    </w:p>
    <w:p w14:paraId="0BC472FA" w14:textId="02775F83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gj) sipërfaqja e brendshme ose e jashtme e kontenitorëve mbajtës të produkteve apo paketimi i jashtëm i tyre nuk duhet të përmbajë element</w:t>
      </w:r>
      <w:r w:rsidR="00EC45CD">
        <w:rPr>
          <w:rFonts w:ascii="Garamond" w:hAnsi="Garamond"/>
          <w:bCs/>
          <w:sz w:val="24"/>
          <w:szCs w:val="24"/>
          <w:lang w:val="sq-AL" w:eastAsia="it-IT"/>
        </w:rPr>
        <w:t>e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të krijuar për të ndryshuar sipërfaqen e kontenitorit apo paketimit të jashtëm;</w:t>
      </w:r>
    </w:p>
    <w:p w14:paraId="0A7B8C5B" w14:textId="1E71C06F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h) paketimi nuk duhet të jetë i tillë që çliron aroma;</w:t>
      </w:r>
    </w:p>
    <w:p w14:paraId="40C446FD" w14:textId="33689FF0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i) në paketim duhet të përfshihet dhe elementi i barkodit/kodit të shënjimit-gjurmimit, në format </w:t>
      </w:r>
      <w:r w:rsidR="00AC5B2B" w:rsidRPr="00540373">
        <w:rPr>
          <w:rFonts w:ascii="Garamond" w:hAnsi="Garamond"/>
          <w:bCs/>
          <w:sz w:val="24"/>
          <w:szCs w:val="24"/>
          <w:lang w:val="sq-AL" w:eastAsia="it-IT"/>
        </w:rPr>
        <w:t>drejtkëndor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dhe i printuar në ngjyra bardhezi;</w:t>
      </w:r>
    </w:p>
    <w:p w14:paraId="44E44023" w14:textId="6B1E6AAB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j) paketimi i jashtëm i tij të mos përfshijë në paketim:</w:t>
      </w:r>
    </w:p>
    <w:p w14:paraId="037D4B98" w14:textId="567DD912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i. produkte të tjera ushqimore;</w:t>
      </w:r>
    </w:p>
    <w:p w14:paraId="78C9C7A1" w14:textId="7A8D1560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ii. më shumë se një varietet </w:t>
      </w:r>
      <w:r w:rsidRPr="00540373">
        <w:rPr>
          <w:rFonts w:ascii="Garamond" w:hAnsi="Garamond"/>
          <w:bCs/>
          <w:i/>
          <w:iCs/>
          <w:sz w:val="24"/>
          <w:szCs w:val="24"/>
          <w:lang w:val="sq-AL" w:eastAsia="it-IT"/>
        </w:rPr>
        <w:t>cannabis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>-i;</w:t>
      </w:r>
    </w:p>
    <w:p w14:paraId="6FFC5B47" w14:textId="2BFAF8AA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iii. më shumë se një paketim parësor, përjashtim bëjnë rastet kur paketohen me paketimin parësor produkte ushqimore me përmbajtje </w:t>
      </w:r>
      <w:r w:rsidRPr="00540373">
        <w:rPr>
          <w:rFonts w:ascii="Garamond" w:hAnsi="Garamond"/>
          <w:bCs/>
          <w:i/>
          <w:iCs/>
          <w:sz w:val="24"/>
          <w:szCs w:val="24"/>
          <w:lang w:val="sq-AL" w:eastAsia="it-IT"/>
        </w:rPr>
        <w:t>cannabis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-i të ndara në njësi </w:t>
      </w:r>
      <w:r w:rsidR="003006E6" w:rsidRPr="00540373">
        <w:rPr>
          <w:rFonts w:ascii="Garamond" w:hAnsi="Garamond"/>
          <w:bCs/>
          <w:sz w:val="24"/>
          <w:szCs w:val="24"/>
          <w:lang w:val="sq-AL" w:eastAsia="it-IT"/>
        </w:rPr>
        <w:t>individuale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, totali i të cilave nuk kalon limitin e lejuar të THC totale në varësi të vendit importues. </w:t>
      </w:r>
    </w:p>
    <w:p w14:paraId="3F46B34C" w14:textId="5199AC24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2. Për bimën e </w:t>
      </w:r>
      <w:r w:rsidRPr="00540373">
        <w:rPr>
          <w:rFonts w:ascii="Garamond" w:hAnsi="Garamond"/>
          <w:bCs/>
          <w:i/>
          <w:iCs/>
          <w:sz w:val="24"/>
          <w:szCs w:val="24"/>
          <w:lang w:val="sq-AL" w:eastAsia="it-IT"/>
        </w:rPr>
        <w:t>cannabis-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>it, që tregtohen me shumicë paketimi:</w:t>
      </w:r>
    </w:p>
    <w:p w14:paraId="165931DE" w14:textId="7E556A4D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a</w:t>
      </w:r>
      <w:r w:rsidR="00495684">
        <w:rPr>
          <w:rFonts w:ascii="Garamond" w:hAnsi="Garamond"/>
          <w:bCs/>
          <w:sz w:val="24"/>
          <w:szCs w:val="24"/>
          <w:lang w:val="sq-AL" w:eastAsia="it-IT"/>
        </w:rPr>
        <w:t>)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duhet të sigurojë transportin e sigurt të përmbajtjes së tij;</w:t>
      </w:r>
    </w:p>
    <w:p w14:paraId="76DAE185" w14:textId="6BDD8256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b</w:t>
      </w:r>
      <w:r w:rsidR="00495684">
        <w:rPr>
          <w:rFonts w:ascii="Garamond" w:hAnsi="Garamond"/>
          <w:bCs/>
          <w:sz w:val="24"/>
          <w:szCs w:val="24"/>
          <w:lang w:val="sq-AL" w:eastAsia="it-IT"/>
        </w:rPr>
        <w:t>)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realizohet në paketime me vakum ose fuçi të mbyllura hermetikisht dhe rezistente ndaj dritës, për lulet e </w:t>
      </w:r>
      <w:r w:rsidRPr="00540373">
        <w:rPr>
          <w:rFonts w:ascii="Garamond" w:hAnsi="Garamond"/>
          <w:bCs/>
          <w:i/>
          <w:iCs/>
          <w:sz w:val="24"/>
          <w:szCs w:val="24"/>
          <w:lang w:val="sq-AL" w:eastAsia="it-IT"/>
        </w:rPr>
        <w:t>cannabis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>-it dhe nënproduktet e kanabisit për përdorim të mëtejshëm në industrinë farmaceutike, ushqimore ose atë kozmetike;</w:t>
      </w:r>
    </w:p>
    <w:p w14:paraId="460A9D48" w14:textId="5090B1C9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lastRenderedPageBreak/>
        <w:t>c</w:t>
      </w:r>
      <w:r w:rsidR="00495684">
        <w:rPr>
          <w:rFonts w:ascii="Garamond" w:hAnsi="Garamond"/>
          <w:bCs/>
          <w:sz w:val="24"/>
          <w:szCs w:val="24"/>
          <w:lang w:val="sq-AL" w:eastAsia="it-IT"/>
        </w:rPr>
        <w:t>)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realizohet në thasë ose</w:t>
      </w:r>
      <w:r w:rsidR="00495684">
        <w:rPr>
          <w:rFonts w:ascii="Garamond" w:hAnsi="Garamond"/>
          <w:bCs/>
          <w:sz w:val="24"/>
          <w:szCs w:val="24"/>
          <w:lang w:val="sq-AL" w:eastAsia="it-IT"/>
        </w:rPr>
        <w:t xml:space="preserve"> me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arka të mëdha për pjesët e tjera të bimës së </w:t>
      </w:r>
      <w:r w:rsidRPr="00540373">
        <w:rPr>
          <w:rFonts w:ascii="Garamond" w:hAnsi="Garamond"/>
          <w:bCs/>
          <w:i/>
          <w:iCs/>
          <w:sz w:val="24"/>
          <w:szCs w:val="24"/>
          <w:lang w:val="sq-AL" w:eastAsia="it-IT"/>
        </w:rPr>
        <w:t>cannabis-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>it</w:t>
      </w:r>
      <w:r w:rsidR="00495684">
        <w:rPr>
          <w:rFonts w:ascii="Garamond" w:hAnsi="Garamond"/>
          <w:bCs/>
          <w:sz w:val="24"/>
          <w:szCs w:val="24"/>
          <w:lang w:val="sq-AL" w:eastAsia="it-IT"/>
        </w:rPr>
        <w:t>,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si kërcelli, farat ose nënproduktet e tyre për përdorim industrial, përveç përdorimeve të përmendura në shkronjën “b” të kësaj pike. </w:t>
      </w:r>
    </w:p>
    <w:p w14:paraId="2040B7A3" w14:textId="56224F33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3. Për bimën e </w:t>
      </w:r>
      <w:r w:rsidRPr="00540373">
        <w:rPr>
          <w:rFonts w:ascii="Garamond" w:hAnsi="Garamond"/>
          <w:bCs/>
          <w:i/>
          <w:iCs/>
          <w:sz w:val="24"/>
          <w:szCs w:val="24"/>
          <w:lang w:val="sq-AL" w:eastAsia="it-IT"/>
        </w:rPr>
        <w:t>cannabis-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>it, që do të tregtohen me pakicë, paketimi:</w:t>
      </w:r>
    </w:p>
    <w:p w14:paraId="6DD1B1F1" w14:textId="00575E47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a</w:t>
      </w:r>
      <w:r w:rsidR="00495684">
        <w:rPr>
          <w:rFonts w:ascii="Garamond" w:hAnsi="Garamond"/>
          <w:bCs/>
          <w:sz w:val="24"/>
          <w:szCs w:val="24"/>
          <w:lang w:val="sq-AL" w:eastAsia="it-IT"/>
        </w:rPr>
        <w:t>)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duhet të pajiset me vula sigurie;</w:t>
      </w:r>
    </w:p>
    <w:p w14:paraId="20A46091" w14:textId="4D64154E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b</w:t>
      </w:r>
      <w:r w:rsidR="00495684">
        <w:rPr>
          <w:rFonts w:ascii="Garamond" w:hAnsi="Garamond"/>
          <w:bCs/>
          <w:sz w:val="24"/>
          <w:szCs w:val="24"/>
          <w:lang w:val="sq-AL" w:eastAsia="it-IT"/>
        </w:rPr>
        <w:t>)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të parandalojë aksesin nga të miturit;</w:t>
      </w:r>
    </w:p>
    <w:p w14:paraId="5D195172" w14:textId="41D5FAEE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c</w:t>
      </w:r>
      <w:r w:rsidR="00495684">
        <w:rPr>
          <w:rFonts w:ascii="Garamond" w:hAnsi="Garamond"/>
          <w:bCs/>
          <w:sz w:val="24"/>
          <w:szCs w:val="24"/>
          <w:lang w:val="sq-AL" w:eastAsia="it-IT"/>
        </w:rPr>
        <w:t>)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të ndahet në mënyrë të tillë që përmbajtja totale e THC</w:t>
      </w:r>
      <w:r w:rsidR="00495684">
        <w:rPr>
          <w:rFonts w:ascii="Garamond" w:hAnsi="Garamond"/>
          <w:bCs/>
          <w:sz w:val="24"/>
          <w:szCs w:val="24"/>
          <w:lang w:val="sq-AL" w:eastAsia="it-IT"/>
        </w:rPr>
        <w:t>-së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për dozë ose përmbajtja totale e THC</w:t>
      </w:r>
      <w:r w:rsidR="00495684">
        <w:rPr>
          <w:rFonts w:ascii="Garamond" w:hAnsi="Garamond"/>
          <w:bCs/>
          <w:sz w:val="24"/>
          <w:szCs w:val="24"/>
          <w:lang w:val="sq-AL" w:eastAsia="it-IT"/>
        </w:rPr>
        <w:t>-së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për paketim, të mos tejkalojë limitet e vendit importues; </w:t>
      </w:r>
    </w:p>
    <w:p w14:paraId="2F567A27" w14:textId="3074365C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ç</w:t>
      </w:r>
      <w:r w:rsidR="00495684">
        <w:rPr>
          <w:rFonts w:ascii="Garamond" w:hAnsi="Garamond"/>
          <w:bCs/>
          <w:sz w:val="24"/>
          <w:szCs w:val="24"/>
          <w:lang w:val="sq-AL" w:eastAsia="it-IT"/>
        </w:rPr>
        <w:t>)</w:t>
      </w:r>
      <w:r w:rsidR="00540373"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>të reflektojë në mënyrë të saktë në etiketë sasinë e THC</w:t>
      </w:r>
      <w:r w:rsidR="00495684">
        <w:rPr>
          <w:rFonts w:ascii="Garamond" w:hAnsi="Garamond"/>
          <w:bCs/>
          <w:sz w:val="24"/>
          <w:szCs w:val="24"/>
          <w:lang w:val="sq-AL" w:eastAsia="it-IT"/>
        </w:rPr>
        <w:t>-së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në përmbajtje;</w:t>
      </w:r>
    </w:p>
    <w:p w14:paraId="2398E7B0" w14:textId="01C289B1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d</w:t>
      </w:r>
      <w:r w:rsidR="00495684">
        <w:rPr>
          <w:rFonts w:ascii="Garamond" w:hAnsi="Garamond"/>
          <w:bCs/>
          <w:sz w:val="24"/>
          <w:szCs w:val="24"/>
          <w:lang w:val="sq-AL" w:eastAsia="it-IT"/>
        </w:rPr>
        <w:t>)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të përshtatet me formën dhe </w:t>
      </w:r>
      <w:r w:rsidR="00495684">
        <w:rPr>
          <w:rFonts w:ascii="Garamond" w:hAnsi="Garamond"/>
          <w:bCs/>
          <w:sz w:val="24"/>
          <w:szCs w:val="24"/>
          <w:lang w:val="sq-AL" w:eastAsia="it-IT"/>
        </w:rPr>
        <w:t xml:space="preserve">me 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mënyrën e përdorimit të pjesës së bimës së </w:t>
      </w:r>
      <w:r w:rsidRPr="00540373">
        <w:rPr>
          <w:rFonts w:ascii="Garamond" w:hAnsi="Garamond"/>
          <w:bCs/>
          <w:i/>
          <w:iCs/>
          <w:sz w:val="24"/>
          <w:szCs w:val="24"/>
          <w:lang w:val="sq-AL" w:eastAsia="it-IT"/>
        </w:rPr>
        <w:t>cannabis-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it, nënproduktit apo produktit që paketohet. </w:t>
      </w:r>
    </w:p>
    <w:p w14:paraId="3BFD0349" w14:textId="1F290599" w:rsidR="000472F7" w:rsidRPr="00495684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 w:eastAsia="it-IT"/>
        </w:rPr>
      </w:pPr>
      <w:r w:rsidRPr="00495684">
        <w:rPr>
          <w:rFonts w:ascii="Garamond" w:hAnsi="Garamond"/>
          <w:b/>
          <w:sz w:val="24"/>
          <w:szCs w:val="24"/>
          <w:lang w:val="sq-AL" w:eastAsia="it-IT"/>
        </w:rPr>
        <w:t xml:space="preserve">II. Etiketimi i materialeve të bimës së </w:t>
      </w:r>
      <w:r w:rsidRPr="00495684">
        <w:rPr>
          <w:rFonts w:ascii="Garamond" w:hAnsi="Garamond"/>
          <w:b/>
          <w:i/>
          <w:iCs/>
          <w:sz w:val="24"/>
          <w:szCs w:val="24"/>
          <w:lang w:val="sq-AL" w:eastAsia="it-IT"/>
        </w:rPr>
        <w:t>cannabi</w:t>
      </w:r>
      <w:r w:rsidRPr="00495684">
        <w:rPr>
          <w:rFonts w:ascii="Garamond" w:hAnsi="Garamond"/>
          <w:b/>
          <w:sz w:val="24"/>
          <w:szCs w:val="24"/>
          <w:lang w:val="sq-AL" w:eastAsia="it-IT"/>
        </w:rPr>
        <w:t>s-it, nënprodukteve dhe produkteve përfundimtare</w:t>
      </w:r>
    </w:p>
    <w:p w14:paraId="7473D1C5" w14:textId="2A7E0DE4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1. Etiketa duhet të përmbajë element</w:t>
      </w:r>
      <w:r w:rsidR="00495684">
        <w:rPr>
          <w:rFonts w:ascii="Garamond" w:hAnsi="Garamond"/>
          <w:bCs/>
          <w:sz w:val="24"/>
          <w:szCs w:val="24"/>
          <w:lang w:val="sq-AL" w:eastAsia="it-IT"/>
        </w:rPr>
        <w:t>e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>t e parashikuar</w:t>
      </w:r>
      <w:r w:rsidR="00495684">
        <w:rPr>
          <w:rFonts w:ascii="Garamond" w:hAnsi="Garamond"/>
          <w:bCs/>
          <w:sz w:val="24"/>
          <w:szCs w:val="24"/>
          <w:lang w:val="sq-AL" w:eastAsia="it-IT"/>
        </w:rPr>
        <w:t>a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në pikën 6 të nenit 28, si dhe karakteristikat e mëposhtme: </w:t>
      </w:r>
    </w:p>
    <w:p w14:paraId="1A4372FF" w14:textId="40E79AE7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a) emërtimi kimik/xhenerik/zyrtar;</w:t>
      </w:r>
    </w:p>
    <w:p w14:paraId="289F6100" w14:textId="63609BBF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b) emërtimi tregtar, nëse ka;</w:t>
      </w:r>
    </w:p>
    <w:p w14:paraId="055917F8" w14:textId="200343A2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c) nr. i licencës/lejes së subjektit prodhues;</w:t>
      </w:r>
    </w:p>
    <w:p w14:paraId="45F925D6" w14:textId="3875F0B9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ç)</w:t>
      </w:r>
      <w:r w:rsidR="00540373"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>numri i lotit;</w:t>
      </w:r>
    </w:p>
    <w:p w14:paraId="022D6B0C" w14:textId="0D017424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d) kushtet e ruajtjes: </w:t>
      </w:r>
      <w:r w:rsidR="00495684">
        <w:rPr>
          <w:rFonts w:ascii="Garamond" w:hAnsi="Garamond"/>
          <w:bCs/>
          <w:sz w:val="24"/>
          <w:szCs w:val="24"/>
          <w:lang w:val="sq-AL" w:eastAsia="it-IT"/>
        </w:rPr>
        <w:t>u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referohen element</w:t>
      </w:r>
      <w:r w:rsidR="00495684">
        <w:rPr>
          <w:rFonts w:ascii="Garamond" w:hAnsi="Garamond"/>
          <w:bCs/>
          <w:sz w:val="24"/>
          <w:szCs w:val="24"/>
          <w:lang w:val="sq-AL" w:eastAsia="it-IT"/>
        </w:rPr>
        <w:t>e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>ve të temperaturës</w:t>
      </w:r>
      <w:r w:rsidR="00495684">
        <w:rPr>
          <w:rFonts w:ascii="Garamond" w:hAnsi="Garamond"/>
          <w:bCs/>
          <w:sz w:val="24"/>
          <w:szCs w:val="24"/>
          <w:lang w:val="sq-AL" w:eastAsia="it-IT"/>
        </w:rPr>
        <w:t>,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të dritës ose </w:t>
      </w:r>
      <w:r w:rsidR="00495684">
        <w:rPr>
          <w:rFonts w:ascii="Garamond" w:hAnsi="Garamond"/>
          <w:bCs/>
          <w:sz w:val="24"/>
          <w:szCs w:val="24"/>
          <w:lang w:val="sq-AL" w:eastAsia="it-IT"/>
        </w:rPr>
        <w:t xml:space="preserve">të 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>lagështisë (p.sh., të ruhet në një vend të thatë, të shmanget drit</w:t>
      </w:r>
      <w:r w:rsidR="00495684">
        <w:rPr>
          <w:rFonts w:ascii="Garamond" w:hAnsi="Garamond"/>
          <w:bCs/>
          <w:sz w:val="24"/>
          <w:szCs w:val="24"/>
          <w:lang w:val="sq-AL" w:eastAsia="it-IT"/>
        </w:rPr>
        <w:t>a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direkte etj</w:t>
      </w:r>
      <w:r w:rsidR="00EE6FE3">
        <w:rPr>
          <w:rFonts w:ascii="Garamond" w:hAnsi="Garamond"/>
          <w:bCs/>
          <w:sz w:val="24"/>
          <w:szCs w:val="24"/>
          <w:lang w:val="sq-AL" w:eastAsia="it-IT"/>
        </w:rPr>
        <w:t>.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>);</w:t>
      </w:r>
    </w:p>
    <w:p w14:paraId="237058D8" w14:textId="77777777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dh) sasia neto e masës së thatë: pesha neto e bimës së </w:t>
      </w:r>
      <w:r w:rsidRPr="00540373">
        <w:rPr>
          <w:rFonts w:ascii="Garamond" w:hAnsi="Garamond"/>
          <w:bCs/>
          <w:i/>
          <w:iCs/>
          <w:sz w:val="24"/>
          <w:szCs w:val="24"/>
          <w:lang w:val="sq-AL" w:eastAsia="it-IT"/>
        </w:rPr>
        <w:t>cannabis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-it e shprehur në vlera numerike me njësi gram ose kilogram dhe në kufijtë e tolerancës: </w:t>
      </w:r>
    </w:p>
    <w:p w14:paraId="280D13C4" w14:textId="7385F6D8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i. për sasi nga 0 g deri në 2 g toleranca në përqindje është 10%</w:t>
      </w:r>
      <w:r w:rsidR="00495684">
        <w:rPr>
          <w:rFonts w:ascii="Garamond" w:hAnsi="Garamond"/>
          <w:bCs/>
          <w:sz w:val="24"/>
          <w:szCs w:val="24"/>
          <w:lang w:val="sq-AL" w:eastAsia="it-IT"/>
        </w:rPr>
        <w:t>;</w:t>
      </w:r>
    </w:p>
    <w:p w14:paraId="18BC00A6" w14:textId="2A347AB8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ii. për sasi më shumë se 2 g toleranca në përqindje është 5%.</w:t>
      </w:r>
    </w:p>
    <w:p w14:paraId="7F71ADDA" w14:textId="3DE40775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e) </w:t>
      </w:r>
      <w:r w:rsidR="003006E6" w:rsidRPr="00540373">
        <w:rPr>
          <w:rFonts w:ascii="Garamond" w:hAnsi="Garamond"/>
          <w:bCs/>
          <w:sz w:val="24"/>
          <w:szCs w:val="24"/>
          <w:lang w:val="sq-AL" w:eastAsia="it-IT"/>
        </w:rPr>
        <w:t>përqendrimi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total i THC</w:t>
      </w:r>
      <w:r w:rsidR="00495684">
        <w:rPr>
          <w:rFonts w:ascii="Garamond" w:hAnsi="Garamond"/>
          <w:bCs/>
          <w:sz w:val="24"/>
          <w:szCs w:val="24"/>
          <w:lang w:val="sq-AL" w:eastAsia="it-IT"/>
        </w:rPr>
        <w:t>-së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dhe </w:t>
      </w:r>
      <w:r w:rsidR="003006E6" w:rsidRPr="00540373">
        <w:rPr>
          <w:rFonts w:ascii="Garamond" w:hAnsi="Garamond"/>
          <w:bCs/>
          <w:sz w:val="24"/>
          <w:szCs w:val="24"/>
          <w:lang w:val="sq-AL" w:eastAsia="it-IT"/>
        </w:rPr>
        <w:t>përqendrimi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total i CBD</w:t>
      </w:r>
      <w:r w:rsidR="00495684">
        <w:rPr>
          <w:rFonts w:ascii="Garamond" w:hAnsi="Garamond"/>
          <w:bCs/>
          <w:sz w:val="24"/>
          <w:szCs w:val="24"/>
          <w:lang w:val="sq-AL" w:eastAsia="it-IT"/>
        </w:rPr>
        <w:t>-së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>, për çdo njësi dhe për të gjithë sasinë e paketuar;</w:t>
      </w:r>
      <w:r w:rsidR="00540373"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</w:t>
      </w:r>
    </w:p>
    <w:p w14:paraId="47278453" w14:textId="7422A3A4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ë)</w:t>
      </w:r>
      <w:r w:rsidR="00540373"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>mënyra dhe qëllimi i përdorimit;</w:t>
      </w:r>
    </w:p>
    <w:p w14:paraId="520C2F01" w14:textId="4EB72A7E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f) paralajmërimet për t’u mbajtur larg fëmijëve;</w:t>
      </w:r>
    </w:p>
    <w:p w14:paraId="387424D0" w14:textId="0936A219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g) paralajmërimet për rreziqet për shëndetin; </w:t>
      </w:r>
    </w:p>
    <w:p w14:paraId="5AB5052B" w14:textId="77777777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gj) përmbajtjen e lëndëve shtesë, nëse ka;</w:t>
      </w:r>
    </w:p>
    <w:p w14:paraId="6D943901" w14:textId="6FFEEC71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h) përmbajtjen e vlerave ushqyese, burimet e alergjeneve dhe përmbajtjen e sulfiteve</w:t>
      </w:r>
      <w:r w:rsidR="00495684">
        <w:rPr>
          <w:rFonts w:ascii="Garamond" w:hAnsi="Garamond"/>
          <w:bCs/>
          <w:sz w:val="24"/>
          <w:szCs w:val="24"/>
          <w:lang w:val="sq-AL" w:eastAsia="it-IT"/>
        </w:rPr>
        <w:t>,</w:t>
      </w:r>
      <w:r w:rsidRPr="00540373">
        <w:rPr>
          <w:rFonts w:ascii="Garamond" w:hAnsi="Garamond"/>
          <w:bCs/>
          <w:sz w:val="24"/>
          <w:szCs w:val="24"/>
          <w:lang w:val="sq-AL" w:eastAsia="it-IT"/>
        </w:rPr>
        <w:t xml:space="preserve"> nëse qëllimi i përdorimit është për konsum;</w:t>
      </w:r>
    </w:p>
    <w:p w14:paraId="6A5BDB43" w14:textId="240A42A3" w:rsidR="000472F7" w:rsidRPr="00540373" w:rsidRDefault="000472F7" w:rsidP="000472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it-IT"/>
        </w:rPr>
      </w:pPr>
      <w:r w:rsidRPr="00540373">
        <w:rPr>
          <w:rFonts w:ascii="Garamond" w:hAnsi="Garamond"/>
          <w:bCs/>
          <w:sz w:val="24"/>
          <w:szCs w:val="24"/>
          <w:lang w:val="sq-AL" w:eastAsia="it-IT"/>
        </w:rPr>
        <w:t>i) barkod/kodi i shënjimit-gjurmimit.</w:t>
      </w:r>
    </w:p>
    <w:sectPr w:rsidR="000472F7" w:rsidRPr="00540373" w:rsidSect="00210736">
      <w:footerReference w:type="default" r:id="rId17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BBA75A" w14:textId="77777777" w:rsidR="00080747" w:rsidRDefault="00080747" w:rsidP="001B134F">
      <w:pPr>
        <w:spacing w:after="0" w:line="240" w:lineRule="auto"/>
      </w:pPr>
      <w:r>
        <w:separator/>
      </w:r>
    </w:p>
  </w:endnote>
  <w:endnote w:type="continuationSeparator" w:id="0">
    <w:p w14:paraId="73CA70F3" w14:textId="77777777" w:rsidR="00080747" w:rsidRDefault="00080747" w:rsidP="001B134F">
      <w:pPr>
        <w:spacing w:after="0" w:line="240" w:lineRule="auto"/>
      </w:pPr>
      <w:r>
        <w:continuationSeparator/>
      </w:r>
    </w:p>
  </w:endnote>
  <w:endnote w:type="continuationNotice" w:id="1">
    <w:p w14:paraId="4081F1A8" w14:textId="77777777" w:rsidR="00080747" w:rsidRDefault="000807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8513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5D88BB" w14:textId="50BD2745" w:rsidR="00080747" w:rsidRDefault="0008074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856416" w14:textId="77777777" w:rsidR="00080747" w:rsidRPr="00D27590" w:rsidRDefault="00080747">
    <w:pPr>
      <w:pStyle w:val="Foo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2EFDB4" w14:textId="77777777" w:rsidR="00080747" w:rsidRDefault="00080747" w:rsidP="001B134F">
      <w:pPr>
        <w:spacing w:after="0" w:line="240" w:lineRule="auto"/>
      </w:pPr>
      <w:r>
        <w:separator/>
      </w:r>
    </w:p>
  </w:footnote>
  <w:footnote w:type="continuationSeparator" w:id="0">
    <w:p w14:paraId="38BFADCB" w14:textId="77777777" w:rsidR="00080747" w:rsidRDefault="00080747" w:rsidP="001B134F">
      <w:pPr>
        <w:spacing w:after="0" w:line="240" w:lineRule="auto"/>
      </w:pPr>
      <w:r>
        <w:continuationSeparator/>
      </w:r>
    </w:p>
  </w:footnote>
  <w:footnote w:type="continuationNotice" w:id="1">
    <w:p w14:paraId="09965A93" w14:textId="77777777" w:rsidR="00080747" w:rsidRDefault="0008074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F092B84"/>
    <w:multiLevelType w:val="multilevel"/>
    <w:tmpl w:val="CF092B84"/>
    <w:lvl w:ilvl="0">
      <w:start w:val="1"/>
      <w:numFmt w:val="decimal"/>
      <w:lvlText w:val="%1."/>
      <w:lvlJc w:val="left"/>
      <w:pPr>
        <w:ind w:left="1243" w:hanging="328"/>
      </w:pPr>
      <w:rPr>
        <w:rFonts w:hint="default"/>
        <w:spacing w:val="0"/>
        <w:w w:val="101"/>
        <w:lang w:val="sq-AL" w:eastAsia="en-US" w:bidi="ar-SA"/>
      </w:rPr>
    </w:lvl>
    <w:lvl w:ilvl="1">
      <w:start w:val="1"/>
      <w:numFmt w:val="decimal"/>
      <w:lvlText w:val="%1.%2"/>
      <w:lvlJc w:val="left"/>
      <w:pPr>
        <w:ind w:left="1565" w:hanging="427"/>
      </w:pPr>
      <w:rPr>
        <w:rFonts w:hint="default"/>
        <w:spacing w:val="0"/>
        <w:w w:val="102"/>
        <w:lang w:val="sq-AL" w:eastAsia="en-US" w:bidi="ar-SA"/>
      </w:rPr>
    </w:lvl>
    <w:lvl w:ilvl="2">
      <w:start w:val="1"/>
      <w:numFmt w:val="decimal"/>
      <w:lvlText w:val="%1.%2.%3"/>
      <w:lvlJc w:val="left"/>
      <w:pPr>
        <w:ind w:left="1509" w:hanging="427"/>
        <w:jc w:val="right"/>
      </w:pPr>
      <w:rPr>
        <w:rFonts w:hint="default"/>
        <w:spacing w:val="0"/>
        <w:w w:val="104"/>
        <w:lang w:val="sq-AL" w:eastAsia="en-US" w:bidi="ar-SA"/>
      </w:rPr>
    </w:lvl>
    <w:lvl w:ilvl="3">
      <w:start w:val="1"/>
      <w:numFmt w:val="decimal"/>
      <w:lvlText w:val="%1.%2.%3.%4"/>
      <w:lvlJc w:val="left"/>
      <w:pPr>
        <w:ind w:left="1392" w:hanging="427"/>
        <w:jc w:val="right"/>
      </w:pPr>
      <w:rPr>
        <w:rFonts w:hint="default"/>
        <w:spacing w:val="0"/>
        <w:w w:val="101"/>
        <w:lang w:val="sq-AL" w:eastAsia="en-US" w:bidi="ar-SA"/>
      </w:rPr>
    </w:lvl>
    <w:lvl w:ilvl="4">
      <w:start w:val="1"/>
      <w:numFmt w:val="decimal"/>
      <w:lvlText w:val="%1.%2.%3.%4.%5"/>
      <w:lvlJc w:val="left"/>
      <w:pPr>
        <w:ind w:left="1639" w:hanging="427"/>
        <w:jc w:val="right"/>
      </w:pPr>
      <w:rPr>
        <w:rFonts w:hint="default"/>
        <w:spacing w:val="0"/>
        <w:w w:val="98"/>
        <w:lang w:val="sq-AL" w:eastAsia="en-US" w:bidi="ar-SA"/>
      </w:rPr>
    </w:lvl>
    <w:lvl w:ilvl="5">
      <w:numFmt w:val="bullet"/>
      <w:lvlText w:val="•"/>
      <w:lvlJc w:val="left"/>
      <w:pPr>
        <w:ind w:left="1460" w:hanging="427"/>
      </w:pPr>
      <w:rPr>
        <w:rFonts w:hint="default"/>
        <w:lang w:val="sq-AL" w:eastAsia="en-US" w:bidi="ar-SA"/>
      </w:rPr>
    </w:lvl>
    <w:lvl w:ilvl="6">
      <w:numFmt w:val="bullet"/>
      <w:lvlText w:val="•"/>
      <w:lvlJc w:val="left"/>
      <w:pPr>
        <w:ind w:left="1500" w:hanging="427"/>
      </w:pPr>
      <w:rPr>
        <w:rFonts w:hint="default"/>
        <w:lang w:val="sq-AL" w:eastAsia="en-US" w:bidi="ar-SA"/>
      </w:rPr>
    </w:lvl>
    <w:lvl w:ilvl="7">
      <w:numFmt w:val="bullet"/>
      <w:lvlText w:val="•"/>
      <w:lvlJc w:val="left"/>
      <w:pPr>
        <w:ind w:left="1520" w:hanging="427"/>
      </w:pPr>
      <w:rPr>
        <w:rFonts w:hint="default"/>
        <w:lang w:val="sq-AL" w:eastAsia="en-US" w:bidi="ar-SA"/>
      </w:rPr>
    </w:lvl>
    <w:lvl w:ilvl="8">
      <w:numFmt w:val="bullet"/>
      <w:lvlText w:val="•"/>
      <w:lvlJc w:val="left"/>
      <w:pPr>
        <w:ind w:left="1540" w:hanging="427"/>
      </w:pPr>
      <w:rPr>
        <w:rFonts w:hint="default"/>
        <w:lang w:val="sq-AL" w:eastAsia="en-US" w:bidi="ar-SA"/>
      </w:rPr>
    </w:lvl>
  </w:abstractNum>
  <w:abstractNum w:abstractNumId="1" w15:restartNumberingAfterBreak="0">
    <w:nsid w:val="01012753"/>
    <w:multiLevelType w:val="hybridMultilevel"/>
    <w:tmpl w:val="E6DC0A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001AB"/>
    <w:multiLevelType w:val="multilevel"/>
    <w:tmpl w:val="55005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510C0D"/>
    <w:multiLevelType w:val="hybridMultilevel"/>
    <w:tmpl w:val="A7F27312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00000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8D37EB"/>
    <w:multiLevelType w:val="hybridMultilevel"/>
    <w:tmpl w:val="BA70FF34"/>
    <w:lvl w:ilvl="0" w:tplc="B1EAF5E4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160D38"/>
    <w:multiLevelType w:val="hybridMultilevel"/>
    <w:tmpl w:val="0F06CB40"/>
    <w:lvl w:ilvl="0" w:tplc="FCE8DA0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23299"/>
    <w:multiLevelType w:val="hybridMultilevel"/>
    <w:tmpl w:val="CEBA323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7" w15:restartNumberingAfterBreak="0">
    <w:nsid w:val="0F5E3BD6"/>
    <w:multiLevelType w:val="hybridMultilevel"/>
    <w:tmpl w:val="8F82D9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DD2EF7"/>
    <w:multiLevelType w:val="hybridMultilevel"/>
    <w:tmpl w:val="F240427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1773998"/>
    <w:multiLevelType w:val="hybridMultilevel"/>
    <w:tmpl w:val="A99A1A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8A0C3F"/>
    <w:multiLevelType w:val="hybridMultilevel"/>
    <w:tmpl w:val="E90877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C27982"/>
    <w:multiLevelType w:val="hybridMultilevel"/>
    <w:tmpl w:val="DA3E11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741DEE"/>
    <w:multiLevelType w:val="hybridMultilevel"/>
    <w:tmpl w:val="C84A548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473221A"/>
    <w:multiLevelType w:val="hybridMultilevel"/>
    <w:tmpl w:val="E03CF870"/>
    <w:lvl w:ilvl="0" w:tplc="94FC0F6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F5281F"/>
    <w:multiLevelType w:val="hybridMultilevel"/>
    <w:tmpl w:val="EE385F6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5C43954"/>
    <w:multiLevelType w:val="hybridMultilevel"/>
    <w:tmpl w:val="8E4429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FD4273"/>
    <w:multiLevelType w:val="multilevel"/>
    <w:tmpl w:val="D40C6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A456F53"/>
    <w:multiLevelType w:val="hybridMultilevel"/>
    <w:tmpl w:val="3E0497D2"/>
    <w:lvl w:ilvl="0" w:tplc="FCAA9BF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6066C0"/>
    <w:multiLevelType w:val="hybridMultilevel"/>
    <w:tmpl w:val="B01A7F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CEE1F8A"/>
    <w:multiLevelType w:val="hybridMultilevel"/>
    <w:tmpl w:val="E544F9B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F273ED"/>
    <w:multiLevelType w:val="hybridMultilevel"/>
    <w:tmpl w:val="640C9DEA"/>
    <w:lvl w:ilvl="0" w:tplc="ADCAA534">
      <w:start w:val="1"/>
      <w:numFmt w:val="lowerLetter"/>
      <w:lvlText w:val="%1)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1FC6269F"/>
    <w:multiLevelType w:val="multilevel"/>
    <w:tmpl w:val="D31A3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18F2123"/>
    <w:multiLevelType w:val="hybridMultilevel"/>
    <w:tmpl w:val="4C3C0A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27479C8"/>
    <w:multiLevelType w:val="multilevel"/>
    <w:tmpl w:val="85FEF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4021106"/>
    <w:multiLevelType w:val="hybridMultilevel"/>
    <w:tmpl w:val="83328F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4616283"/>
    <w:multiLevelType w:val="multilevel"/>
    <w:tmpl w:val="044AD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61A5BAE"/>
    <w:multiLevelType w:val="multilevel"/>
    <w:tmpl w:val="E452AA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27D2709B"/>
    <w:multiLevelType w:val="hybridMultilevel"/>
    <w:tmpl w:val="606478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89D3A14"/>
    <w:multiLevelType w:val="hybridMultilevel"/>
    <w:tmpl w:val="955EBBA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29625335"/>
    <w:multiLevelType w:val="hybridMultilevel"/>
    <w:tmpl w:val="FD58D7BA"/>
    <w:lvl w:ilvl="0" w:tplc="45487196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A0A0CAD"/>
    <w:multiLevelType w:val="hybridMultilevel"/>
    <w:tmpl w:val="7D186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CF90F17"/>
    <w:multiLevelType w:val="hybridMultilevel"/>
    <w:tmpl w:val="0F06CB40"/>
    <w:lvl w:ilvl="0" w:tplc="FCE8DA0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E4A0ABC"/>
    <w:multiLevelType w:val="multilevel"/>
    <w:tmpl w:val="17A43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02F3EA8"/>
    <w:multiLevelType w:val="multilevel"/>
    <w:tmpl w:val="EDCC3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0753A06"/>
    <w:multiLevelType w:val="multilevel"/>
    <w:tmpl w:val="83641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10411D8"/>
    <w:multiLevelType w:val="hybridMultilevel"/>
    <w:tmpl w:val="6A9C432E"/>
    <w:lvl w:ilvl="0" w:tplc="31EEF9DE">
      <w:start w:val="1"/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  <w:color w:val="auto"/>
        <w:sz w:val="22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31AC5091"/>
    <w:multiLevelType w:val="hybridMultilevel"/>
    <w:tmpl w:val="BF4A1D10"/>
    <w:lvl w:ilvl="0" w:tplc="3ABE0D70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32854B83"/>
    <w:multiLevelType w:val="hybridMultilevel"/>
    <w:tmpl w:val="5BA2CD68"/>
    <w:lvl w:ilvl="0" w:tplc="C9A410DA">
      <w:start w:val="1"/>
      <w:numFmt w:val="lowerLetter"/>
      <w:lvlText w:val="%1)"/>
      <w:lvlJc w:val="left"/>
      <w:pPr>
        <w:ind w:left="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C496D2">
      <w:start w:val="1"/>
      <w:numFmt w:val="lowerLetter"/>
      <w:lvlText w:val="%2"/>
      <w:lvlJc w:val="left"/>
      <w:pPr>
        <w:ind w:left="11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9EF780">
      <w:start w:val="1"/>
      <w:numFmt w:val="lowerRoman"/>
      <w:lvlText w:val="%3"/>
      <w:lvlJc w:val="left"/>
      <w:pPr>
        <w:ind w:left="19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6CDD6C">
      <w:start w:val="1"/>
      <w:numFmt w:val="decimal"/>
      <w:lvlText w:val="%4"/>
      <w:lvlJc w:val="left"/>
      <w:pPr>
        <w:ind w:left="26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36ED3A">
      <w:start w:val="1"/>
      <w:numFmt w:val="lowerLetter"/>
      <w:lvlText w:val="%5"/>
      <w:lvlJc w:val="left"/>
      <w:pPr>
        <w:ind w:left="33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FEC2B4">
      <w:start w:val="1"/>
      <w:numFmt w:val="lowerRoman"/>
      <w:lvlText w:val="%6"/>
      <w:lvlJc w:val="left"/>
      <w:pPr>
        <w:ind w:left="40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E63864">
      <w:start w:val="1"/>
      <w:numFmt w:val="decimal"/>
      <w:lvlText w:val="%7"/>
      <w:lvlJc w:val="left"/>
      <w:pPr>
        <w:ind w:left="47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98F9E6">
      <w:start w:val="1"/>
      <w:numFmt w:val="lowerLetter"/>
      <w:lvlText w:val="%8"/>
      <w:lvlJc w:val="left"/>
      <w:pPr>
        <w:ind w:left="55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FE440C">
      <w:start w:val="1"/>
      <w:numFmt w:val="lowerRoman"/>
      <w:lvlText w:val="%9"/>
      <w:lvlJc w:val="left"/>
      <w:pPr>
        <w:ind w:left="6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3467028B"/>
    <w:multiLevelType w:val="hybridMultilevel"/>
    <w:tmpl w:val="71347C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47654D5"/>
    <w:multiLevelType w:val="hybridMultilevel"/>
    <w:tmpl w:val="5BA8A224"/>
    <w:lvl w:ilvl="0" w:tplc="5E30AA96">
      <w:start w:val="1"/>
      <w:numFmt w:val="upperRoman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B262E82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EF168">
      <w:start w:val="1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CEA65E3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4EE4200"/>
    <w:multiLevelType w:val="hybridMultilevel"/>
    <w:tmpl w:val="EA3EF5DE"/>
    <w:lvl w:ilvl="0" w:tplc="D1B6C15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0001B">
      <w:start w:val="1"/>
      <w:numFmt w:val="lowerRoman"/>
      <w:lvlText w:val="%2."/>
      <w:lvlJc w:val="right"/>
      <w:pPr>
        <w:ind w:left="1800" w:hanging="360"/>
      </w:pPr>
    </w:lvl>
    <w:lvl w:ilvl="2" w:tplc="121E6A2C">
      <w:start w:val="1"/>
      <w:numFmt w:val="decimal"/>
      <w:lvlText w:val="%3."/>
      <w:lvlJc w:val="left"/>
      <w:pPr>
        <w:ind w:left="2700" w:hanging="360"/>
      </w:pPr>
      <w:rPr>
        <w:rFonts w:eastAsia="Garamond" w:cs="Garamond" w:hint="default"/>
        <w:color w:val="000000"/>
      </w:rPr>
    </w:lvl>
    <w:lvl w:ilvl="3" w:tplc="62969368">
      <w:start w:val="1"/>
      <w:numFmt w:val="lowerLetter"/>
      <w:lvlText w:val="%4)"/>
      <w:lvlJc w:val="left"/>
      <w:pPr>
        <w:ind w:left="3240" w:hanging="360"/>
      </w:pPr>
      <w:rPr>
        <w:rFonts w:hint="default"/>
      </w:rPr>
    </w:lvl>
    <w:lvl w:ilvl="4" w:tplc="FD6EEAC4">
      <w:start w:val="10"/>
      <w:numFmt w:val="decimal"/>
      <w:lvlText w:val="%5"/>
      <w:lvlJc w:val="left"/>
      <w:pPr>
        <w:ind w:left="3960" w:hanging="360"/>
      </w:pPr>
      <w:rPr>
        <w:rFonts w:hint="default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3B2A75A8"/>
    <w:multiLevelType w:val="hybridMultilevel"/>
    <w:tmpl w:val="EC24B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D7D19DC"/>
    <w:multiLevelType w:val="hybridMultilevel"/>
    <w:tmpl w:val="A238C7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7027314">
      <w:start w:val="1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FA43217"/>
    <w:multiLevelType w:val="multilevel"/>
    <w:tmpl w:val="A7865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5CD14CF"/>
    <w:multiLevelType w:val="hybridMultilevel"/>
    <w:tmpl w:val="167CE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5E93226"/>
    <w:multiLevelType w:val="multilevel"/>
    <w:tmpl w:val="18283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63657AA"/>
    <w:multiLevelType w:val="multilevel"/>
    <w:tmpl w:val="D6C6F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CAC158E"/>
    <w:multiLevelType w:val="hybridMultilevel"/>
    <w:tmpl w:val="824AD8F0"/>
    <w:lvl w:ilvl="0" w:tplc="31CCCF9A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  <w:bCs/>
      </w:rPr>
    </w:lvl>
    <w:lvl w:ilvl="1" w:tplc="B262E82E">
      <w:start w:val="1"/>
      <w:numFmt w:val="lowerLetter"/>
      <w:lvlText w:val="%2."/>
      <w:lvlJc w:val="left"/>
      <w:pPr>
        <w:ind w:left="990" w:hanging="360"/>
      </w:pPr>
      <w:rPr>
        <w:rFonts w:hint="default"/>
      </w:rPr>
    </w:lvl>
    <w:lvl w:ilvl="2" w:tplc="040EF168">
      <w:start w:val="1"/>
      <w:numFmt w:val="bullet"/>
      <w:lvlText w:val="-"/>
      <w:lvlJc w:val="left"/>
      <w:pPr>
        <w:ind w:left="189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48" w15:restartNumberingAfterBreak="0">
    <w:nsid w:val="50614D8B"/>
    <w:multiLevelType w:val="hybridMultilevel"/>
    <w:tmpl w:val="722C74F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CB2FD9"/>
    <w:multiLevelType w:val="hybridMultilevel"/>
    <w:tmpl w:val="5220F15C"/>
    <w:lvl w:ilvl="0" w:tplc="12D6F75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17830B0"/>
    <w:multiLevelType w:val="hybridMultilevel"/>
    <w:tmpl w:val="0A12A322"/>
    <w:lvl w:ilvl="0" w:tplc="D17E83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9305BF"/>
    <w:multiLevelType w:val="hybridMultilevel"/>
    <w:tmpl w:val="46E4FF12"/>
    <w:lvl w:ilvl="0" w:tplc="B54A72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531C1E6F"/>
    <w:multiLevelType w:val="hybridMultilevel"/>
    <w:tmpl w:val="71347C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5EE5FBA"/>
    <w:multiLevelType w:val="hybridMultilevel"/>
    <w:tmpl w:val="3F5C034A"/>
    <w:lvl w:ilvl="0" w:tplc="FCE8DA0E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75B7B69"/>
    <w:multiLevelType w:val="hybridMultilevel"/>
    <w:tmpl w:val="61EAADD8"/>
    <w:lvl w:ilvl="0" w:tplc="8C669F8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8515353"/>
    <w:multiLevelType w:val="hybridMultilevel"/>
    <w:tmpl w:val="01CC2B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9473238"/>
    <w:multiLevelType w:val="multilevel"/>
    <w:tmpl w:val="749C0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5A6C1B1C"/>
    <w:multiLevelType w:val="hybridMultilevel"/>
    <w:tmpl w:val="E1E6AF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B453455"/>
    <w:multiLevelType w:val="hybridMultilevel"/>
    <w:tmpl w:val="B484D31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9" w15:restartNumberingAfterBreak="0">
    <w:nsid w:val="5E4A0283"/>
    <w:multiLevelType w:val="hybridMultilevel"/>
    <w:tmpl w:val="83B42BE0"/>
    <w:lvl w:ilvl="0" w:tplc="9B2098E2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F702121"/>
    <w:multiLevelType w:val="multilevel"/>
    <w:tmpl w:val="38A0C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13E5E75"/>
    <w:multiLevelType w:val="hybridMultilevel"/>
    <w:tmpl w:val="0AB2B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32E1C3F"/>
    <w:multiLevelType w:val="hybridMultilevel"/>
    <w:tmpl w:val="642669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40B3726"/>
    <w:multiLevelType w:val="hybridMultilevel"/>
    <w:tmpl w:val="D8ACFEB2"/>
    <w:lvl w:ilvl="0" w:tplc="B1A6BA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5C328B2"/>
    <w:multiLevelType w:val="hybridMultilevel"/>
    <w:tmpl w:val="3968ACD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DA22B42"/>
    <w:multiLevelType w:val="hybridMultilevel"/>
    <w:tmpl w:val="F6083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E0D455D"/>
    <w:multiLevelType w:val="hybridMultilevel"/>
    <w:tmpl w:val="83B64A1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88834BC">
      <w:start w:val="3"/>
      <w:numFmt w:val="bullet"/>
      <w:lvlText w:val="-"/>
      <w:lvlJc w:val="left"/>
      <w:pPr>
        <w:ind w:left="1440" w:hanging="360"/>
      </w:pPr>
      <w:rPr>
        <w:rFonts w:ascii="Times New Roman" w:eastAsia="MS Mincho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3084B60"/>
    <w:multiLevelType w:val="hybridMultilevel"/>
    <w:tmpl w:val="733061A2"/>
    <w:lvl w:ilvl="0" w:tplc="EE8857B6">
      <w:start w:val="2"/>
      <w:numFmt w:val="bullet"/>
      <w:lvlText w:val="-"/>
      <w:lvlJc w:val="left"/>
      <w:pPr>
        <w:ind w:left="720" w:hanging="360"/>
      </w:pPr>
      <w:rPr>
        <w:rFonts w:ascii="inherit" w:eastAsia="Times New Roman" w:hAnsi="inherit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3F31049"/>
    <w:multiLevelType w:val="hybridMultilevel"/>
    <w:tmpl w:val="651694E0"/>
    <w:lvl w:ilvl="0" w:tplc="F88834BC">
      <w:start w:val="3"/>
      <w:numFmt w:val="bullet"/>
      <w:lvlText w:val="-"/>
      <w:lvlJc w:val="left"/>
      <w:pPr>
        <w:ind w:left="180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9" w15:restartNumberingAfterBreak="0">
    <w:nsid w:val="776B03BB"/>
    <w:multiLevelType w:val="hybridMultilevel"/>
    <w:tmpl w:val="DC9A7A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9E6B78"/>
    <w:multiLevelType w:val="hybridMultilevel"/>
    <w:tmpl w:val="C78E2C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A166F1B"/>
    <w:multiLevelType w:val="hybridMultilevel"/>
    <w:tmpl w:val="E284A1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CEA5E3D"/>
    <w:multiLevelType w:val="hybridMultilevel"/>
    <w:tmpl w:val="A8CE769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39"/>
  </w:num>
  <w:num w:numId="4">
    <w:abstractNumId w:val="62"/>
  </w:num>
  <w:num w:numId="5">
    <w:abstractNumId w:val="38"/>
  </w:num>
  <w:num w:numId="6">
    <w:abstractNumId w:val="14"/>
  </w:num>
  <w:num w:numId="7">
    <w:abstractNumId w:val="41"/>
  </w:num>
  <w:num w:numId="8">
    <w:abstractNumId w:val="50"/>
  </w:num>
  <w:num w:numId="9">
    <w:abstractNumId w:val="52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5"/>
  </w:num>
  <w:num w:numId="12">
    <w:abstractNumId w:val="27"/>
  </w:num>
  <w:num w:numId="13">
    <w:abstractNumId w:val="23"/>
  </w:num>
  <w:num w:numId="14">
    <w:abstractNumId w:val="2"/>
  </w:num>
  <w:num w:numId="15">
    <w:abstractNumId w:val="25"/>
  </w:num>
  <w:num w:numId="16">
    <w:abstractNumId w:val="32"/>
  </w:num>
  <w:num w:numId="17">
    <w:abstractNumId w:val="56"/>
  </w:num>
  <w:num w:numId="18">
    <w:abstractNumId w:val="21"/>
  </w:num>
  <w:num w:numId="19">
    <w:abstractNumId w:val="46"/>
  </w:num>
  <w:num w:numId="20">
    <w:abstractNumId w:val="33"/>
  </w:num>
  <w:num w:numId="21">
    <w:abstractNumId w:val="60"/>
  </w:num>
  <w:num w:numId="22">
    <w:abstractNumId w:val="45"/>
  </w:num>
  <w:num w:numId="23">
    <w:abstractNumId w:val="67"/>
  </w:num>
  <w:num w:numId="24">
    <w:abstractNumId w:val="44"/>
  </w:num>
  <w:num w:numId="25">
    <w:abstractNumId w:val="42"/>
  </w:num>
  <w:num w:numId="26">
    <w:abstractNumId w:val="63"/>
  </w:num>
  <w:num w:numId="27">
    <w:abstractNumId w:val="17"/>
  </w:num>
  <w:num w:numId="28">
    <w:abstractNumId w:val="26"/>
  </w:num>
  <w:num w:numId="29">
    <w:abstractNumId w:val="54"/>
  </w:num>
  <w:num w:numId="30">
    <w:abstractNumId w:val="4"/>
  </w:num>
  <w:num w:numId="31">
    <w:abstractNumId w:val="59"/>
  </w:num>
  <w:num w:numId="32">
    <w:abstractNumId w:val="29"/>
  </w:num>
  <w:num w:numId="33">
    <w:abstractNumId w:val="31"/>
  </w:num>
  <w:num w:numId="34">
    <w:abstractNumId w:val="20"/>
  </w:num>
  <w:num w:numId="35">
    <w:abstractNumId w:val="72"/>
  </w:num>
  <w:num w:numId="36">
    <w:abstractNumId w:val="55"/>
  </w:num>
  <w:num w:numId="37">
    <w:abstractNumId w:val="69"/>
  </w:num>
  <w:num w:numId="38">
    <w:abstractNumId w:val="71"/>
  </w:num>
  <w:num w:numId="39">
    <w:abstractNumId w:val="49"/>
  </w:num>
  <w:num w:numId="40">
    <w:abstractNumId w:val="0"/>
  </w:num>
  <w:num w:numId="41">
    <w:abstractNumId w:val="5"/>
  </w:num>
  <w:num w:numId="42">
    <w:abstractNumId w:val="22"/>
  </w:num>
  <w:num w:numId="43">
    <w:abstractNumId w:val="15"/>
  </w:num>
  <w:num w:numId="44">
    <w:abstractNumId w:val="9"/>
  </w:num>
  <w:num w:numId="45">
    <w:abstractNumId w:val="19"/>
  </w:num>
  <w:num w:numId="46">
    <w:abstractNumId w:val="6"/>
  </w:num>
  <w:num w:numId="47">
    <w:abstractNumId w:val="36"/>
  </w:num>
  <w:num w:numId="48">
    <w:abstractNumId w:val="3"/>
  </w:num>
  <w:num w:numId="49">
    <w:abstractNumId w:val="58"/>
  </w:num>
  <w:num w:numId="50">
    <w:abstractNumId w:val="28"/>
  </w:num>
  <w:num w:numId="51">
    <w:abstractNumId w:val="51"/>
  </w:num>
  <w:num w:numId="52">
    <w:abstractNumId w:val="53"/>
  </w:num>
  <w:num w:numId="53">
    <w:abstractNumId w:val="64"/>
  </w:num>
  <w:num w:numId="54">
    <w:abstractNumId w:val="1"/>
  </w:num>
  <w:num w:numId="55">
    <w:abstractNumId w:val="48"/>
  </w:num>
  <w:num w:numId="56">
    <w:abstractNumId w:val="43"/>
  </w:num>
  <w:num w:numId="57">
    <w:abstractNumId w:val="37"/>
  </w:num>
  <w:num w:numId="58">
    <w:abstractNumId w:val="61"/>
  </w:num>
  <w:num w:numId="59">
    <w:abstractNumId w:val="12"/>
  </w:num>
  <w:num w:numId="60">
    <w:abstractNumId w:val="68"/>
  </w:num>
  <w:num w:numId="61">
    <w:abstractNumId w:val="10"/>
  </w:num>
  <w:num w:numId="62">
    <w:abstractNumId w:val="8"/>
  </w:num>
  <w:num w:numId="63">
    <w:abstractNumId w:val="66"/>
  </w:num>
  <w:num w:numId="64">
    <w:abstractNumId w:val="13"/>
  </w:num>
  <w:num w:numId="65">
    <w:abstractNumId w:val="18"/>
  </w:num>
  <w:num w:numId="66">
    <w:abstractNumId w:val="16"/>
  </w:num>
  <w:num w:numId="67">
    <w:abstractNumId w:val="34"/>
  </w:num>
  <w:num w:numId="68">
    <w:abstractNumId w:val="30"/>
  </w:num>
  <w:num w:numId="69">
    <w:abstractNumId w:val="70"/>
  </w:num>
  <w:num w:numId="70">
    <w:abstractNumId w:val="24"/>
  </w:num>
  <w:num w:numId="7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6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57"/>
  </w:num>
  <w:num w:numId="77">
    <w:abstractNumId w:val="47"/>
  </w:num>
  <w:num w:numId="78">
    <w:abstractNumId w:val="40"/>
  </w:num>
  <w:num w:numId="79">
    <w:abstractNumId w:val="35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9C0"/>
    <w:rsid w:val="000029B4"/>
    <w:rsid w:val="000112FC"/>
    <w:rsid w:val="00015E6D"/>
    <w:rsid w:val="00017404"/>
    <w:rsid w:val="000174A9"/>
    <w:rsid w:val="00017601"/>
    <w:rsid w:val="00017C5C"/>
    <w:rsid w:val="000203D4"/>
    <w:rsid w:val="00022FEA"/>
    <w:rsid w:val="000235DC"/>
    <w:rsid w:val="00024AC1"/>
    <w:rsid w:val="00026FC2"/>
    <w:rsid w:val="0002710C"/>
    <w:rsid w:val="00030D83"/>
    <w:rsid w:val="00033064"/>
    <w:rsid w:val="00033338"/>
    <w:rsid w:val="00036D1D"/>
    <w:rsid w:val="000373A7"/>
    <w:rsid w:val="000403BA"/>
    <w:rsid w:val="00044E2C"/>
    <w:rsid w:val="000472F7"/>
    <w:rsid w:val="000512FD"/>
    <w:rsid w:val="0005237D"/>
    <w:rsid w:val="00052A61"/>
    <w:rsid w:val="00052F0F"/>
    <w:rsid w:val="00055174"/>
    <w:rsid w:val="00057D1C"/>
    <w:rsid w:val="0006008A"/>
    <w:rsid w:val="000605A6"/>
    <w:rsid w:val="00060CFC"/>
    <w:rsid w:val="00061DEC"/>
    <w:rsid w:val="0006294F"/>
    <w:rsid w:val="000732D3"/>
    <w:rsid w:val="00074E41"/>
    <w:rsid w:val="00074EE6"/>
    <w:rsid w:val="00075473"/>
    <w:rsid w:val="00075A04"/>
    <w:rsid w:val="00077266"/>
    <w:rsid w:val="00080747"/>
    <w:rsid w:val="00081EE0"/>
    <w:rsid w:val="00081F4B"/>
    <w:rsid w:val="00083119"/>
    <w:rsid w:val="00084666"/>
    <w:rsid w:val="000870AA"/>
    <w:rsid w:val="0008749B"/>
    <w:rsid w:val="00087512"/>
    <w:rsid w:val="000902A9"/>
    <w:rsid w:val="00094FDE"/>
    <w:rsid w:val="00096ADF"/>
    <w:rsid w:val="00097FED"/>
    <w:rsid w:val="000A0C99"/>
    <w:rsid w:val="000A20F2"/>
    <w:rsid w:val="000A3EF8"/>
    <w:rsid w:val="000A5F79"/>
    <w:rsid w:val="000A6B97"/>
    <w:rsid w:val="000A6E6A"/>
    <w:rsid w:val="000A70FA"/>
    <w:rsid w:val="000A7AA1"/>
    <w:rsid w:val="000B40D2"/>
    <w:rsid w:val="000B74F1"/>
    <w:rsid w:val="000C1626"/>
    <w:rsid w:val="000C23C8"/>
    <w:rsid w:val="000C6CD4"/>
    <w:rsid w:val="000D0E74"/>
    <w:rsid w:val="000D1913"/>
    <w:rsid w:val="000D2EAD"/>
    <w:rsid w:val="000D4703"/>
    <w:rsid w:val="000D4D7D"/>
    <w:rsid w:val="000D54AD"/>
    <w:rsid w:val="000D607D"/>
    <w:rsid w:val="000E06A1"/>
    <w:rsid w:val="000E2060"/>
    <w:rsid w:val="000E4018"/>
    <w:rsid w:val="000E493C"/>
    <w:rsid w:val="000F2A8C"/>
    <w:rsid w:val="000F3079"/>
    <w:rsid w:val="000F44DE"/>
    <w:rsid w:val="000F642D"/>
    <w:rsid w:val="000F6A47"/>
    <w:rsid w:val="00102430"/>
    <w:rsid w:val="00104C11"/>
    <w:rsid w:val="00105851"/>
    <w:rsid w:val="00105A94"/>
    <w:rsid w:val="00107028"/>
    <w:rsid w:val="00107A24"/>
    <w:rsid w:val="0011257E"/>
    <w:rsid w:val="0011378E"/>
    <w:rsid w:val="00114106"/>
    <w:rsid w:val="0012122B"/>
    <w:rsid w:val="00123AE3"/>
    <w:rsid w:val="001267A0"/>
    <w:rsid w:val="0013093E"/>
    <w:rsid w:val="00131930"/>
    <w:rsid w:val="00134208"/>
    <w:rsid w:val="001363A3"/>
    <w:rsid w:val="001363C3"/>
    <w:rsid w:val="00136F70"/>
    <w:rsid w:val="001408BA"/>
    <w:rsid w:val="0014093C"/>
    <w:rsid w:val="00141730"/>
    <w:rsid w:val="00141FD3"/>
    <w:rsid w:val="00142229"/>
    <w:rsid w:val="001429C1"/>
    <w:rsid w:val="001470A7"/>
    <w:rsid w:val="00150079"/>
    <w:rsid w:val="00151D83"/>
    <w:rsid w:val="00153671"/>
    <w:rsid w:val="00154CBC"/>
    <w:rsid w:val="001555BE"/>
    <w:rsid w:val="00160B7E"/>
    <w:rsid w:val="001623DE"/>
    <w:rsid w:val="001625D9"/>
    <w:rsid w:val="00162D43"/>
    <w:rsid w:val="001673B3"/>
    <w:rsid w:val="0017123B"/>
    <w:rsid w:val="00172CBD"/>
    <w:rsid w:val="00172E37"/>
    <w:rsid w:val="00176694"/>
    <w:rsid w:val="00176C18"/>
    <w:rsid w:val="00177736"/>
    <w:rsid w:val="00180ACE"/>
    <w:rsid w:val="00180DCD"/>
    <w:rsid w:val="00180FD9"/>
    <w:rsid w:val="001852A0"/>
    <w:rsid w:val="00186D36"/>
    <w:rsid w:val="00186FFA"/>
    <w:rsid w:val="001874AD"/>
    <w:rsid w:val="00190692"/>
    <w:rsid w:val="00192565"/>
    <w:rsid w:val="0019401B"/>
    <w:rsid w:val="001953B6"/>
    <w:rsid w:val="0019777E"/>
    <w:rsid w:val="001A6417"/>
    <w:rsid w:val="001A6FE7"/>
    <w:rsid w:val="001B134F"/>
    <w:rsid w:val="001B1CA0"/>
    <w:rsid w:val="001B1FDC"/>
    <w:rsid w:val="001B2AF1"/>
    <w:rsid w:val="001B5466"/>
    <w:rsid w:val="001B7362"/>
    <w:rsid w:val="001C2A56"/>
    <w:rsid w:val="001C2EB7"/>
    <w:rsid w:val="001C2F33"/>
    <w:rsid w:val="001C414C"/>
    <w:rsid w:val="001C46E3"/>
    <w:rsid w:val="001C501D"/>
    <w:rsid w:val="001C59F9"/>
    <w:rsid w:val="001C686B"/>
    <w:rsid w:val="001C69C2"/>
    <w:rsid w:val="001C738F"/>
    <w:rsid w:val="001D5B7C"/>
    <w:rsid w:val="001D666C"/>
    <w:rsid w:val="001E0D2D"/>
    <w:rsid w:val="001E1A78"/>
    <w:rsid w:val="001E1EAB"/>
    <w:rsid w:val="001E4565"/>
    <w:rsid w:val="001E5EFC"/>
    <w:rsid w:val="001E5F86"/>
    <w:rsid w:val="001E6549"/>
    <w:rsid w:val="001E6BD4"/>
    <w:rsid w:val="001E738F"/>
    <w:rsid w:val="001E772B"/>
    <w:rsid w:val="001F1507"/>
    <w:rsid w:val="001F34E7"/>
    <w:rsid w:val="001F48FD"/>
    <w:rsid w:val="001F5003"/>
    <w:rsid w:val="001F52F0"/>
    <w:rsid w:val="00202E00"/>
    <w:rsid w:val="00203B0D"/>
    <w:rsid w:val="00210736"/>
    <w:rsid w:val="00210814"/>
    <w:rsid w:val="00211B78"/>
    <w:rsid w:val="00212AB5"/>
    <w:rsid w:val="00214093"/>
    <w:rsid w:val="00216116"/>
    <w:rsid w:val="00224170"/>
    <w:rsid w:val="00224BFF"/>
    <w:rsid w:val="002259F9"/>
    <w:rsid w:val="0022617F"/>
    <w:rsid w:val="002276A1"/>
    <w:rsid w:val="00230878"/>
    <w:rsid w:val="00233A1E"/>
    <w:rsid w:val="00235D35"/>
    <w:rsid w:val="002407E9"/>
    <w:rsid w:val="002449A6"/>
    <w:rsid w:val="00244E05"/>
    <w:rsid w:val="0024537F"/>
    <w:rsid w:val="00246164"/>
    <w:rsid w:val="00246A43"/>
    <w:rsid w:val="0024702B"/>
    <w:rsid w:val="002473BA"/>
    <w:rsid w:val="00266A79"/>
    <w:rsid w:val="00270EDE"/>
    <w:rsid w:val="00271149"/>
    <w:rsid w:val="00272AEB"/>
    <w:rsid w:val="00273B1A"/>
    <w:rsid w:val="002744EE"/>
    <w:rsid w:val="00274894"/>
    <w:rsid w:val="002761CF"/>
    <w:rsid w:val="00280749"/>
    <w:rsid w:val="00280E2E"/>
    <w:rsid w:val="0028266F"/>
    <w:rsid w:val="00282999"/>
    <w:rsid w:val="0028301E"/>
    <w:rsid w:val="002839BC"/>
    <w:rsid w:val="00284FF2"/>
    <w:rsid w:val="00285BF2"/>
    <w:rsid w:val="00286BD0"/>
    <w:rsid w:val="00286E53"/>
    <w:rsid w:val="002875C1"/>
    <w:rsid w:val="0029080A"/>
    <w:rsid w:val="0029566F"/>
    <w:rsid w:val="0029774C"/>
    <w:rsid w:val="002A043D"/>
    <w:rsid w:val="002A0C4D"/>
    <w:rsid w:val="002A1303"/>
    <w:rsid w:val="002B0EFF"/>
    <w:rsid w:val="002B1AE4"/>
    <w:rsid w:val="002B3D05"/>
    <w:rsid w:val="002B4261"/>
    <w:rsid w:val="002B456A"/>
    <w:rsid w:val="002B6771"/>
    <w:rsid w:val="002C0614"/>
    <w:rsid w:val="002C0D79"/>
    <w:rsid w:val="002C126E"/>
    <w:rsid w:val="002C44CE"/>
    <w:rsid w:val="002C5025"/>
    <w:rsid w:val="002C56FF"/>
    <w:rsid w:val="002D035B"/>
    <w:rsid w:val="002D0F37"/>
    <w:rsid w:val="002D1FD3"/>
    <w:rsid w:val="002D6043"/>
    <w:rsid w:val="002D63A5"/>
    <w:rsid w:val="002E12AF"/>
    <w:rsid w:val="002E4570"/>
    <w:rsid w:val="002F07EC"/>
    <w:rsid w:val="003006E6"/>
    <w:rsid w:val="00301BB8"/>
    <w:rsid w:val="00302001"/>
    <w:rsid w:val="00305C3A"/>
    <w:rsid w:val="00306FA9"/>
    <w:rsid w:val="00307E45"/>
    <w:rsid w:val="00310215"/>
    <w:rsid w:val="00310DB5"/>
    <w:rsid w:val="00311293"/>
    <w:rsid w:val="0031602D"/>
    <w:rsid w:val="0031627E"/>
    <w:rsid w:val="00317743"/>
    <w:rsid w:val="00320B43"/>
    <w:rsid w:val="00322076"/>
    <w:rsid w:val="0032390F"/>
    <w:rsid w:val="0032508A"/>
    <w:rsid w:val="003255F9"/>
    <w:rsid w:val="0032598D"/>
    <w:rsid w:val="00326748"/>
    <w:rsid w:val="00326D71"/>
    <w:rsid w:val="00331C8C"/>
    <w:rsid w:val="00335CAB"/>
    <w:rsid w:val="003379B9"/>
    <w:rsid w:val="00346BBF"/>
    <w:rsid w:val="0035295E"/>
    <w:rsid w:val="00353409"/>
    <w:rsid w:val="00355180"/>
    <w:rsid w:val="003555AE"/>
    <w:rsid w:val="0036006A"/>
    <w:rsid w:val="003606A1"/>
    <w:rsid w:val="00364081"/>
    <w:rsid w:val="003728ED"/>
    <w:rsid w:val="00374C59"/>
    <w:rsid w:val="0038068E"/>
    <w:rsid w:val="003818C4"/>
    <w:rsid w:val="003854E0"/>
    <w:rsid w:val="00386B46"/>
    <w:rsid w:val="003879EE"/>
    <w:rsid w:val="0039072D"/>
    <w:rsid w:val="00390E7E"/>
    <w:rsid w:val="00391BFB"/>
    <w:rsid w:val="00393665"/>
    <w:rsid w:val="00393B58"/>
    <w:rsid w:val="0039743C"/>
    <w:rsid w:val="003A1100"/>
    <w:rsid w:val="003A142F"/>
    <w:rsid w:val="003A29AD"/>
    <w:rsid w:val="003A39E4"/>
    <w:rsid w:val="003A6F5B"/>
    <w:rsid w:val="003B194F"/>
    <w:rsid w:val="003B7D2A"/>
    <w:rsid w:val="003C13CD"/>
    <w:rsid w:val="003C200F"/>
    <w:rsid w:val="003C467A"/>
    <w:rsid w:val="003C49E6"/>
    <w:rsid w:val="003C7070"/>
    <w:rsid w:val="003D1836"/>
    <w:rsid w:val="003D2047"/>
    <w:rsid w:val="003D4232"/>
    <w:rsid w:val="003D4E3C"/>
    <w:rsid w:val="003D5AED"/>
    <w:rsid w:val="003D7151"/>
    <w:rsid w:val="003D788B"/>
    <w:rsid w:val="003E02E6"/>
    <w:rsid w:val="003E4A4E"/>
    <w:rsid w:val="003E51F4"/>
    <w:rsid w:val="003E55B8"/>
    <w:rsid w:val="003E5F07"/>
    <w:rsid w:val="003E6F4B"/>
    <w:rsid w:val="003F180D"/>
    <w:rsid w:val="003F37E7"/>
    <w:rsid w:val="003F6D0B"/>
    <w:rsid w:val="003F7D85"/>
    <w:rsid w:val="00400304"/>
    <w:rsid w:val="00400429"/>
    <w:rsid w:val="00414C31"/>
    <w:rsid w:val="00415386"/>
    <w:rsid w:val="0042095F"/>
    <w:rsid w:val="00420DB6"/>
    <w:rsid w:val="00420E80"/>
    <w:rsid w:val="00423CA9"/>
    <w:rsid w:val="00426933"/>
    <w:rsid w:val="00430F62"/>
    <w:rsid w:val="00435A9D"/>
    <w:rsid w:val="00435C5D"/>
    <w:rsid w:val="00440C27"/>
    <w:rsid w:val="00440F31"/>
    <w:rsid w:val="00442867"/>
    <w:rsid w:val="00443845"/>
    <w:rsid w:val="0044397D"/>
    <w:rsid w:val="00443D5E"/>
    <w:rsid w:val="00445CF2"/>
    <w:rsid w:val="00452D38"/>
    <w:rsid w:val="00455847"/>
    <w:rsid w:val="00457A3D"/>
    <w:rsid w:val="00461901"/>
    <w:rsid w:val="00461978"/>
    <w:rsid w:val="00462715"/>
    <w:rsid w:val="00462E63"/>
    <w:rsid w:val="0046342D"/>
    <w:rsid w:val="00464986"/>
    <w:rsid w:val="004659A8"/>
    <w:rsid w:val="00465F4C"/>
    <w:rsid w:val="00466A37"/>
    <w:rsid w:val="00471656"/>
    <w:rsid w:val="00471EC0"/>
    <w:rsid w:val="00473734"/>
    <w:rsid w:val="00475B2B"/>
    <w:rsid w:val="00476F71"/>
    <w:rsid w:val="00480814"/>
    <w:rsid w:val="00484355"/>
    <w:rsid w:val="00484465"/>
    <w:rsid w:val="0048495E"/>
    <w:rsid w:val="00485225"/>
    <w:rsid w:val="00490607"/>
    <w:rsid w:val="00490855"/>
    <w:rsid w:val="00494A32"/>
    <w:rsid w:val="00495684"/>
    <w:rsid w:val="004A3E47"/>
    <w:rsid w:val="004A424C"/>
    <w:rsid w:val="004A4A36"/>
    <w:rsid w:val="004B0431"/>
    <w:rsid w:val="004B0936"/>
    <w:rsid w:val="004B167B"/>
    <w:rsid w:val="004B1F39"/>
    <w:rsid w:val="004B72C3"/>
    <w:rsid w:val="004C01F2"/>
    <w:rsid w:val="004C1F2A"/>
    <w:rsid w:val="004C40D1"/>
    <w:rsid w:val="004C5024"/>
    <w:rsid w:val="004C52C2"/>
    <w:rsid w:val="004C583C"/>
    <w:rsid w:val="004C638A"/>
    <w:rsid w:val="004C7368"/>
    <w:rsid w:val="004D1210"/>
    <w:rsid w:val="004D1406"/>
    <w:rsid w:val="004D2BB5"/>
    <w:rsid w:val="004D393A"/>
    <w:rsid w:val="004D7643"/>
    <w:rsid w:val="004E02F9"/>
    <w:rsid w:val="004E1BEA"/>
    <w:rsid w:val="004E29FA"/>
    <w:rsid w:val="004E323C"/>
    <w:rsid w:val="004E6C07"/>
    <w:rsid w:val="004F17D3"/>
    <w:rsid w:val="004F2CF6"/>
    <w:rsid w:val="004F3BE5"/>
    <w:rsid w:val="004F4BA4"/>
    <w:rsid w:val="004F511C"/>
    <w:rsid w:val="004F5594"/>
    <w:rsid w:val="00500A2B"/>
    <w:rsid w:val="00503EC0"/>
    <w:rsid w:val="0050589D"/>
    <w:rsid w:val="00510356"/>
    <w:rsid w:val="00512657"/>
    <w:rsid w:val="00512AAC"/>
    <w:rsid w:val="005131A5"/>
    <w:rsid w:val="005142E0"/>
    <w:rsid w:val="00517AE6"/>
    <w:rsid w:val="005203B9"/>
    <w:rsid w:val="00526950"/>
    <w:rsid w:val="00527041"/>
    <w:rsid w:val="005308EA"/>
    <w:rsid w:val="005333E2"/>
    <w:rsid w:val="0053342F"/>
    <w:rsid w:val="00534A0C"/>
    <w:rsid w:val="00534E03"/>
    <w:rsid w:val="00540373"/>
    <w:rsid w:val="00541191"/>
    <w:rsid w:val="00541692"/>
    <w:rsid w:val="00542219"/>
    <w:rsid w:val="0054457F"/>
    <w:rsid w:val="00546D42"/>
    <w:rsid w:val="00551135"/>
    <w:rsid w:val="00553925"/>
    <w:rsid w:val="00555DD7"/>
    <w:rsid w:val="0056010F"/>
    <w:rsid w:val="00566BEF"/>
    <w:rsid w:val="00570B2D"/>
    <w:rsid w:val="0057331D"/>
    <w:rsid w:val="00575912"/>
    <w:rsid w:val="00583FD5"/>
    <w:rsid w:val="00584CBF"/>
    <w:rsid w:val="0058531A"/>
    <w:rsid w:val="00585661"/>
    <w:rsid w:val="005868CA"/>
    <w:rsid w:val="00590595"/>
    <w:rsid w:val="005919E3"/>
    <w:rsid w:val="005929D3"/>
    <w:rsid w:val="00592B98"/>
    <w:rsid w:val="0059653E"/>
    <w:rsid w:val="00597FBE"/>
    <w:rsid w:val="005A422D"/>
    <w:rsid w:val="005A5DED"/>
    <w:rsid w:val="005A68C4"/>
    <w:rsid w:val="005A7814"/>
    <w:rsid w:val="005B1130"/>
    <w:rsid w:val="005B1653"/>
    <w:rsid w:val="005B2E40"/>
    <w:rsid w:val="005C0DE5"/>
    <w:rsid w:val="005C31E3"/>
    <w:rsid w:val="005C423A"/>
    <w:rsid w:val="005C6047"/>
    <w:rsid w:val="005D0062"/>
    <w:rsid w:val="005D3608"/>
    <w:rsid w:val="005D3B7F"/>
    <w:rsid w:val="005D4480"/>
    <w:rsid w:val="005D48B4"/>
    <w:rsid w:val="005E1BE4"/>
    <w:rsid w:val="005E3475"/>
    <w:rsid w:val="005F1182"/>
    <w:rsid w:val="005F1E92"/>
    <w:rsid w:val="005F2735"/>
    <w:rsid w:val="005F2F50"/>
    <w:rsid w:val="005F4B1F"/>
    <w:rsid w:val="00602F9F"/>
    <w:rsid w:val="00604911"/>
    <w:rsid w:val="00604E54"/>
    <w:rsid w:val="00606DE4"/>
    <w:rsid w:val="00614308"/>
    <w:rsid w:val="00615F0F"/>
    <w:rsid w:val="006166A9"/>
    <w:rsid w:val="00617142"/>
    <w:rsid w:val="00622016"/>
    <w:rsid w:val="006263CA"/>
    <w:rsid w:val="00626A1A"/>
    <w:rsid w:val="00626A5F"/>
    <w:rsid w:val="00630526"/>
    <w:rsid w:val="00631905"/>
    <w:rsid w:val="00631925"/>
    <w:rsid w:val="0063235B"/>
    <w:rsid w:val="00632446"/>
    <w:rsid w:val="006328D4"/>
    <w:rsid w:val="006345B9"/>
    <w:rsid w:val="00634CAD"/>
    <w:rsid w:val="00637B98"/>
    <w:rsid w:val="00640706"/>
    <w:rsid w:val="006435EC"/>
    <w:rsid w:val="00644BE6"/>
    <w:rsid w:val="00645FE3"/>
    <w:rsid w:val="00646412"/>
    <w:rsid w:val="00652931"/>
    <w:rsid w:val="00653998"/>
    <w:rsid w:val="00653EE5"/>
    <w:rsid w:val="00656273"/>
    <w:rsid w:val="00657C6B"/>
    <w:rsid w:val="00660C69"/>
    <w:rsid w:val="0066102D"/>
    <w:rsid w:val="00661679"/>
    <w:rsid w:val="00662AFC"/>
    <w:rsid w:val="00663343"/>
    <w:rsid w:val="00663F93"/>
    <w:rsid w:val="00665049"/>
    <w:rsid w:val="00665A84"/>
    <w:rsid w:val="00667271"/>
    <w:rsid w:val="0067223E"/>
    <w:rsid w:val="00672C7A"/>
    <w:rsid w:val="006745DD"/>
    <w:rsid w:val="00675A8B"/>
    <w:rsid w:val="006765FF"/>
    <w:rsid w:val="006775F9"/>
    <w:rsid w:val="00681CFF"/>
    <w:rsid w:val="00686027"/>
    <w:rsid w:val="006870F9"/>
    <w:rsid w:val="00690E41"/>
    <w:rsid w:val="00691623"/>
    <w:rsid w:val="006934FF"/>
    <w:rsid w:val="006A1375"/>
    <w:rsid w:val="006A2893"/>
    <w:rsid w:val="006A313D"/>
    <w:rsid w:val="006A315E"/>
    <w:rsid w:val="006A34B0"/>
    <w:rsid w:val="006A3F8E"/>
    <w:rsid w:val="006A669E"/>
    <w:rsid w:val="006A69DB"/>
    <w:rsid w:val="006B0AD7"/>
    <w:rsid w:val="006B1B8C"/>
    <w:rsid w:val="006B227F"/>
    <w:rsid w:val="006B5641"/>
    <w:rsid w:val="006B7F9E"/>
    <w:rsid w:val="006C3D49"/>
    <w:rsid w:val="006C67D0"/>
    <w:rsid w:val="006C6970"/>
    <w:rsid w:val="006C76CC"/>
    <w:rsid w:val="006D1C0B"/>
    <w:rsid w:val="006D24BF"/>
    <w:rsid w:val="006D2F96"/>
    <w:rsid w:val="006D656A"/>
    <w:rsid w:val="006D6652"/>
    <w:rsid w:val="006E04E1"/>
    <w:rsid w:val="006E2186"/>
    <w:rsid w:val="006E38A2"/>
    <w:rsid w:val="006E39BD"/>
    <w:rsid w:val="006E40A6"/>
    <w:rsid w:val="006E59F4"/>
    <w:rsid w:val="006E76DE"/>
    <w:rsid w:val="006F02BE"/>
    <w:rsid w:val="006F4DC8"/>
    <w:rsid w:val="006F5317"/>
    <w:rsid w:val="006F5C90"/>
    <w:rsid w:val="006F6938"/>
    <w:rsid w:val="006F6BBC"/>
    <w:rsid w:val="007013D1"/>
    <w:rsid w:val="007016E9"/>
    <w:rsid w:val="007029D8"/>
    <w:rsid w:val="00703867"/>
    <w:rsid w:val="00704322"/>
    <w:rsid w:val="0070456D"/>
    <w:rsid w:val="0070654D"/>
    <w:rsid w:val="007079F8"/>
    <w:rsid w:val="00707B60"/>
    <w:rsid w:val="00707D09"/>
    <w:rsid w:val="00710A1F"/>
    <w:rsid w:val="00714DBE"/>
    <w:rsid w:val="00716FD4"/>
    <w:rsid w:val="007175BE"/>
    <w:rsid w:val="00717AEC"/>
    <w:rsid w:val="007236CE"/>
    <w:rsid w:val="00724827"/>
    <w:rsid w:val="00725EC6"/>
    <w:rsid w:val="00727E81"/>
    <w:rsid w:val="00730594"/>
    <w:rsid w:val="00731BA7"/>
    <w:rsid w:val="007371F5"/>
    <w:rsid w:val="00741248"/>
    <w:rsid w:val="0074167B"/>
    <w:rsid w:val="007433E4"/>
    <w:rsid w:val="00743F8F"/>
    <w:rsid w:val="00744383"/>
    <w:rsid w:val="00744493"/>
    <w:rsid w:val="00744793"/>
    <w:rsid w:val="007512B1"/>
    <w:rsid w:val="007542B8"/>
    <w:rsid w:val="007558FF"/>
    <w:rsid w:val="0076104A"/>
    <w:rsid w:val="007635B1"/>
    <w:rsid w:val="00765488"/>
    <w:rsid w:val="007732FD"/>
    <w:rsid w:val="0077441C"/>
    <w:rsid w:val="00775980"/>
    <w:rsid w:val="00782155"/>
    <w:rsid w:val="0078488E"/>
    <w:rsid w:val="00786520"/>
    <w:rsid w:val="007913A5"/>
    <w:rsid w:val="007A0B8E"/>
    <w:rsid w:val="007A1310"/>
    <w:rsid w:val="007A18D1"/>
    <w:rsid w:val="007A1A95"/>
    <w:rsid w:val="007A2B79"/>
    <w:rsid w:val="007A615E"/>
    <w:rsid w:val="007A6403"/>
    <w:rsid w:val="007B03D5"/>
    <w:rsid w:val="007B106F"/>
    <w:rsid w:val="007B5478"/>
    <w:rsid w:val="007B66BA"/>
    <w:rsid w:val="007B676F"/>
    <w:rsid w:val="007B6A02"/>
    <w:rsid w:val="007B7175"/>
    <w:rsid w:val="007C27D9"/>
    <w:rsid w:val="007C2F1C"/>
    <w:rsid w:val="007C33E7"/>
    <w:rsid w:val="007C3ADD"/>
    <w:rsid w:val="007C529B"/>
    <w:rsid w:val="007D2135"/>
    <w:rsid w:val="007D41FC"/>
    <w:rsid w:val="007D4AA4"/>
    <w:rsid w:val="007D6EAA"/>
    <w:rsid w:val="007D7AB0"/>
    <w:rsid w:val="007E00A2"/>
    <w:rsid w:val="007E0975"/>
    <w:rsid w:val="007E1258"/>
    <w:rsid w:val="007E2F28"/>
    <w:rsid w:val="007E3BF9"/>
    <w:rsid w:val="007E3E0A"/>
    <w:rsid w:val="007E4D21"/>
    <w:rsid w:val="007E71BE"/>
    <w:rsid w:val="007F16B5"/>
    <w:rsid w:val="007F18F2"/>
    <w:rsid w:val="007F5461"/>
    <w:rsid w:val="007F70D9"/>
    <w:rsid w:val="007F7B8C"/>
    <w:rsid w:val="007F7E36"/>
    <w:rsid w:val="008008A3"/>
    <w:rsid w:val="00801E9C"/>
    <w:rsid w:val="00804BFF"/>
    <w:rsid w:val="0080555E"/>
    <w:rsid w:val="00805908"/>
    <w:rsid w:val="008078F5"/>
    <w:rsid w:val="00810641"/>
    <w:rsid w:val="00810F54"/>
    <w:rsid w:val="008119A3"/>
    <w:rsid w:val="008138CC"/>
    <w:rsid w:val="008174AB"/>
    <w:rsid w:val="00823FCD"/>
    <w:rsid w:val="00824CFD"/>
    <w:rsid w:val="008252FC"/>
    <w:rsid w:val="00827D17"/>
    <w:rsid w:val="008346A2"/>
    <w:rsid w:val="00834C95"/>
    <w:rsid w:val="008369F6"/>
    <w:rsid w:val="008406E7"/>
    <w:rsid w:val="008477FC"/>
    <w:rsid w:val="008479F2"/>
    <w:rsid w:val="0085094F"/>
    <w:rsid w:val="008536C6"/>
    <w:rsid w:val="00855978"/>
    <w:rsid w:val="00856192"/>
    <w:rsid w:val="008577F8"/>
    <w:rsid w:val="00860112"/>
    <w:rsid w:val="00862461"/>
    <w:rsid w:val="00863E71"/>
    <w:rsid w:val="00874659"/>
    <w:rsid w:val="0087552D"/>
    <w:rsid w:val="00876C8E"/>
    <w:rsid w:val="0088106D"/>
    <w:rsid w:val="008831B4"/>
    <w:rsid w:val="0088627A"/>
    <w:rsid w:val="0089172F"/>
    <w:rsid w:val="00893FA5"/>
    <w:rsid w:val="00896325"/>
    <w:rsid w:val="00897D0F"/>
    <w:rsid w:val="008A18BA"/>
    <w:rsid w:val="008A2592"/>
    <w:rsid w:val="008A3164"/>
    <w:rsid w:val="008A52B1"/>
    <w:rsid w:val="008A5FFE"/>
    <w:rsid w:val="008B0340"/>
    <w:rsid w:val="008B359C"/>
    <w:rsid w:val="008B55A9"/>
    <w:rsid w:val="008B58D6"/>
    <w:rsid w:val="008B61F6"/>
    <w:rsid w:val="008B773C"/>
    <w:rsid w:val="008C3191"/>
    <w:rsid w:val="008C3E85"/>
    <w:rsid w:val="008C7C6D"/>
    <w:rsid w:val="008D1B9C"/>
    <w:rsid w:val="008D335B"/>
    <w:rsid w:val="008D3560"/>
    <w:rsid w:val="008D3651"/>
    <w:rsid w:val="008D42D3"/>
    <w:rsid w:val="008E0FA4"/>
    <w:rsid w:val="008E254C"/>
    <w:rsid w:val="008E2D29"/>
    <w:rsid w:val="008E3181"/>
    <w:rsid w:val="008E3890"/>
    <w:rsid w:val="008E3D83"/>
    <w:rsid w:val="008E4009"/>
    <w:rsid w:val="008E44F4"/>
    <w:rsid w:val="008E6487"/>
    <w:rsid w:val="008F0CC5"/>
    <w:rsid w:val="008F2F57"/>
    <w:rsid w:val="008F4720"/>
    <w:rsid w:val="008F4EC3"/>
    <w:rsid w:val="008F4F4D"/>
    <w:rsid w:val="008F7399"/>
    <w:rsid w:val="008F7FCA"/>
    <w:rsid w:val="009004A1"/>
    <w:rsid w:val="00900875"/>
    <w:rsid w:val="00901966"/>
    <w:rsid w:val="00901F8B"/>
    <w:rsid w:val="0090241C"/>
    <w:rsid w:val="00904FF2"/>
    <w:rsid w:val="00905DE0"/>
    <w:rsid w:val="00917C20"/>
    <w:rsid w:val="009209E5"/>
    <w:rsid w:val="00920BF5"/>
    <w:rsid w:val="009214D4"/>
    <w:rsid w:val="00921FF8"/>
    <w:rsid w:val="00927551"/>
    <w:rsid w:val="00927F50"/>
    <w:rsid w:val="009365FA"/>
    <w:rsid w:val="00936831"/>
    <w:rsid w:val="00936BFE"/>
    <w:rsid w:val="00937AFA"/>
    <w:rsid w:val="00945F4F"/>
    <w:rsid w:val="0095478B"/>
    <w:rsid w:val="00961881"/>
    <w:rsid w:val="009635A0"/>
    <w:rsid w:val="00967A46"/>
    <w:rsid w:val="00970E19"/>
    <w:rsid w:val="00970EA9"/>
    <w:rsid w:val="00975D10"/>
    <w:rsid w:val="00976D4F"/>
    <w:rsid w:val="00980A04"/>
    <w:rsid w:val="00980EBC"/>
    <w:rsid w:val="00981588"/>
    <w:rsid w:val="00981673"/>
    <w:rsid w:val="00986378"/>
    <w:rsid w:val="00987461"/>
    <w:rsid w:val="00991F1A"/>
    <w:rsid w:val="00992FB3"/>
    <w:rsid w:val="009942AE"/>
    <w:rsid w:val="009A070C"/>
    <w:rsid w:val="009A267D"/>
    <w:rsid w:val="009A3B90"/>
    <w:rsid w:val="009A43F8"/>
    <w:rsid w:val="009A5A69"/>
    <w:rsid w:val="009A5E14"/>
    <w:rsid w:val="009A6531"/>
    <w:rsid w:val="009A7C7E"/>
    <w:rsid w:val="009B20C4"/>
    <w:rsid w:val="009B2A99"/>
    <w:rsid w:val="009B6CB1"/>
    <w:rsid w:val="009B6E70"/>
    <w:rsid w:val="009C14A7"/>
    <w:rsid w:val="009C1676"/>
    <w:rsid w:val="009C2F05"/>
    <w:rsid w:val="009C35E5"/>
    <w:rsid w:val="009C4EAD"/>
    <w:rsid w:val="009C6CCC"/>
    <w:rsid w:val="009C7658"/>
    <w:rsid w:val="009D0523"/>
    <w:rsid w:val="009D0AEB"/>
    <w:rsid w:val="009D0B65"/>
    <w:rsid w:val="009D0C4C"/>
    <w:rsid w:val="009D0F6B"/>
    <w:rsid w:val="009D14DE"/>
    <w:rsid w:val="009D2B90"/>
    <w:rsid w:val="009E0D04"/>
    <w:rsid w:val="009E114F"/>
    <w:rsid w:val="009E161A"/>
    <w:rsid w:val="009E1F50"/>
    <w:rsid w:val="009E2146"/>
    <w:rsid w:val="009E23D4"/>
    <w:rsid w:val="009E2ABB"/>
    <w:rsid w:val="009E3FD2"/>
    <w:rsid w:val="009E64C0"/>
    <w:rsid w:val="009E6E62"/>
    <w:rsid w:val="009F1995"/>
    <w:rsid w:val="009F1FE4"/>
    <w:rsid w:val="009F30B7"/>
    <w:rsid w:val="009F38C1"/>
    <w:rsid w:val="00A057DD"/>
    <w:rsid w:val="00A1618F"/>
    <w:rsid w:val="00A23F16"/>
    <w:rsid w:val="00A3088C"/>
    <w:rsid w:val="00A3275C"/>
    <w:rsid w:val="00A34A20"/>
    <w:rsid w:val="00A35F66"/>
    <w:rsid w:val="00A35FFB"/>
    <w:rsid w:val="00A37B0C"/>
    <w:rsid w:val="00A40D96"/>
    <w:rsid w:val="00A40DAA"/>
    <w:rsid w:val="00A42387"/>
    <w:rsid w:val="00A4334F"/>
    <w:rsid w:val="00A450E9"/>
    <w:rsid w:val="00A504D9"/>
    <w:rsid w:val="00A56890"/>
    <w:rsid w:val="00A60B19"/>
    <w:rsid w:val="00A61F6D"/>
    <w:rsid w:val="00A64554"/>
    <w:rsid w:val="00A66AA9"/>
    <w:rsid w:val="00A67481"/>
    <w:rsid w:val="00A67575"/>
    <w:rsid w:val="00A67944"/>
    <w:rsid w:val="00A67B37"/>
    <w:rsid w:val="00A71FC6"/>
    <w:rsid w:val="00A760F6"/>
    <w:rsid w:val="00A82D9A"/>
    <w:rsid w:val="00A859CE"/>
    <w:rsid w:val="00A86365"/>
    <w:rsid w:val="00A8735D"/>
    <w:rsid w:val="00A9652A"/>
    <w:rsid w:val="00A97D3C"/>
    <w:rsid w:val="00AA2870"/>
    <w:rsid w:val="00AA4B29"/>
    <w:rsid w:val="00AA5076"/>
    <w:rsid w:val="00AA5B73"/>
    <w:rsid w:val="00AA5F26"/>
    <w:rsid w:val="00AB1922"/>
    <w:rsid w:val="00AB2DB1"/>
    <w:rsid w:val="00AB38FF"/>
    <w:rsid w:val="00AB52FF"/>
    <w:rsid w:val="00AB5C4E"/>
    <w:rsid w:val="00AB5E98"/>
    <w:rsid w:val="00AB6EFF"/>
    <w:rsid w:val="00AB7BE4"/>
    <w:rsid w:val="00AB7E49"/>
    <w:rsid w:val="00AC16F7"/>
    <w:rsid w:val="00AC34A2"/>
    <w:rsid w:val="00AC5B2B"/>
    <w:rsid w:val="00AC60D6"/>
    <w:rsid w:val="00AC63D6"/>
    <w:rsid w:val="00AD10C0"/>
    <w:rsid w:val="00AD11CD"/>
    <w:rsid w:val="00AD17EF"/>
    <w:rsid w:val="00AD1D2F"/>
    <w:rsid w:val="00AD4248"/>
    <w:rsid w:val="00AD4955"/>
    <w:rsid w:val="00AD4E33"/>
    <w:rsid w:val="00AD6925"/>
    <w:rsid w:val="00AD7A1E"/>
    <w:rsid w:val="00AE1E64"/>
    <w:rsid w:val="00AE1F81"/>
    <w:rsid w:val="00AE462E"/>
    <w:rsid w:val="00AE4F8F"/>
    <w:rsid w:val="00AE5D73"/>
    <w:rsid w:val="00AF3184"/>
    <w:rsid w:val="00AF7F30"/>
    <w:rsid w:val="00B00951"/>
    <w:rsid w:val="00B0393D"/>
    <w:rsid w:val="00B06CA6"/>
    <w:rsid w:val="00B06E87"/>
    <w:rsid w:val="00B14773"/>
    <w:rsid w:val="00B1568D"/>
    <w:rsid w:val="00B16054"/>
    <w:rsid w:val="00B1606F"/>
    <w:rsid w:val="00B161BE"/>
    <w:rsid w:val="00B20541"/>
    <w:rsid w:val="00B21D17"/>
    <w:rsid w:val="00B229EE"/>
    <w:rsid w:val="00B23708"/>
    <w:rsid w:val="00B26321"/>
    <w:rsid w:val="00B27855"/>
    <w:rsid w:val="00B3179F"/>
    <w:rsid w:val="00B31E94"/>
    <w:rsid w:val="00B33407"/>
    <w:rsid w:val="00B343DE"/>
    <w:rsid w:val="00B34EC5"/>
    <w:rsid w:val="00B42D2D"/>
    <w:rsid w:val="00B432D0"/>
    <w:rsid w:val="00B47A5E"/>
    <w:rsid w:val="00B53888"/>
    <w:rsid w:val="00B53B81"/>
    <w:rsid w:val="00B53DAD"/>
    <w:rsid w:val="00B5743A"/>
    <w:rsid w:val="00B576E6"/>
    <w:rsid w:val="00B57DBB"/>
    <w:rsid w:val="00B6314D"/>
    <w:rsid w:val="00B65E3F"/>
    <w:rsid w:val="00B66D23"/>
    <w:rsid w:val="00B6727B"/>
    <w:rsid w:val="00B708AC"/>
    <w:rsid w:val="00B73B03"/>
    <w:rsid w:val="00B73CE8"/>
    <w:rsid w:val="00B76C1F"/>
    <w:rsid w:val="00B80DCD"/>
    <w:rsid w:val="00B82CF3"/>
    <w:rsid w:val="00B8601A"/>
    <w:rsid w:val="00B914E0"/>
    <w:rsid w:val="00B92659"/>
    <w:rsid w:val="00B93477"/>
    <w:rsid w:val="00B94F11"/>
    <w:rsid w:val="00B9506D"/>
    <w:rsid w:val="00B9582A"/>
    <w:rsid w:val="00BA0D61"/>
    <w:rsid w:val="00BB0CD4"/>
    <w:rsid w:val="00BB736A"/>
    <w:rsid w:val="00BC137F"/>
    <w:rsid w:val="00BC1616"/>
    <w:rsid w:val="00BC2328"/>
    <w:rsid w:val="00BC2FD8"/>
    <w:rsid w:val="00BC4D08"/>
    <w:rsid w:val="00BC5ABF"/>
    <w:rsid w:val="00BC78EA"/>
    <w:rsid w:val="00BD0103"/>
    <w:rsid w:val="00BD3BCF"/>
    <w:rsid w:val="00BD5AD5"/>
    <w:rsid w:val="00BE1CD4"/>
    <w:rsid w:val="00BE3EBA"/>
    <w:rsid w:val="00BE6889"/>
    <w:rsid w:val="00BE6D31"/>
    <w:rsid w:val="00BE7B4B"/>
    <w:rsid w:val="00BF0DA4"/>
    <w:rsid w:val="00BF19D0"/>
    <w:rsid w:val="00BF1CC1"/>
    <w:rsid w:val="00BF1EA3"/>
    <w:rsid w:val="00BF48C9"/>
    <w:rsid w:val="00BF4E30"/>
    <w:rsid w:val="00C023EE"/>
    <w:rsid w:val="00C04278"/>
    <w:rsid w:val="00C05525"/>
    <w:rsid w:val="00C1416D"/>
    <w:rsid w:val="00C14B01"/>
    <w:rsid w:val="00C14BB8"/>
    <w:rsid w:val="00C14DC1"/>
    <w:rsid w:val="00C16C2B"/>
    <w:rsid w:val="00C20029"/>
    <w:rsid w:val="00C20D9D"/>
    <w:rsid w:val="00C23EA6"/>
    <w:rsid w:val="00C25509"/>
    <w:rsid w:val="00C26AF0"/>
    <w:rsid w:val="00C30586"/>
    <w:rsid w:val="00C3178B"/>
    <w:rsid w:val="00C31B38"/>
    <w:rsid w:val="00C320FB"/>
    <w:rsid w:val="00C3335F"/>
    <w:rsid w:val="00C3414A"/>
    <w:rsid w:val="00C419D9"/>
    <w:rsid w:val="00C42ADA"/>
    <w:rsid w:val="00C43426"/>
    <w:rsid w:val="00C437C8"/>
    <w:rsid w:val="00C469D9"/>
    <w:rsid w:val="00C475F0"/>
    <w:rsid w:val="00C477EC"/>
    <w:rsid w:val="00C514BE"/>
    <w:rsid w:val="00C57411"/>
    <w:rsid w:val="00C5763B"/>
    <w:rsid w:val="00C60751"/>
    <w:rsid w:val="00C60B7C"/>
    <w:rsid w:val="00C629D2"/>
    <w:rsid w:val="00C62D18"/>
    <w:rsid w:val="00C67621"/>
    <w:rsid w:val="00C717B3"/>
    <w:rsid w:val="00C75E54"/>
    <w:rsid w:val="00C77FEF"/>
    <w:rsid w:val="00C80C24"/>
    <w:rsid w:val="00C80FBB"/>
    <w:rsid w:val="00C8118F"/>
    <w:rsid w:val="00C82CEF"/>
    <w:rsid w:val="00C85D6E"/>
    <w:rsid w:val="00C901D3"/>
    <w:rsid w:val="00C93842"/>
    <w:rsid w:val="00C94D8E"/>
    <w:rsid w:val="00CA10E1"/>
    <w:rsid w:val="00CA28B0"/>
    <w:rsid w:val="00CB29C0"/>
    <w:rsid w:val="00CB359D"/>
    <w:rsid w:val="00CB4D7A"/>
    <w:rsid w:val="00CB54B2"/>
    <w:rsid w:val="00CB6BCE"/>
    <w:rsid w:val="00CB7B19"/>
    <w:rsid w:val="00CC2332"/>
    <w:rsid w:val="00CC424D"/>
    <w:rsid w:val="00CC468E"/>
    <w:rsid w:val="00CD2F80"/>
    <w:rsid w:val="00CD466D"/>
    <w:rsid w:val="00CD4E0A"/>
    <w:rsid w:val="00CD6DD2"/>
    <w:rsid w:val="00CE17FD"/>
    <w:rsid w:val="00CE26D7"/>
    <w:rsid w:val="00CE5115"/>
    <w:rsid w:val="00CE5AC8"/>
    <w:rsid w:val="00CE60B4"/>
    <w:rsid w:val="00CF4F16"/>
    <w:rsid w:val="00CF57CC"/>
    <w:rsid w:val="00CF5ECE"/>
    <w:rsid w:val="00CF68E6"/>
    <w:rsid w:val="00CF7DFE"/>
    <w:rsid w:val="00D02AA1"/>
    <w:rsid w:val="00D03AA8"/>
    <w:rsid w:val="00D07049"/>
    <w:rsid w:val="00D104F8"/>
    <w:rsid w:val="00D12D19"/>
    <w:rsid w:val="00D1323C"/>
    <w:rsid w:val="00D140E9"/>
    <w:rsid w:val="00D22EAC"/>
    <w:rsid w:val="00D23EC1"/>
    <w:rsid w:val="00D26BB3"/>
    <w:rsid w:val="00D26C5E"/>
    <w:rsid w:val="00D27590"/>
    <w:rsid w:val="00D27B21"/>
    <w:rsid w:val="00D31746"/>
    <w:rsid w:val="00D3452A"/>
    <w:rsid w:val="00D36E9E"/>
    <w:rsid w:val="00D36F44"/>
    <w:rsid w:val="00D4017E"/>
    <w:rsid w:val="00D40448"/>
    <w:rsid w:val="00D40CCD"/>
    <w:rsid w:val="00D41B19"/>
    <w:rsid w:val="00D443BD"/>
    <w:rsid w:val="00D45C76"/>
    <w:rsid w:val="00D50004"/>
    <w:rsid w:val="00D5031B"/>
    <w:rsid w:val="00D50B3A"/>
    <w:rsid w:val="00D50DEE"/>
    <w:rsid w:val="00D513B7"/>
    <w:rsid w:val="00D527CA"/>
    <w:rsid w:val="00D53EA8"/>
    <w:rsid w:val="00D57481"/>
    <w:rsid w:val="00D609AE"/>
    <w:rsid w:val="00D64444"/>
    <w:rsid w:val="00D64F7D"/>
    <w:rsid w:val="00D658A3"/>
    <w:rsid w:val="00D6729E"/>
    <w:rsid w:val="00D710DE"/>
    <w:rsid w:val="00D72B9F"/>
    <w:rsid w:val="00D72EE7"/>
    <w:rsid w:val="00D7464B"/>
    <w:rsid w:val="00D74E3F"/>
    <w:rsid w:val="00D75906"/>
    <w:rsid w:val="00D76FE4"/>
    <w:rsid w:val="00D81818"/>
    <w:rsid w:val="00D81D9E"/>
    <w:rsid w:val="00D82B48"/>
    <w:rsid w:val="00D84DA1"/>
    <w:rsid w:val="00D851D7"/>
    <w:rsid w:val="00D86C4E"/>
    <w:rsid w:val="00D8726A"/>
    <w:rsid w:val="00D8754B"/>
    <w:rsid w:val="00D91D5F"/>
    <w:rsid w:val="00D95BB8"/>
    <w:rsid w:val="00D970E7"/>
    <w:rsid w:val="00DA055D"/>
    <w:rsid w:val="00DA2CB6"/>
    <w:rsid w:val="00DA43F2"/>
    <w:rsid w:val="00DA5D90"/>
    <w:rsid w:val="00DA5FF4"/>
    <w:rsid w:val="00DB05BB"/>
    <w:rsid w:val="00DB72DD"/>
    <w:rsid w:val="00DC38EF"/>
    <w:rsid w:val="00DC3D05"/>
    <w:rsid w:val="00DD0355"/>
    <w:rsid w:val="00DD12C0"/>
    <w:rsid w:val="00DD3AD5"/>
    <w:rsid w:val="00DD7447"/>
    <w:rsid w:val="00DE01E6"/>
    <w:rsid w:val="00DE0691"/>
    <w:rsid w:val="00DE13D6"/>
    <w:rsid w:val="00DE1CB5"/>
    <w:rsid w:val="00DE35E4"/>
    <w:rsid w:val="00DE5E3F"/>
    <w:rsid w:val="00DE6100"/>
    <w:rsid w:val="00DE6E67"/>
    <w:rsid w:val="00DF36BC"/>
    <w:rsid w:val="00DF7A61"/>
    <w:rsid w:val="00E010A2"/>
    <w:rsid w:val="00E0125E"/>
    <w:rsid w:val="00E05789"/>
    <w:rsid w:val="00E058CD"/>
    <w:rsid w:val="00E07FB9"/>
    <w:rsid w:val="00E15A54"/>
    <w:rsid w:val="00E163A2"/>
    <w:rsid w:val="00E16418"/>
    <w:rsid w:val="00E16B4B"/>
    <w:rsid w:val="00E17072"/>
    <w:rsid w:val="00E2066D"/>
    <w:rsid w:val="00E242E4"/>
    <w:rsid w:val="00E249D4"/>
    <w:rsid w:val="00E25B25"/>
    <w:rsid w:val="00E26F7E"/>
    <w:rsid w:val="00E271B6"/>
    <w:rsid w:val="00E32BAF"/>
    <w:rsid w:val="00E34EF7"/>
    <w:rsid w:val="00E404FE"/>
    <w:rsid w:val="00E40CB0"/>
    <w:rsid w:val="00E434C1"/>
    <w:rsid w:val="00E45762"/>
    <w:rsid w:val="00E46AB9"/>
    <w:rsid w:val="00E51DF6"/>
    <w:rsid w:val="00E52AF8"/>
    <w:rsid w:val="00E53FB5"/>
    <w:rsid w:val="00E5460A"/>
    <w:rsid w:val="00E54630"/>
    <w:rsid w:val="00E61A3A"/>
    <w:rsid w:val="00E66026"/>
    <w:rsid w:val="00E677D0"/>
    <w:rsid w:val="00E75538"/>
    <w:rsid w:val="00E763D7"/>
    <w:rsid w:val="00E76DBC"/>
    <w:rsid w:val="00E8266C"/>
    <w:rsid w:val="00E84C09"/>
    <w:rsid w:val="00E852C6"/>
    <w:rsid w:val="00E860A0"/>
    <w:rsid w:val="00E8783A"/>
    <w:rsid w:val="00E90154"/>
    <w:rsid w:val="00E9655A"/>
    <w:rsid w:val="00E967EB"/>
    <w:rsid w:val="00E969DE"/>
    <w:rsid w:val="00EA3585"/>
    <w:rsid w:val="00EA7284"/>
    <w:rsid w:val="00EA76BF"/>
    <w:rsid w:val="00EB3B04"/>
    <w:rsid w:val="00EB68D8"/>
    <w:rsid w:val="00EB7E42"/>
    <w:rsid w:val="00EC06C4"/>
    <w:rsid w:val="00EC23F2"/>
    <w:rsid w:val="00EC45CD"/>
    <w:rsid w:val="00EC6F05"/>
    <w:rsid w:val="00ED01F4"/>
    <w:rsid w:val="00ED468B"/>
    <w:rsid w:val="00ED7C7B"/>
    <w:rsid w:val="00ED7FF4"/>
    <w:rsid w:val="00EE6FE3"/>
    <w:rsid w:val="00EF031F"/>
    <w:rsid w:val="00EF0ADE"/>
    <w:rsid w:val="00EF17C4"/>
    <w:rsid w:val="00EF1ADB"/>
    <w:rsid w:val="00EF2A20"/>
    <w:rsid w:val="00EF3C02"/>
    <w:rsid w:val="00EF4D72"/>
    <w:rsid w:val="00EF5608"/>
    <w:rsid w:val="00EF5FF9"/>
    <w:rsid w:val="00F0237F"/>
    <w:rsid w:val="00F043DB"/>
    <w:rsid w:val="00F064C4"/>
    <w:rsid w:val="00F06FE0"/>
    <w:rsid w:val="00F11600"/>
    <w:rsid w:val="00F14336"/>
    <w:rsid w:val="00F14A90"/>
    <w:rsid w:val="00F16B89"/>
    <w:rsid w:val="00F17493"/>
    <w:rsid w:val="00F21551"/>
    <w:rsid w:val="00F21756"/>
    <w:rsid w:val="00F24E98"/>
    <w:rsid w:val="00F256F7"/>
    <w:rsid w:val="00F26954"/>
    <w:rsid w:val="00F26972"/>
    <w:rsid w:val="00F2743C"/>
    <w:rsid w:val="00F309CC"/>
    <w:rsid w:val="00F30ED8"/>
    <w:rsid w:val="00F311A7"/>
    <w:rsid w:val="00F365C8"/>
    <w:rsid w:val="00F36B9F"/>
    <w:rsid w:val="00F36C6F"/>
    <w:rsid w:val="00F37B61"/>
    <w:rsid w:val="00F4121F"/>
    <w:rsid w:val="00F42ADE"/>
    <w:rsid w:val="00F42EAE"/>
    <w:rsid w:val="00F47C95"/>
    <w:rsid w:val="00F50392"/>
    <w:rsid w:val="00F52DE7"/>
    <w:rsid w:val="00F52F5F"/>
    <w:rsid w:val="00F5472C"/>
    <w:rsid w:val="00F54B4A"/>
    <w:rsid w:val="00F602B0"/>
    <w:rsid w:val="00F626A0"/>
    <w:rsid w:val="00F65940"/>
    <w:rsid w:val="00F710C4"/>
    <w:rsid w:val="00F71185"/>
    <w:rsid w:val="00F716FD"/>
    <w:rsid w:val="00F7497F"/>
    <w:rsid w:val="00F83F6A"/>
    <w:rsid w:val="00F84638"/>
    <w:rsid w:val="00F8647C"/>
    <w:rsid w:val="00F87358"/>
    <w:rsid w:val="00F90640"/>
    <w:rsid w:val="00F90FC5"/>
    <w:rsid w:val="00F9404E"/>
    <w:rsid w:val="00F94B78"/>
    <w:rsid w:val="00F94BA4"/>
    <w:rsid w:val="00F96119"/>
    <w:rsid w:val="00F97CB6"/>
    <w:rsid w:val="00F97EA3"/>
    <w:rsid w:val="00FA004A"/>
    <w:rsid w:val="00FA0324"/>
    <w:rsid w:val="00FA2000"/>
    <w:rsid w:val="00FA3566"/>
    <w:rsid w:val="00FB093C"/>
    <w:rsid w:val="00FB0D87"/>
    <w:rsid w:val="00FB3D8A"/>
    <w:rsid w:val="00FB413A"/>
    <w:rsid w:val="00FB52F8"/>
    <w:rsid w:val="00FB5CB9"/>
    <w:rsid w:val="00FD2449"/>
    <w:rsid w:val="00FD2527"/>
    <w:rsid w:val="00FD2EE1"/>
    <w:rsid w:val="00FD3BD0"/>
    <w:rsid w:val="00FD4969"/>
    <w:rsid w:val="00FD691C"/>
    <w:rsid w:val="00FE0FEA"/>
    <w:rsid w:val="00FE19F3"/>
    <w:rsid w:val="00FE450E"/>
    <w:rsid w:val="00FF1A3F"/>
    <w:rsid w:val="00FF38EE"/>
    <w:rsid w:val="00FF4266"/>
    <w:rsid w:val="00FF6517"/>
    <w:rsid w:val="00FF6644"/>
    <w:rsid w:val="00FF6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B491DF"/>
  <w15:chartTrackingRefBased/>
  <w15:docId w15:val="{5EF112CC-D617-44E0-A4C8-A7E15EA7D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MS Mincho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7284"/>
    <w:pPr>
      <w:spacing w:after="160" w:line="259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080A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080A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link w:val="Heading3Char"/>
    <w:uiPriority w:val="1"/>
    <w:qFormat/>
    <w:rsid w:val="00435C5D"/>
    <w:pPr>
      <w:widowControl w:val="0"/>
      <w:autoSpaceDE w:val="0"/>
      <w:autoSpaceDN w:val="0"/>
      <w:spacing w:after="0" w:line="240" w:lineRule="auto"/>
      <w:ind w:hanging="481"/>
      <w:outlineLvl w:val="2"/>
    </w:pPr>
    <w:rPr>
      <w:rFonts w:ascii="Arial" w:eastAsia="Arial" w:hAnsi="Arial" w:cs="Arial"/>
      <w:b/>
      <w:bCs/>
      <w:sz w:val="29"/>
      <w:szCs w:val="29"/>
      <w:lang w:val="sq-AL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1C46E3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504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A504D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A504D9"/>
  </w:style>
  <w:style w:type="paragraph" w:styleId="ListParagraph">
    <w:name w:val="List Paragraph"/>
    <w:aliases w:val="Bullet Points,Bullet Number,List Paragraph Char Char,MAIN CONTENT,Párrafo de lista,Recommendation,List Paragraph2,Graphic,Table/Figure Heading,Listeafsnit,Bullet List,FooterText,Colorful List Accent 1,numbered,Paragraphe de liste1,列出段落,Bu"/>
    <w:basedOn w:val="Normal"/>
    <w:link w:val="ListParagraphChar"/>
    <w:uiPriority w:val="34"/>
    <w:qFormat/>
    <w:rsid w:val="00A504D9"/>
    <w:pPr>
      <w:ind w:left="720"/>
      <w:contextualSpacing/>
    </w:pPr>
  </w:style>
  <w:style w:type="paragraph" w:styleId="NoSpacing">
    <w:name w:val="No Spacing"/>
    <w:link w:val="NoSpacingChar"/>
    <w:uiPriority w:val="99"/>
    <w:qFormat/>
    <w:rsid w:val="00464986"/>
    <w:rPr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1B13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34F"/>
  </w:style>
  <w:style w:type="paragraph" w:styleId="Footer">
    <w:name w:val="footer"/>
    <w:basedOn w:val="Normal"/>
    <w:link w:val="FooterChar"/>
    <w:uiPriority w:val="99"/>
    <w:unhideWhenUsed/>
    <w:rsid w:val="001B13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34F"/>
  </w:style>
  <w:style w:type="character" w:customStyle="1" w:styleId="NoSpacingChar">
    <w:name w:val="No Spacing Char"/>
    <w:link w:val="NoSpacing"/>
    <w:uiPriority w:val="1"/>
    <w:rsid w:val="001B134F"/>
    <w:rPr>
      <w:sz w:val="22"/>
      <w:szCs w:val="22"/>
      <w:lang w:val="en-US" w:eastAsia="en-US" w:bidi="ar-SA"/>
    </w:rPr>
  </w:style>
  <w:style w:type="character" w:styleId="CommentReference">
    <w:name w:val="annotation reference"/>
    <w:uiPriority w:val="99"/>
    <w:semiHidden/>
    <w:unhideWhenUsed/>
    <w:rsid w:val="001B13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13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B134F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13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B134F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aliases w:val="Bullet Points Char,Bullet Number Char,List Paragraph Char Char Char,MAIN CONTENT Char,Párrafo de lista Char,Recommendation Char,List Paragraph2 Char,Graphic Char,Table/Figure Heading Char,Listeafsnit Char,Bullet List Char,列出段落 Char"/>
    <w:link w:val="ListParagraph"/>
    <w:uiPriority w:val="34"/>
    <w:qFormat/>
    <w:locked/>
    <w:rsid w:val="00F30ED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56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E4565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C26A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39"/>
    <w:rsid w:val="00980A04"/>
    <w:rPr>
      <w:rFonts w:ascii="Times New Roman" w:eastAsia="Calibri" w:hAnsi="Times New Roman"/>
      <w:color w:val="000000"/>
      <w:sz w:val="24"/>
      <w:szCs w:val="22"/>
      <w:u w:val="singl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link w:val="Heading3"/>
    <w:uiPriority w:val="1"/>
    <w:rsid w:val="00435C5D"/>
    <w:rPr>
      <w:rFonts w:ascii="Arial" w:eastAsia="Arial" w:hAnsi="Arial" w:cs="Arial"/>
      <w:b/>
      <w:bCs/>
      <w:sz w:val="29"/>
      <w:szCs w:val="29"/>
      <w:lang w:val="sq-AL"/>
    </w:rPr>
  </w:style>
  <w:style w:type="paragraph" w:styleId="BodyText">
    <w:name w:val="Body Text"/>
    <w:basedOn w:val="Normal"/>
    <w:link w:val="BodyTextChar"/>
    <w:uiPriority w:val="1"/>
    <w:qFormat/>
    <w:rsid w:val="00435C5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14"/>
      <w:szCs w:val="14"/>
      <w:lang w:val="sq-AL"/>
    </w:rPr>
  </w:style>
  <w:style w:type="character" w:customStyle="1" w:styleId="BodyTextChar">
    <w:name w:val="Body Text Char"/>
    <w:link w:val="BodyText"/>
    <w:uiPriority w:val="1"/>
    <w:rsid w:val="00435C5D"/>
    <w:rPr>
      <w:rFonts w:ascii="Arial MT" w:eastAsia="Arial MT" w:hAnsi="Arial MT" w:cs="Arial MT"/>
      <w:sz w:val="14"/>
      <w:szCs w:val="14"/>
      <w:lang w:val="sq-AL"/>
    </w:rPr>
  </w:style>
  <w:style w:type="character" w:customStyle="1" w:styleId="Heading8Char">
    <w:name w:val="Heading 8 Char"/>
    <w:link w:val="Heading8"/>
    <w:uiPriority w:val="9"/>
    <w:rsid w:val="001C46E3"/>
    <w:rPr>
      <w:rFonts w:ascii="Calibri" w:eastAsia="Times New Roman" w:hAnsi="Calibri" w:cs="Times New Roman"/>
      <w:i/>
      <w:iCs/>
      <w:sz w:val="24"/>
      <w:szCs w:val="24"/>
    </w:rPr>
  </w:style>
  <w:style w:type="paragraph" w:styleId="Revision">
    <w:name w:val="Revision"/>
    <w:hidden/>
    <w:uiPriority w:val="99"/>
    <w:semiHidden/>
    <w:rsid w:val="00F11600"/>
    <w:rPr>
      <w:sz w:val="22"/>
      <w:szCs w:val="22"/>
      <w:lang w:val="en-US" w:eastAsia="en-US"/>
    </w:rPr>
  </w:style>
  <w:style w:type="character" w:styleId="Hyperlink">
    <w:name w:val="Hyperlink"/>
    <w:unhideWhenUsed/>
    <w:rsid w:val="00455847"/>
    <w:rPr>
      <w:color w:val="0000FF"/>
      <w:u w:val="single"/>
    </w:rPr>
  </w:style>
  <w:style w:type="character" w:styleId="Emphasis">
    <w:name w:val="Emphasis"/>
    <w:uiPriority w:val="20"/>
    <w:qFormat/>
    <w:rsid w:val="005B2E40"/>
    <w:rPr>
      <w:i/>
      <w:iCs/>
    </w:rPr>
  </w:style>
  <w:style w:type="character" w:customStyle="1" w:styleId="UnresolvedMention1">
    <w:name w:val="Unresolved Mention1"/>
    <w:uiPriority w:val="99"/>
    <w:semiHidden/>
    <w:unhideWhenUsed/>
    <w:rsid w:val="007D7AB0"/>
    <w:rPr>
      <w:color w:val="605E5C"/>
      <w:shd w:val="clear" w:color="auto" w:fill="E1DFDD"/>
    </w:rPr>
  </w:style>
  <w:style w:type="paragraph" w:customStyle="1" w:styleId="trt0xe">
    <w:name w:val="trt0xe"/>
    <w:basedOn w:val="Normal"/>
    <w:rsid w:val="006E38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F87358"/>
    <w:rPr>
      <w:b/>
      <w:bCs/>
    </w:rPr>
  </w:style>
  <w:style w:type="character" w:styleId="FollowedHyperlink">
    <w:name w:val="FollowedHyperlink"/>
    <w:uiPriority w:val="99"/>
    <w:semiHidden/>
    <w:unhideWhenUsed/>
    <w:rsid w:val="00D513B7"/>
    <w:rPr>
      <w:color w:val="954F72"/>
      <w:u w:val="single"/>
    </w:rPr>
  </w:style>
  <w:style w:type="character" w:customStyle="1" w:styleId="Heading1Char">
    <w:name w:val="Heading 1 Char"/>
    <w:link w:val="Heading1"/>
    <w:uiPriority w:val="9"/>
    <w:rsid w:val="0029080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29080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8963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0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92F758F2DE463D8136D57E1B49BB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2025-01-27T14:49:01Z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2025-01-27T00:00:00Z</Date_x0020_protokolli>
    <Titulli xmlns="0e656187-b300-4fb0-8bf4-3a50f872073c">Për metodat e kontrollit të cilësisë, lidhur me përmbajtjen e kanabinoideve, si dhe të kontrollit fiziko -kimik dhe mikrobiologjik, për mënyrën e paketimit, formën dhe sasinë</Titulli>
    <Modifikuesi xmlns="0e656187-b300-4fb0-8bf4-3a50f872073c">alma.lisaku</Modifikuesi>
    <Nr_x002e__x0020_prot_x0020_QBZ xmlns="0e656187-b300-4fb0-8bf4-3a50f872073c">145/2</Nr_x002e__x0020_prot_x0020_QBZ>
    <Data_x0020_e_x0020_Modifikimit xmlns="0e656187-b300-4fb0-8bf4-3a50f872073c">2025-01-29T15:34:51Z</Data_x0020_e_x0020_Modifikimit>
    <Dekretuar xmlns="0e656187-b300-4fb0-8bf4-3a50f872073c">false</Dekretuar>
    <Data xmlns="0e656187-b300-4fb0-8bf4-3a50f872073c">2025-01-20T00:00:00Z</Data>
    <Nr_x002e__x0020_protokolli_x0020_i_x0020_aktit xmlns="0e656187-b300-4fb0-8bf4-3a50f872073c">451/9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92F758F2DE463D8136D57E1B49BB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3E525-970F-4E7D-B631-AA29BD121E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C3757C-F6A1-4159-9124-F07C1AA054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AC35A0F-7E52-4E79-BB96-713754957E66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8636BDD-E770-4E8F-8772-C15F7E134C4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7C47C91-C74A-493B-B2C4-4DE2851D17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86B0458-7CD8-4744-BF34-00EAFE2AC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11</Pages>
  <Words>3048</Words>
  <Characters>17375</Characters>
  <Application>Microsoft Office Word</Application>
  <DocSecurity>0</DocSecurity>
  <Lines>144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Për metodat e kontrollit të cilësisë, lidhur me përmbajtjen e kanabinoideve, si dhe të kontrollit fiziko -kimik dhe mikrobiologjik, për mënyrën e paketimit, formën dhe sasinë</vt:lpstr>
      <vt:lpstr/>
    </vt:vector>
  </TitlesOfParts>
  <Company/>
  <LinksUpToDate>false</LinksUpToDate>
  <CharactersWithSpaces>20383</CharactersWithSpaces>
  <SharedDoc>false</SharedDoc>
  <HLinks>
    <vt:vector size="78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  <vt:variant>
        <vt:i4>2490418</vt:i4>
      </vt:variant>
      <vt:variant>
        <vt:i4>33</vt:i4>
      </vt:variant>
      <vt:variant>
        <vt:i4>0</vt:i4>
      </vt:variant>
      <vt:variant>
        <vt:i4>5</vt:i4>
      </vt:variant>
      <vt:variant>
        <vt:lpwstr>https://www.fda.gov/news-events/public-health-focus/fda-regulation-cannabis-and-cannabis-derived-products-including-cannabidiol-cbd</vt:lpwstr>
      </vt:variant>
      <vt:variant>
        <vt:lpwstr>:~:text=With%20the%20exception%20of%20Epidiolex,population%2C%20whether%20pediatric%20or%20adult</vt:lpwstr>
      </vt:variant>
      <vt:variant>
        <vt:i4>8257658</vt:i4>
      </vt:variant>
      <vt:variant>
        <vt:i4>30</vt:i4>
      </vt:variant>
      <vt:variant>
        <vt:i4>0</vt:i4>
      </vt:variant>
      <vt:variant>
        <vt:i4>5</vt:i4>
      </vt:variant>
      <vt:variant>
        <vt:lpwstr>https://www.ams.usda.gov/rules-regulations/hemp/information-laboratories/lab-testing-guidelines</vt:lpwstr>
      </vt:variant>
      <vt:variant>
        <vt:lpwstr/>
      </vt:variant>
      <vt:variant>
        <vt:i4>7209073</vt:i4>
      </vt:variant>
      <vt:variant>
        <vt:i4>27</vt:i4>
      </vt:variant>
      <vt:variant>
        <vt:i4>0</vt:i4>
      </vt:variant>
      <vt:variant>
        <vt:i4>5</vt:i4>
      </vt:variant>
      <vt:variant>
        <vt:lpwstr>https://agriculture.vermont.gov/hemp-program/required-testing-hemp-crops-and-hemp-products</vt:lpwstr>
      </vt:variant>
      <vt:variant>
        <vt:lpwstr/>
      </vt:variant>
      <vt:variant>
        <vt:i4>2818168</vt:i4>
      </vt:variant>
      <vt:variant>
        <vt:i4>24</vt:i4>
      </vt:variant>
      <vt:variant>
        <vt:i4>0</vt:i4>
      </vt:variant>
      <vt:variant>
        <vt:i4>5</vt:i4>
      </vt:variant>
      <vt:variant>
        <vt:lpwstr>https://www.ema.europa.eu/en/human-regulatory-overview/research-development/compliance-research-development/good-laboratory-practice-compliance</vt:lpwstr>
      </vt:variant>
      <vt:variant>
        <vt:lpwstr/>
      </vt:variant>
      <vt:variant>
        <vt:i4>65548</vt:i4>
      </vt:variant>
      <vt:variant>
        <vt:i4>21</vt:i4>
      </vt:variant>
      <vt:variant>
        <vt:i4>0</vt:i4>
      </vt:variant>
      <vt:variant>
        <vt:i4>5</vt:i4>
      </vt:variant>
      <vt:variant>
        <vt:lpwstr>https://www.ema.europa.eu/en/about-us/how-we-work/governance-reporting/policies-procedures</vt:lpwstr>
      </vt:variant>
      <vt:variant>
        <vt:lpwstr>:~:text=They%20include%20standard%20operating%20procedures,the%20Agency%2C%20unit%20or%20sector</vt:lpwstr>
      </vt:variant>
      <vt:variant>
        <vt:i4>2752619</vt:i4>
      </vt:variant>
      <vt:variant>
        <vt:i4>18</vt:i4>
      </vt:variant>
      <vt:variant>
        <vt:i4>0</vt:i4>
      </vt:variant>
      <vt:variant>
        <vt:i4>5</vt:i4>
      </vt:variant>
      <vt:variant>
        <vt:lpwstr>https://www.cancer.gov/publications/dictionaries/cancer-drug/def/cannabinol</vt:lpwstr>
      </vt:variant>
      <vt:variant>
        <vt:lpwstr/>
      </vt:variant>
      <vt:variant>
        <vt:i4>196685</vt:i4>
      </vt:variant>
      <vt:variant>
        <vt:i4>15</vt:i4>
      </vt:variant>
      <vt:variant>
        <vt:i4>0</vt:i4>
      </vt:variant>
      <vt:variant>
        <vt:i4>5</vt:i4>
      </vt:variant>
      <vt:variant>
        <vt:lpwstr>https://cdn.who.int/media/docs/default-source/controlled-substances/whocbdreportmay2018-2.pdf</vt:lpwstr>
      </vt:variant>
      <vt:variant>
        <vt:lpwstr/>
      </vt:variant>
      <vt:variant>
        <vt:i4>3407996</vt:i4>
      </vt:variant>
      <vt:variant>
        <vt:i4>12</vt:i4>
      </vt:variant>
      <vt:variant>
        <vt:i4>0</vt:i4>
      </vt:variant>
      <vt:variant>
        <vt:i4>5</vt:i4>
      </vt:variant>
      <vt:variant>
        <vt:lpwstr>https://www.gmp-compliance.org/gmp-news/usp-draft-monograph-for-cbd</vt:lpwstr>
      </vt:variant>
      <vt:variant>
        <vt:lpwstr/>
      </vt:variant>
      <vt:variant>
        <vt:i4>655430</vt:i4>
      </vt:variant>
      <vt:variant>
        <vt:i4>9</vt:i4>
      </vt:variant>
      <vt:variant>
        <vt:i4>0</vt:i4>
      </vt:variant>
      <vt:variant>
        <vt:i4>5</vt:i4>
      </vt:variant>
      <vt:variant>
        <vt:lpwstr>../../../../../../../../../../AppData/NACC 3/Desktop/Analiza e THC/isomersthc.pdf</vt:lpwstr>
      </vt:variant>
      <vt:variant>
        <vt:lpwstr/>
      </vt:variant>
      <vt:variant>
        <vt:i4>2490404</vt:i4>
      </vt:variant>
      <vt:variant>
        <vt:i4>6</vt:i4>
      </vt:variant>
      <vt:variant>
        <vt:i4>0</vt:i4>
      </vt:variant>
      <vt:variant>
        <vt:i4>5</vt:i4>
      </vt:variant>
      <vt:variant>
        <vt:lpwstr>https://www.incb.org/documents/Narcotic-Drugs/Yellow_List/63rd_edition/YL_63rd_E.pdf</vt:lpwstr>
      </vt:variant>
      <vt:variant>
        <vt:lpwstr/>
      </vt:variant>
      <vt:variant>
        <vt:i4>2752556</vt:i4>
      </vt:variant>
      <vt:variant>
        <vt:i4>3</vt:i4>
      </vt:variant>
      <vt:variant>
        <vt:i4>0</vt:i4>
      </vt:variant>
      <vt:variant>
        <vt:i4>5</vt:i4>
      </vt:variant>
      <vt:variant>
        <vt:lpwstr>https://www.unodc.org/pdf/convention_1961_en.pdf</vt:lpwstr>
      </vt:variant>
      <vt:variant>
        <vt:lpwstr/>
      </vt:variant>
      <vt:variant>
        <vt:i4>2162785</vt:i4>
      </vt:variant>
      <vt:variant>
        <vt:i4>0</vt:i4>
      </vt:variant>
      <vt:variant>
        <vt:i4>0</vt:i4>
      </vt:variant>
      <vt:variant>
        <vt:i4>5</vt:i4>
      </vt:variant>
      <vt:variant>
        <vt:lpwstr>https://dl.novachem.com.au/files/Ph Eur 3028 Cannabis flos.pdf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metodat e kontrollit të cilësisë, lidhur me përmbajtjen e kanabinoideve, si dhe të kontrollit fiziko -kimik dhe mikrobiologjik, për mënyrën e paketimit, formën dhe sasinë</dc:title>
  <dc:creator>Microsoft account</dc:creator>
  <cp:lastModifiedBy>Amarilda Muja</cp:lastModifiedBy>
  <cp:revision>66</cp:revision>
  <cp:lastPrinted>2024-12-17T08:06:00Z</cp:lastPrinted>
  <dcterms:created xsi:type="dcterms:W3CDTF">2025-01-17T08:46:00Z</dcterms:created>
  <dcterms:modified xsi:type="dcterms:W3CDTF">2025-01-30T08:32:00Z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bbb4dfd1-21da-43d1-8e6d-57f762269d76</vt:lpwstr>
  </property>
</Properties>
</file>