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552B7" w14:textId="5388D7C4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b/>
          <w:bCs/>
          <w:kern w:val="0"/>
          <w:lang w:val="sq-AL"/>
        </w:rPr>
      </w:pPr>
      <w:r w:rsidRPr="00A14F9F">
        <w:rPr>
          <w:rFonts w:eastAsiaTheme="minorEastAsia" w:cs="Times New Roman"/>
          <w:b/>
          <w:bCs/>
          <w:kern w:val="0"/>
          <w:lang w:val="sq-AL"/>
        </w:rPr>
        <w:t>UDHËZIM</w:t>
      </w:r>
    </w:p>
    <w:p w14:paraId="1F125D8D" w14:textId="08B125E9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b/>
          <w:bCs/>
          <w:kern w:val="0"/>
          <w:lang w:val="sq-AL"/>
        </w:rPr>
      </w:pPr>
      <w:r w:rsidRPr="00A14F9F">
        <w:rPr>
          <w:rFonts w:eastAsiaTheme="minorEastAsia" w:cs="Times New Roman"/>
          <w:b/>
          <w:bCs/>
          <w:kern w:val="0"/>
          <w:lang w:val="sq-AL"/>
        </w:rPr>
        <w:t>Nr. 6, datë 10.4.2026</w:t>
      </w:r>
    </w:p>
    <w:p w14:paraId="1E9BBE72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b/>
          <w:bCs/>
          <w:kern w:val="0"/>
          <w:lang w:val="sq-AL"/>
        </w:rPr>
      </w:pPr>
    </w:p>
    <w:p w14:paraId="273047A3" w14:textId="429AD10C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b/>
          <w:bCs/>
          <w:kern w:val="0"/>
          <w:lang w:val="sq-AL"/>
        </w:rPr>
      </w:pPr>
      <w:r w:rsidRPr="00A14F9F">
        <w:rPr>
          <w:rFonts w:eastAsiaTheme="minorEastAsia" w:cs="Times New Roman"/>
          <w:b/>
          <w:bCs/>
          <w:kern w:val="0"/>
          <w:lang w:val="sq-AL"/>
        </w:rPr>
        <w:t>PËR PËRCAKTIMIN E PROCEDURËS SË MONITORIMIT TË ZBATIMIT TË KONTRATAVE PËR USHTRIMIN E AKTIVITETIT TË PESHKIMIT NË UJËRAT E BRENDSHME DHE</w:t>
      </w:r>
      <w:r w:rsidRPr="00A14F9F">
        <w:rPr>
          <w:rFonts w:eastAsiaTheme="minorEastAsia" w:cs="Times New Roman"/>
          <w:kern w:val="0"/>
          <w:lang w:val="sq-AL"/>
        </w:rPr>
        <w:t xml:space="preserve"> </w:t>
      </w:r>
      <w:r w:rsidRPr="00A14F9F">
        <w:rPr>
          <w:rFonts w:eastAsiaTheme="minorEastAsia" w:cs="Times New Roman"/>
          <w:b/>
          <w:bCs/>
          <w:kern w:val="0"/>
          <w:lang w:val="sq-AL"/>
        </w:rPr>
        <w:t>TË AKUAKULTURËS NË SIPËRFAQE TOKËSORE DHE UJORE</w:t>
      </w:r>
    </w:p>
    <w:p w14:paraId="023910B6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kern w:val="0"/>
          <w:lang w:val="sq-AL"/>
        </w:rPr>
      </w:pPr>
    </w:p>
    <w:p w14:paraId="6242B715" w14:textId="11BCC799" w:rsidR="00123295" w:rsidRPr="00A14F9F" w:rsidRDefault="00123295" w:rsidP="00C6306F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Në mbështetje të pikës 4, të nenit 102</w:t>
      </w:r>
      <w:r w:rsidR="00C6306F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të Kushtetutës, pikës 16/1, të </w:t>
      </w:r>
      <w:r w:rsidR="00C6306F" w:rsidRPr="00A14F9F">
        <w:rPr>
          <w:rFonts w:eastAsiaTheme="minorEastAsia" w:cs="Times New Roman"/>
          <w:kern w:val="0"/>
          <w:lang w:val="sq-AL"/>
        </w:rPr>
        <w:t xml:space="preserve">vendimit </w:t>
      </w:r>
      <w:r w:rsidRPr="00A14F9F">
        <w:rPr>
          <w:rFonts w:eastAsiaTheme="minorEastAsia" w:cs="Times New Roman"/>
          <w:kern w:val="0"/>
          <w:lang w:val="sq-AL"/>
        </w:rPr>
        <w:t>nr. 712, datë 31.1.2013, të Këshillit të Ministrave</w:t>
      </w:r>
      <w:r w:rsidR="00C6306F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“Për përcaktimin e procedurave të konkurrimit publik për të drejtën e peshkimit në ujërat e brendshme të Republikës së Shqipërisë”, të ndryshuar, </w:t>
      </w:r>
    </w:p>
    <w:p w14:paraId="34769DD6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left"/>
        <w:rPr>
          <w:rFonts w:eastAsiaTheme="minorEastAsia" w:cs="Times New Roman"/>
          <w:kern w:val="0"/>
          <w:lang w:val="sq-AL"/>
        </w:rPr>
      </w:pPr>
    </w:p>
    <w:p w14:paraId="4591F93A" w14:textId="142AF031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b/>
          <w:bCs/>
          <w:kern w:val="0"/>
          <w:lang w:val="sq-AL"/>
        </w:rPr>
      </w:pPr>
      <w:r w:rsidRPr="00A14F9F">
        <w:rPr>
          <w:rFonts w:eastAsiaTheme="minorEastAsia" w:cs="Times New Roman"/>
          <w:bCs/>
          <w:kern w:val="0"/>
          <w:lang w:val="sq-AL"/>
        </w:rPr>
        <w:t>UDHËZOJ</w:t>
      </w:r>
      <w:r w:rsidRPr="008C3C16">
        <w:rPr>
          <w:rFonts w:eastAsiaTheme="minorEastAsia" w:cs="Times New Roman"/>
          <w:kern w:val="0"/>
          <w:lang w:val="sq-AL"/>
        </w:rPr>
        <w:t>:</w:t>
      </w:r>
    </w:p>
    <w:p w14:paraId="224D840E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eastAsiaTheme="minorEastAsia" w:cs="Times New Roman"/>
          <w:b/>
          <w:bCs/>
          <w:kern w:val="0"/>
          <w:lang w:val="sq-AL"/>
        </w:rPr>
      </w:pPr>
    </w:p>
    <w:p w14:paraId="0C1301C9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left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I. TË PËRGJITHSHME</w:t>
      </w:r>
    </w:p>
    <w:p w14:paraId="50383C15" w14:textId="6802A6F4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1. Ky udhëzim përcakton rregullat dhe procedurën për monitorimin e kontratave për ushtrimin e aktivitetit të peshkimit në ujërat e brendshme dhe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në sipërfaqe tokësore dhe ujore, me qëllim përmirësimin e mekanizmave të monitorimit përmes një procesi të unifikuar dhe të dokumentuar, duke garantuar trajtim të barabartë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të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gjitha kontratave objekt monitorimi.</w:t>
      </w:r>
    </w:p>
    <w:p w14:paraId="15F91839" w14:textId="4C933FC8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2. Monitorimi i kontratave synon:</w:t>
      </w:r>
    </w:p>
    <w:p w14:paraId="10230326" w14:textId="1241FE1E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a) Sigurimin e zbatimit të detyrimeve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kontraktore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dhe ligjore nga subjektet fizikë ose juridikë </w:t>
      </w:r>
      <w:r w:rsidRPr="00A14F9F">
        <w:rPr>
          <w:rFonts w:eastAsiaTheme="minorEastAsia" w:cs="Times New Roman"/>
          <w:i/>
          <w:iCs/>
          <w:kern w:val="0"/>
          <w:lang w:val="sq-AL"/>
        </w:rPr>
        <w:t>(në vijim “subjekte”)</w:t>
      </w:r>
      <w:r w:rsidR="00C6306F">
        <w:rPr>
          <w:rFonts w:eastAsiaTheme="minorEastAsia" w:cs="Times New Roman"/>
          <w:i/>
          <w:iCs/>
          <w:kern w:val="0"/>
          <w:lang w:val="sq-AL"/>
        </w:rPr>
        <w:t>,</w:t>
      </w:r>
      <w:r w:rsidRPr="00A14F9F">
        <w:rPr>
          <w:rFonts w:eastAsiaTheme="minorEastAsia" w:cs="Times New Roman"/>
          <w:i/>
          <w:iCs/>
          <w:kern w:val="0"/>
          <w:lang w:val="sq-AL"/>
        </w:rPr>
        <w:t xml:space="preserve"> </w:t>
      </w:r>
      <w:r w:rsidRPr="00A14F9F">
        <w:rPr>
          <w:rFonts w:eastAsiaTheme="minorEastAsia" w:cs="Times New Roman"/>
          <w:kern w:val="0"/>
          <w:lang w:val="sq-AL"/>
        </w:rPr>
        <w:t xml:space="preserve">që kanë lidhur kontratë me ministrinë përgjegjëse për aktivitetin e përshkimit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</w:t>
      </w:r>
      <w:r w:rsidRPr="00A14F9F">
        <w:rPr>
          <w:rFonts w:eastAsiaTheme="minorEastAsia" w:cs="Times New Roman"/>
          <w:i/>
          <w:iCs/>
          <w:kern w:val="0"/>
          <w:lang w:val="sq-AL"/>
        </w:rPr>
        <w:t>(në vijim “ministria”)</w:t>
      </w:r>
      <w:r w:rsidRPr="00A14F9F">
        <w:rPr>
          <w:rFonts w:eastAsiaTheme="minorEastAsia" w:cs="Times New Roman"/>
          <w:kern w:val="0"/>
          <w:lang w:val="sq-AL"/>
        </w:rPr>
        <w:t xml:space="preserve"> për ushtrimin e aktivitetit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;</w:t>
      </w:r>
    </w:p>
    <w:p w14:paraId="2A3C8460" w14:textId="37EFBB1A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Identifikimin, dokumentimin dhe vlerësimin e rasteve të mosrespektimit të detyrimeve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kontraktore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dhe ligjore;</w:t>
      </w:r>
    </w:p>
    <w:p w14:paraId="6EAF19DC" w14:textId="08BE8DF5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c) Marrjen e masave administrative</w:t>
      </w:r>
      <w:r w:rsidR="00C6306F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në përputhje me aktet ligjore dhe nënligjorë në fushën e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akukulutrës</w:t>
      </w:r>
      <w:proofErr w:type="spellEnd"/>
      <w:r w:rsidR="009E761E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si dhe me detyrimet ligjore që burojnë nga kontrata, ndaj subjekteve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kontraktore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që konstatohet se kanë shkelur kushtet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kontraktore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ose ligjore.</w:t>
      </w:r>
    </w:p>
    <w:p w14:paraId="1DFDBEFC" w14:textId="17357F59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3. Monitorimi i kontratave kryhet nga struktura përgjegjëse për monitorimin e kontratave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në </w:t>
      </w:r>
      <w:r w:rsidR="00C6306F" w:rsidRPr="00A14F9F">
        <w:rPr>
          <w:rFonts w:eastAsiaTheme="minorEastAsia" w:cs="Times New Roman"/>
          <w:kern w:val="0"/>
          <w:lang w:val="sq-AL"/>
        </w:rPr>
        <w:t xml:space="preserve">ministri </w:t>
      </w:r>
      <w:r w:rsidRPr="00A14F9F">
        <w:rPr>
          <w:rFonts w:eastAsiaTheme="minorEastAsia" w:cs="Times New Roman"/>
          <w:i/>
          <w:iCs/>
          <w:kern w:val="0"/>
          <w:lang w:val="sq-AL"/>
        </w:rPr>
        <w:t>(në vijim “struktura përgjegjëse”),</w:t>
      </w:r>
      <w:r w:rsidRPr="00A14F9F">
        <w:rPr>
          <w:rFonts w:eastAsiaTheme="minorEastAsia" w:cs="Times New Roman"/>
          <w:kern w:val="0"/>
          <w:lang w:val="sq-AL"/>
        </w:rPr>
        <w:t xml:space="preserve"> në bashkëpunim me institucionin përgjegjës për inspektimin e aktivitetit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, i cili për kryerjen e monitorimit të çdo kontrate vendos në dispozicion një inspektor, si dhe të dhënat dhe procesverbalet e kontrolleve të kryera nga inspektorët e peshkimit.</w:t>
      </w:r>
    </w:p>
    <w:p w14:paraId="1CFA8773" w14:textId="710FABF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4. Struktura përgjegjëse ndjek në vijueshmëri përmbushjen dhe respektimin e detyrimeve dhe kushteve të kontratës, për këtë qëllim ajo mban dhe përditëson regjistrin e kontratave për ushtrimin e aktivitetit të peshkimit dhe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bazuar</w:t>
      </w:r>
      <w:r w:rsidR="00447515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në:</w:t>
      </w:r>
    </w:p>
    <w:p w14:paraId="522B0C29" w14:textId="7CAD22F0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a) </w:t>
      </w:r>
      <w:r w:rsidR="00447515" w:rsidRPr="00A14F9F">
        <w:rPr>
          <w:rFonts w:eastAsiaTheme="minorEastAsia" w:cs="Times New Roman"/>
          <w:kern w:val="0"/>
          <w:lang w:val="sq-AL"/>
        </w:rPr>
        <w:t xml:space="preserve">aktet </w:t>
      </w:r>
      <w:r w:rsidRPr="00A14F9F">
        <w:rPr>
          <w:rFonts w:eastAsiaTheme="minorEastAsia" w:cs="Times New Roman"/>
          <w:kern w:val="0"/>
          <w:lang w:val="sq-AL"/>
        </w:rPr>
        <w:t>e monitorimit dhe inspektimit;</w:t>
      </w:r>
    </w:p>
    <w:p w14:paraId="587E6260" w14:textId="0020C75C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</w:t>
      </w:r>
      <w:r w:rsidR="00447515" w:rsidRPr="00A14F9F">
        <w:rPr>
          <w:rFonts w:eastAsiaTheme="minorEastAsia" w:cs="Times New Roman"/>
          <w:kern w:val="0"/>
          <w:lang w:val="sq-AL"/>
        </w:rPr>
        <w:t xml:space="preserve">raportimet </w:t>
      </w:r>
      <w:r w:rsidRPr="00A14F9F">
        <w:rPr>
          <w:rFonts w:eastAsiaTheme="minorEastAsia" w:cs="Times New Roman"/>
          <w:kern w:val="0"/>
          <w:lang w:val="sq-AL"/>
        </w:rPr>
        <w:t>e subjektit;</w:t>
      </w:r>
    </w:p>
    <w:p w14:paraId="0390E2C8" w14:textId="353A396C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c) </w:t>
      </w:r>
      <w:r w:rsidR="00447515" w:rsidRPr="00A14F9F">
        <w:rPr>
          <w:rFonts w:eastAsiaTheme="minorEastAsia" w:cs="Times New Roman"/>
          <w:kern w:val="0"/>
          <w:lang w:val="sq-AL"/>
        </w:rPr>
        <w:t xml:space="preserve">vendimmarrjet </w:t>
      </w:r>
      <w:r w:rsidRPr="00A14F9F">
        <w:rPr>
          <w:rFonts w:eastAsiaTheme="minorEastAsia" w:cs="Times New Roman"/>
          <w:kern w:val="0"/>
          <w:lang w:val="sq-AL"/>
        </w:rPr>
        <w:t xml:space="preserve">administrative të </w:t>
      </w:r>
      <w:r w:rsidR="00447515" w:rsidRPr="00A14F9F">
        <w:rPr>
          <w:rFonts w:eastAsiaTheme="minorEastAsia" w:cs="Times New Roman"/>
          <w:kern w:val="0"/>
          <w:lang w:val="sq-AL"/>
        </w:rPr>
        <w:t>Ministrisë</w:t>
      </w:r>
      <w:r w:rsidRPr="00A14F9F">
        <w:rPr>
          <w:rFonts w:eastAsiaTheme="minorEastAsia" w:cs="Times New Roman"/>
          <w:kern w:val="0"/>
          <w:lang w:val="sq-AL"/>
        </w:rPr>
        <w:t>.</w:t>
      </w:r>
    </w:p>
    <w:p w14:paraId="30E3D5F5" w14:textId="12DA43C6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color w:val="EE0000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5. Për çdo kontratë të lidhur, </w:t>
      </w:r>
      <w:r w:rsidR="00447515" w:rsidRPr="00A14F9F">
        <w:rPr>
          <w:rFonts w:eastAsiaTheme="minorEastAsia" w:cs="Times New Roman"/>
          <w:kern w:val="0"/>
          <w:lang w:val="sq-AL"/>
        </w:rPr>
        <w:t xml:space="preserve">Ministria </w:t>
      </w:r>
      <w:r w:rsidRPr="00A14F9F">
        <w:rPr>
          <w:rFonts w:eastAsiaTheme="minorEastAsia" w:cs="Times New Roman"/>
          <w:kern w:val="0"/>
          <w:lang w:val="sq-AL"/>
        </w:rPr>
        <w:t xml:space="preserve">i dorëzon një kopje edhe institucionit përgjegjës për inspektimin e aktivitetit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.</w:t>
      </w:r>
    </w:p>
    <w:p w14:paraId="557EAD82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II. PROCEDURA E MONITORIMIT TË KONTRATAVE </w:t>
      </w:r>
    </w:p>
    <w:p w14:paraId="7C8C88FB" w14:textId="3ABEE246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1. Monitorimi i kontratave për ushtrimin e aktivitetit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bëhet në mënyrë periodike, sipas planit të miratuar, të paktën një herë në vit, nga struktura përgjegjëse.</w:t>
      </w:r>
    </w:p>
    <w:p w14:paraId="36700430" w14:textId="12B6E6F1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2. Planet e monitorimit përgatiten nga struktura përgjegjëse dhe miratohen nga ministri. </w:t>
      </w:r>
    </w:p>
    <w:p w14:paraId="025D7AC9" w14:textId="0FCDAEFC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3. Monitorimi mund të kryhet edhe pa planifikim, në rastet kur ka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indicie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apo dyshime për shkelje, të mbështetura në ankesa, informacione nga subjekte private, institucione shtetërore, apo nga verifikime në terren.</w:t>
      </w:r>
    </w:p>
    <w:p w14:paraId="573C2039" w14:textId="0D17BB55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4. Monitorimi ka për objekt verifikimin e:</w:t>
      </w:r>
    </w:p>
    <w:p w14:paraId="38AD152F" w14:textId="3378CE0C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Realizimit të investimeve ndër vite dhe sipas zërave të deklaruar në kontratë dhe plan</w:t>
      </w:r>
      <w:r w:rsidR="00447515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 xml:space="preserve">biznesin e paraqitur nga subjektet në konkurrimin publik për të fituar të drejtën e ushtrimit të aktivitetit të </w:t>
      </w:r>
      <w:r w:rsidRPr="00A14F9F">
        <w:rPr>
          <w:rFonts w:eastAsiaTheme="minorEastAsia" w:cs="Times New Roman"/>
          <w:kern w:val="0"/>
          <w:lang w:val="sq-AL"/>
        </w:rPr>
        <w:lastRenderedPageBreak/>
        <w:t>peshkimit/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, si dhe nga subjektet që kanë fituar të drejtën e ushtrimit të aktivitetit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në zonë tokësore private;</w:t>
      </w:r>
    </w:p>
    <w:p w14:paraId="63127AD2" w14:textId="771BD171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</w:t>
      </w:r>
      <w:r w:rsidR="002D48E5" w:rsidRPr="00A14F9F">
        <w:rPr>
          <w:rFonts w:eastAsiaTheme="minorEastAsia" w:cs="Times New Roman"/>
          <w:kern w:val="0"/>
          <w:lang w:val="sq-AL"/>
        </w:rPr>
        <w:t xml:space="preserve">Respektimit </w:t>
      </w:r>
      <w:r w:rsidRPr="00A14F9F">
        <w:rPr>
          <w:rFonts w:eastAsiaTheme="minorEastAsia" w:cs="Times New Roman"/>
          <w:kern w:val="0"/>
          <w:lang w:val="sq-AL"/>
        </w:rPr>
        <w:t>të nivelit të punësimit;</w:t>
      </w:r>
    </w:p>
    <w:p w14:paraId="56FEC6D2" w14:textId="64ED6BD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c) </w:t>
      </w:r>
      <w:r w:rsidR="002D48E5" w:rsidRPr="00A14F9F">
        <w:rPr>
          <w:rFonts w:eastAsiaTheme="minorEastAsia" w:cs="Times New Roman"/>
          <w:kern w:val="0"/>
          <w:lang w:val="sq-AL"/>
        </w:rPr>
        <w:t xml:space="preserve">Realizimit </w:t>
      </w:r>
      <w:r w:rsidRPr="00A14F9F">
        <w:rPr>
          <w:rFonts w:eastAsiaTheme="minorEastAsia" w:cs="Times New Roman"/>
          <w:kern w:val="0"/>
          <w:lang w:val="sq-AL"/>
        </w:rPr>
        <w:t>të sasisë së deklaruar të prodhimit dhe sasisë së zënieve;</w:t>
      </w:r>
    </w:p>
    <w:p w14:paraId="071E3BC9" w14:textId="08195E8F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ç)</w:t>
      </w:r>
      <w:r w:rsidR="00A14F9F">
        <w:rPr>
          <w:rFonts w:eastAsiaTheme="minorEastAsia" w:cs="Times New Roman"/>
          <w:kern w:val="0"/>
          <w:lang w:val="sq-AL"/>
        </w:rPr>
        <w:t xml:space="preserve"> </w:t>
      </w:r>
      <w:r w:rsidR="002D48E5" w:rsidRPr="00A14F9F">
        <w:rPr>
          <w:rFonts w:eastAsiaTheme="minorEastAsia" w:cs="Times New Roman"/>
          <w:kern w:val="0"/>
          <w:lang w:val="sq-AL"/>
        </w:rPr>
        <w:t>Zënieve</w:t>
      </w:r>
      <w:r w:rsidRPr="00A14F9F">
        <w:rPr>
          <w:rFonts w:eastAsiaTheme="minorEastAsia" w:cs="Times New Roman"/>
          <w:kern w:val="0"/>
          <w:lang w:val="sq-AL"/>
        </w:rPr>
        <w:t>/kultivimit sipas llojeve, sasisë dhe metodologjisë së përcaktuar në plan biznes;</w:t>
      </w:r>
    </w:p>
    <w:p w14:paraId="2DE84B2A" w14:textId="42212D96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d) </w:t>
      </w:r>
      <w:r w:rsidR="002D48E5" w:rsidRPr="00A14F9F">
        <w:rPr>
          <w:rFonts w:eastAsiaTheme="minorEastAsia" w:cs="Times New Roman"/>
          <w:kern w:val="0"/>
          <w:lang w:val="sq-AL"/>
        </w:rPr>
        <w:t xml:space="preserve">Raportimit </w:t>
      </w:r>
      <w:r w:rsidRPr="00A14F9F">
        <w:rPr>
          <w:rFonts w:eastAsiaTheme="minorEastAsia" w:cs="Times New Roman"/>
          <w:kern w:val="0"/>
          <w:lang w:val="sq-AL"/>
        </w:rPr>
        <w:t>të deklarimeve statistikore dhe pagesës së detyrimeve financiare (taksa vjetore);</w:t>
      </w:r>
    </w:p>
    <w:p w14:paraId="43984620" w14:textId="34C5EF5E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dh) </w:t>
      </w:r>
      <w:r w:rsidR="002D48E5" w:rsidRPr="00A14F9F">
        <w:rPr>
          <w:rFonts w:eastAsiaTheme="minorEastAsia" w:cs="Times New Roman"/>
          <w:kern w:val="0"/>
          <w:lang w:val="sq-AL"/>
        </w:rPr>
        <w:t xml:space="preserve">Respektimit </w:t>
      </w:r>
      <w:r w:rsidRPr="00A14F9F">
        <w:rPr>
          <w:rFonts w:eastAsiaTheme="minorEastAsia" w:cs="Times New Roman"/>
          <w:kern w:val="0"/>
          <w:lang w:val="sq-AL"/>
        </w:rPr>
        <w:t>të sipërfaqes ujore/koordinatave të përcaktuara në kontratë;</w:t>
      </w:r>
    </w:p>
    <w:p w14:paraId="43C7187C" w14:textId="54BE9C2D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e) </w:t>
      </w:r>
      <w:r w:rsidR="002D48E5" w:rsidRPr="00A14F9F">
        <w:rPr>
          <w:rFonts w:eastAsiaTheme="minorEastAsia" w:cs="Times New Roman"/>
          <w:kern w:val="0"/>
          <w:lang w:val="sq-AL"/>
        </w:rPr>
        <w:t xml:space="preserve">Përdorimit </w:t>
      </w:r>
      <w:r w:rsidRPr="00A14F9F">
        <w:rPr>
          <w:rFonts w:eastAsiaTheme="minorEastAsia" w:cs="Times New Roman"/>
          <w:kern w:val="0"/>
          <w:lang w:val="sq-AL"/>
        </w:rPr>
        <w:t>të bazës materiale dhe mjeteve të deklaruara për ushtrimin e aktivitetit të peshkimit/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.</w:t>
      </w:r>
    </w:p>
    <w:p w14:paraId="2C539283" w14:textId="570117FB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5. Procesi i monitorimit zhvillohet në këto faza: </w:t>
      </w:r>
    </w:p>
    <w:p w14:paraId="3399E0E8" w14:textId="77777777" w:rsidR="00123295" w:rsidRPr="00A14F9F" w:rsidRDefault="00123295" w:rsidP="0012329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5.1 Planifikimi dhe njoftimi:</w:t>
      </w:r>
    </w:p>
    <w:p w14:paraId="3155E937" w14:textId="40DD421C" w:rsidR="00123295" w:rsidRPr="00A14F9F" w:rsidRDefault="00123295" w:rsidP="0012329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Hartimi dhe miratimi i planit të monitorimit;</w:t>
      </w:r>
    </w:p>
    <w:p w14:paraId="47E0C104" w14:textId="7EA4654F" w:rsidR="00123295" w:rsidRPr="00A14F9F" w:rsidRDefault="00123295" w:rsidP="0012329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b) Njoftimi i subjektit të paktën 5 (pesë) ditë kalendarike përpara, duke përcaktuar dokumentacionin që duhet të paraqesë dhe afatin për dorëzimin e tij.</w:t>
      </w:r>
    </w:p>
    <w:p w14:paraId="4AC501A2" w14:textId="4A8F5DC0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5.2 Monitorimi në terren:</w:t>
      </w:r>
    </w:p>
    <w:p w14:paraId="02DC8710" w14:textId="50A4F100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Kontrolli i realizimit fizik të investimeve. Këto investime mund përfshijnë ndërtimet që shërbejnë për kultivimin e organizmave ujorë, të till</w:t>
      </w:r>
      <w:r w:rsidR="002D48E5">
        <w:rPr>
          <w:rFonts w:eastAsiaTheme="minorEastAsia" w:cs="Times New Roman"/>
          <w:kern w:val="0"/>
          <w:lang w:val="sq-AL"/>
        </w:rPr>
        <w:t>ë</w:t>
      </w:r>
      <w:r w:rsidRPr="00A14F9F">
        <w:rPr>
          <w:rFonts w:eastAsiaTheme="minorEastAsia" w:cs="Times New Roman"/>
          <w:kern w:val="0"/>
          <w:lang w:val="sq-AL"/>
        </w:rPr>
        <w:t xml:space="preserve"> si vaskat, kanalet furnizuese dhe shkarkuese, inkubatorët, laboratorët, magazinat frigoriferike, si dhe çdo ndërtim apo investim tjetër që shërben për ushtrimin e aktivitetit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, si dhe atë të peshkimit (varka, rrjeta peshkimi etj.), sipas treguesve të deklaruar në kontratë apo plan</w:t>
      </w:r>
      <w:r w:rsidR="002D48E5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>biznes, pjesë integrale e kontratës;</w:t>
      </w:r>
    </w:p>
    <w:p w14:paraId="613610CE" w14:textId="2FA4FEE2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b) Kontrolli i përputhshmërisë së sipërfaqes ujore dhe/ose koordinatave të përcaktuara në kontratë;</w:t>
      </w:r>
    </w:p>
    <w:p w14:paraId="722F9E2E" w14:textId="3F2B4461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c) Verifikimi i përdorimit të bazës materiale dhe mjeteve të peshkimit, sipas parashikimeve të bëra në plan</w:t>
      </w:r>
      <w:r w:rsidR="002D48E5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>biznes;</w:t>
      </w:r>
    </w:p>
    <w:p w14:paraId="27D43868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ç) Hartimi dhe mbajtja e procesverbalit të monitorimit, ku evidentohen gjetjet dhe konstatimet gjatë kontrollit në terren; procesverbali nënshkruhet nga palët përkatëse dhe subjekti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</w:t>
      </w:r>
      <w:proofErr w:type="spellEnd"/>
      <w:r w:rsidRPr="00A14F9F">
        <w:rPr>
          <w:rFonts w:eastAsiaTheme="minorEastAsia" w:cs="Times New Roman"/>
          <w:kern w:val="0"/>
          <w:lang w:val="sq-AL"/>
        </w:rPr>
        <w:t>.</w:t>
      </w:r>
    </w:p>
    <w:p w14:paraId="6777F59B" w14:textId="520B71FD" w:rsidR="00123295" w:rsidRPr="00A14F9F" w:rsidRDefault="00123295" w:rsidP="001232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5.3 Shqyrtimi i dokumentacionit:</w:t>
      </w:r>
    </w:p>
    <w:p w14:paraId="00162017" w14:textId="330BFAE1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Analiza e dokumentacionit ekonomik/financiar dhe ligjor. Ky dokumentacion përfshin:</w:t>
      </w:r>
    </w:p>
    <w:p w14:paraId="6BD9D198" w14:textId="29C4F6BA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i. faturat tatimore (blerje)</w:t>
      </w:r>
      <w:r w:rsidR="002D48E5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që vërtetojnë realizimin e investimeve sipas zërave dhe viteve të deklaruara në kontratë dhe plan</w:t>
      </w:r>
      <w:r w:rsidR="002D48E5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>biznes;</w:t>
      </w:r>
    </w:p>
    <w:p w14:paraId="1E4A99C0" w14:textId="35CF95C1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proofErr w:type="spellStart"/>
      <w:r w:rsidRPr="00A14F9F">
        <w:rPr>
          <w:rFonts w:eastAsiaTheme="minorEastAsia" w:cs="Times New Roman"/>
          <w:kern w:val="0"/>
          <w:lang w:val="sq-AL"/>
        </w:rPr>
        <w:t>ii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. fatura tatimore (shitje) të produkteve peshkore që subjektet duhet të </w:t>
      </w:r>
      <w:proofErr w:type="spellStart"/>
      <w:r w:rsidRPr="00924BFD">
        <w:rPr>
          <w:rFonts w:eastAsiaTheme="minorEastAsia" w:cs="Times New Roman"/>
          <w:kern w:val="0"/>
          <w:lang w:val="sq-AL"/>
        </w:rPr>
        <w:t>zejnë</w:t>
      </w:r>
      <w:proofErr w:type="spellEnd"/>
      <w:r w:rsidRPr="00A14F9F">
        <w:rPr>
          <w:rFonts w:eastAsiaTheme="minorEastAsia" w:cs="Times New Roman"/>
          <w:kern w:val="0"/>
          <w:lang w:val="sq-AL"/>
        </w:rPr>
        <w:t>/kultivojnë sipas llojeve, sasisë dhe metodologjisë së përcaktuar në plan</w:t>
      </w:r>
      <w:r w:rsidR="00924BFD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>biznes;</w:t>
      </w:r>
    </w:p>
    <w:p w14:paraId="2EF920A9" w14:textId="446FC293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proofErr w:type="spellStart"/>
      <w:r w:rsidRPr="00A14F9F">
        <w:rPr>
          <w:rFonts w:eastAsiaTheme="minorEastAsia" w:cs="Times New Roman"/>
          <w:kern w:val="0"/>
          <w:lang w:val="sq-AL"/>
        </w:rPr>
        <w:t>iii</w:t>
      </w:r>
      <w:proofErr w:type="spellEnd"/>
      <w:r w:rsidRPr="00A14F9F">
        <w:rPr>
          <w:rFonts w:eastAsiaTheme="minorEastAsia" w:cs="Times New Roman"/>
          <w:kern w:val="0"/>
          <w:lang w:val="sq-AL"/>
        </w:rPr>
        <w:t>. leje ndërtimi, kontrata sipërmarrjeje, porosie ose dokumente të tjera ligjore që vërtetojnë ligjshmërinë e ndërtimeve apo investimeve të tjera të parashikuara në plan</w:t>
      </w:r>
      <w:r w:rsidR="00A1203B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>biznes, të shoqëruara me fatura tatimore që provojnë pagesën e shërbimeve për realizimin e tyre. Ndërtimet apo investimet e tjera, të parashikuara në plan</w:t>
      </w:r>
      <w:r w:rsidR="00A1203B">
        <w:rPr>
          <w:rFonts w:eastAsiaTheme="minorEastAsia" w:cs="Times New Roman"/>
          <w:kern w:val="0"/>
          <w:lang w:val="sq-AL"/>
        </w:rPr>
        <w:t>-</w:t>
      </w:r>
      <w:r w:rsidRPr="00A14F9F">
        <w:rPr>
          <w:rFonts w:eastAsiaTheme="minorEastAsia" w:cs="Times New Roman"/>
          <w:kern w:val="0"/>
          <w:lang w:val="sq-AL"/>
        </w:rPr>
        <w:t xml:space="preserve">biznes, duhet të jenë në funksion të ushtrimit të aktivitetit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/peshkimit, objekt kontrate.</w:t>
      </w:r>
    </w:p>
    <w:p w14:paraId="2666B8EE" w14:textId="0D04FF73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Kontroll dhe verifikim i numrit të deklaruar të punonjësve përmes shqyrtimit të dokumentacionit përkatës (deklarata të sigurimeve shoqërore dhe shëndetësore, vërtetime të pagesave të kontributeve, regjistri i punonjësve,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listëpagesat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mujore etj.);</w:t>
      </w:r>
    </w:p>
    <w:p w14:paraId="4DD14B84" w14:textId="132EFBCD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c) Shqyrtim i raportimeve statistikore mbi të dhënat për zënien/kultivimin, për të verifikuar përputhshmërinë e të dhënave të raportuara me gjetjet faktike.</w:t>
      </w:r>
    </w:p>
    <w:p w14:paraId="613136D2" w14:textId="53F98E2A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5.4 Analiza dhe raportimi:</w:t>
      </w:r>
    </w:p>
    <w:p w14:paraId="381103C3" w14:textId="72E54D19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Hartimi i raportit paraprak të monitorimit;</w:t>
      </w:r>
    </w:p>
    <w:p w14:paraId="7FCA11C6" w14:textId="5DB4ADEC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Evidentimi i shkeljeve (nëse ka) me referencë në dispozitat përkatëse ligjore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kontraktore</w:t>
      </w:r>
      <w:proofErr w:type="spellEnd"/>
      <w:r w:rsidRPr="00A14F9F">
        <w:rPr>
          <w:rFonts w:eastAsiaTheme="minorEastAsia" w:cs="Times New Roman"/>
          <w:kern w:val="0"/>
          <w:lang w:val="sq-AL"/>
        </w:rPr>
        <w:t>.</w:t>
      </w:r>
    </w:p>
    <w:p w14:paraId="0168C973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5.5 E drejta për t’u dëgjuar:</w:t>
      </w:r>
    </w:p>
    <w:p w14:paraId="2C04EB30" w14:textId="3042A819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Njoftimi i subjektit për gjetjet;</w:t>
      </w:r>
    </w:p>
    <w:p w14:paraId="53BF62EF" w14:textId="538A1659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Dhënia e një afati prej 7 (shtatë) ditësh kalendarike për paraqitjen e pretendimeve </w:t>
      </w:r>
      <w:r w:rsidR="00A14F9F" w:rsidRPr="00A14F9F">
        <w:rPr>
          <w:rFonts w:eastAsiaTheme="minorEastAsia" w:cs="Times New Roman"/>
          <w:kern w:val="0"/>
          <w:lang w:val="sq-AL"/>
        </w:rPr>
        <w:t>përfundimtare</w:t>
      </w:r>
      <w:r w:rsidRPr="00A14F9F">
        <w:rPr>
          <w:rFonts w:eastAsiaTheme="minorEastAsia" w:cs="Times New Roman"/>
          <w:kern w:val="0"/>
          <w:lang w:val="sq-AL"/>
        </w:rPr>
        <w:t>.</w:t>
      </w:r>
    </w:p>
    <w:p w14:paraId="61531C72" w14:textId="2C9A91A6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5.6 Vendimmarrja administrative</w:t>
      </w:r>
      <w:r w:rsidR="00E07E46">
        <w:rPr>
          <w:rFonts w:eastAsiaTheme="minorEastAsia" w:cs="Times New Roman"/>
          <w:kern w:val="0"/>
          <w:lang w:val="sq-AL"/>
        </w:rPr>
        <w:t>:</w:t>
      </w:r>
    </w:p>
    <w:p w14:paraId="4C77218C" w14:textId="00173672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a) Shqyrtimi i pretendimeve përfundimtare;</w:t>
      </w:r>
    </w:p>
    <w:p w14:paraId="114ED36D" w14:textId="5D2768C3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b) Hartimi i raportit përfundimtar, i cili evidenton shkeljet e konstatuara, si dhe rekomandimet dhe propozimet për masat përkatëse, me referencë në dispozitat ligjore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kontraktore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në fuqi; sipas </w:t>
      </w:r>
      <w:r w:rsidRPr="00A14F9F">
        <w:rPr>
          <w:rFonts w:eastAsiaTheme="minorEastAsia" w:cs="Times New Roman"/>
          <w:kern w:val="0"/>
          <w:lang w:val="sq-AL"/>
        </w:rPr>
        <w:lastRenderedPageBreak/>
        <w:t>rastit, raporti përfshin masa për përmirësim, duke përcaktuar afate të qarta dhe të arsyeshme për përmbushje, ose propozon zgjidhjen e kontratës kur shkeljet janë të natyrës që e justifikojnë këtë masë;</w:t>
      </w:r>
    </w:p>
    <w:p w14:paraId="1811AEBA" w14:textId="0E97EF05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c) Miratimi i raportit nga ministri i shoqëruar, </w:t>
      </w:r>
      <w:r w:rsidRPr="000870DB">
        <w:rPr>
          <w:rFonts w:eastAsiaTheme="minorEastAsia" w:cs="Times New Roman"/>
          <w:kern w:val="0"/>
          <w:lang w:val="sq-AL"/>
        </w:rPr>
        <w:t>në rast se propozohet zgjidhja e kontratës,</w:t>
      </w:r>
      <w:r w:rsidRPr="00A14F9F">
        <w:rPr>
          <w:rFonts w:eastAsiaTheme="minorEastAsia" w:cs="Times New Roman"/>
          <w:kern w:val="0"/>
          <w:lang w:val="sq-AL"/>
        </w:rPr>
        <w:t xml:space="preserve"> me urdhrin përkatës për zgjidhjen e saj;</w:t>
      </w:r>
    </w:p>
    <w:p w14:paraId="7968DCE6" w14:textId="73882A6C" w:rsidR="00123295" w:rsidRPr="00A14F9F" w:rsidRDefault="00123295" w:rsidP="00123295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ç)</w:t>
      </w:r>
      <w:r w:rsidR="00A14F9F">
        <w:rPr>
          <w:rFonts w:eastAsiaTheme="minorEastAsia" w:cs="Times New Roman"/>
          <w:kern w:val="0"/>
          <w:lang w:val="sq-AL"/>
        </w:rPr>
        <w:t xml:space="preserve"> </w:t>
      </w:r>
      <w:r w:rsidRPr="00A14F9F">
        <w:rPr>
          <w:rFonts w:eastAsiaTheme="minorEastAsia" w:cs="Times New Roman"/>
          <w:kern w:val="0"/>
          <w:lang w:val="sq-AL"/>
        </w:rPr>
        <w:t>Njoftimi i subjektit për masën e marrë.</w:t>
      </w:r>
    </w:p>
    <w:p w14:paraId="685FE065" w14:textId="629BFC75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6. Shqyrtimi dhe analiza e dokumentacionit ekonomik/financiar dhe ligjor kryhet brenda një afati prej 15 (pesëmbëdhjetë) ditësh kalendarike nga data e paraqitjes së dokumentacionit përkatës nga subjekti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kontraktor</w:t>
      </w:r>
      <w:proofErr w:type="spellEnd"/>
      <w:r w:rsidRPr="00A14F9F">
        <w:rPr>
          <w:rFonts w:eastAsiaTheme="minorEastAsia" w:cs="Times New Roman"/>
          <w:kern w:val="0"/>
          <w:lang w:val="sq-AL"/>
        </w:rPr>
        <w:t>. Në rastin e OMP-ve, shqyrtimi dhe analiza e dokumentacionit ekonomik/financiar dhe ligjor kryhet brenda një afati prej 30 ditësh kalendarike.</w:t>
      </w:r>
    </w:p>
    <w:p w14:paraId="7A09A02A" w14:textId="115CB5D5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7. Raporti përfundimtar i monitorimit të çdo kontrate hartohet brenda një afati prej 30 (tridhjetë) ditësh kalendarike nga data e përfundimit të afatit të caktuar në pikën 6 të këtij kreu.</w:t>
      </w:r>
    </w:p>
    <w:p w14:paraId="1CC02AB8" w14:textId="3B0B0629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8. Në raste të veçanta, për shkak të volumit të dokumentacionit të paraqitur nga subjekti, ose kur natyra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kompleksiteti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i çështjeve të konstatuara kërkojnë kohë shtesë për analizë dhe verifikim, afatet e përcaktuara në pikat 6 dhe 7 të këtij kreu mund të zgjaten për një periudhë shtesë, por jo më shumë se kohëzgjatja e afatit fillestar.</w:t>
      </w:r>
    </w:p>
    <w:p w14:paraId="3EFDF58D" w14:textId="3818E52A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9. Në kategoritë ujore të shpallura si zona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bashkëmenaxhimi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ku funksionojnë Organizatat e Menaxhimit të Peshkimit (OMP), struktura përgjegjëse dhe institucioni përgjegjës për inspektimin e aktivitetit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monitorojnë zbatimin e kushteve të kontratës që Ministria ka lidhur me OMP-në përkatëse dhe të planit të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bashkëmenaxhimit</w:t>
      </w:r>
      <w:proofErr w:type="spellEnd"/>
      <w:r w:rsidRPr="00A14F9F">
        <w:rPr>
          <w:rFonts w:eastAsiaTheme="minorEastAsia" w:cs="Times New Roman"/>
          <w:kern w:val="0"/>
          <w:lang w:val="sq-AL"/>
        </w:rPr>
        <w:t>. Procesi i monitorimit kryhet sipas pikës 5 të këtij kreu.</w:t>
      </w:r>
    </w:p>
    <w:p w14:paraId="1D8A3FA4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III. DISPOZITAT E FUNDIT</w:t>
      </w:r>
    </w:p>
    <w:p w14:paraId="5BB828B4" w14:textId="6D2BA42B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1. Për zbatimin e këtij udhëzimi ngarkohet struktura përgjegjëse për monitorimin e kontratave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në </w:t>
      </w:r>
      <w:r w:rsidR="00A14F9F" w:rsidRPr="00A14F9F">
        <w:rPr>
          <w:rFonts w:eastAsiaTheme="minorEastAsia" w:cs="Times New Roman"/>
          <w:kern w:val="0"/>
          <w:lang w:val="sq-AL"/>
        </w:rPr>
        <w:t>ministri</w:t>
      </w:r>
      <w:r w:rsidRPr="00A14F9F">
        <w:rPr>
          <w:rFonts w:eastAsiaTheme="minorEastAsia" w:cs="Times New Roman"/>
          <w:kern w:val="0"/>
          <w:lang w:val="sq-AL"/>
        </w:rPr>
        <w:t xml:space="preserve">, si dhe institucioni përgjegjës për inspektimin e aktivitetit të peshkimit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akuakulturës</w:t>
      </w:r>
      <w:proofErr w:type="spellEnd"/>
      <w:r w:rsidRPr="00A14F9F">
        <w:rPr>
          <w:rFonts w:eastAsiaTheme="minorEastAsia" w:cs="Times New Roman"/>
          <w:kern w:val="0"/>
          <w:lang w:val="sq-AL"/>
        </w:rPr>
        <w:t>.</w:t>
      </w:r>
    </w:p>
    <w:p w14:paraId="35F875D6" w14:textId="1457D9C0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>2. Udhëzimi nr. 11, datë 10.9.2020</w:t>
      </w:r>
      <w:r w:rsidR="00A14F9F" w:rsidRPr="00A14F9F">
        <w:rPr>
          <w:rFonts w:eastAsiaTheme="minorEastAsia" w:cs="Times New Roman"/>
          <w:kern w:val="0"/>
          <w:lang w:val="sq-AL"/>
        </w:rPr>
        <w:t>,</w:t>
      </w:r>
      <w:r w:rsidRPr="00A14F9F">
        <w:rPr>
          <w:rFonts w:eastAsiaTheme="minorEastAsia" w:cs="Times New Roman"/>
          <w:kern w:val="0"/>
          <w:lang w:val="sq-AL"/>
        </w:rPr>
        <w:t xml:space="preserve"> “Për procedurat e monitorimit të zbatimit të kontratave për ushtrimin e aktivitetit të peshkimit në ujërat e brendshme dhe </w:t>
      </w:r>
      <w:proofErr w:type="spellStart"/>
      <w:r w:rsidRPr="00A14F9F">
        <w:rPr>
          <w:rFonts w:eastAsiaTheme="minorEastAsia" w:cs="Times New Roman"/>
          <w:kern w:val="0"/>
          <w:lang w:val="sq-AL"/>
        </w:rPr>
        <w:t>akuak</w:t>
      </w:r>
      <w:bookmarkStart w:id="0" w:name="_GoBack"/>
      <w:bookmarkEnd w:id="0"/>
      <w:r w:rsidRPr="00A14F9F">
        <w:rPr>
          <w:rFonts w:eastAsiaTheme="minorEastAsia" w:cs="Times New Roman"/>
          <w:kern w:val="0"/>
          <w:lang w:val="sq-AL"/>
        </w:rPr>
        <w:t>ulturën</w:t>
      </w:r>
      <w:proofErr w:type="spellEnd"/>
      <w:r w:rsidRPr="00A14F9F">
        <w:rPr>
          <w:rFonts w:eastAsiaTheme="minorEastAsia" w:cs="Times New Roman"/>
          <w:kern w:val="0"/>
          <w:lang w:val="sq-AL"/>
        </w:rPr>
        <w:t xml:space="preserve"> tokësore dhe bujqësore”,</w:t>
      </w:r>
      <w:r w:rsidRPr="00A14F9F">
        <w:rPr>
          <w:rFonts w:eastAsiaTheme="minorEastAsia" w:cs="Times New Roman"/>
          <w:i/>
          <w:iCs/>
          <w:kern w:val="0"/>
          <w:lang w:val="sq-AL"/>
        </w:rPr>
        <w:t xml:space="preserve"> </w:t>
      </w:r>
      <w:r w:rsidRPr="00A14F9F">
        <w:rPr>
          <w:rFonts w:eastAsiaTheme="minorEastAsia" w:cs="Times New Roman"/>
          <w:kern w:val="0"/>
          <w:lang w:val="sq-AL"/>
        </w:rPr>
        <w:t>shfuqizohet.</w:t>
      </w:r>
    </w:p>
    <w:p w14:paraId="3C0B217C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rPr>
          <w:rFonts w:eastAsiaTheme="minorEastAsia" w:cs="Times New Roman"/>
          <w:kern w:val="0"/>
          <w:lang w:val="sq-AL"/>
        </w:rPr>
      </w:pPr>
      <w:r w:rsidRPr="00A14F9F">
        <w:rPr>
          <w:rFonts w:eastAsiaTheme="minorEastAsia" w:cs="Times New Roman"/>
          <w:kern w:val="0"/>
          <w:lang w:val="sq-AL"/>
        </w:rPr>
        <w:t xml:space="preserve"> Ky udhëzim hyn në fuqi pas botimit në Fletoren Zyrtare.</w:t>
      </w:r>
    </w:p>
    <w:p w14:paraId="41A8CCF4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right"/>
        <w:rPr>
          <w:rFonts w:eastAsiaTheme="minorEastAsia" w:cs="Times New Roman"/>
          <w:kern w:val="0"/>
          <w:lang w:val="sq-AL"/>
        </w:rPr>
      </w:pPr>
    </w:p>
    <w:p w14:paraId="03CB9279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right"/>
        <w:rPr>
          <w:rFonts w:eastAsiaTheme="minorEastAsia" w:cs="Times New Roman"/>
          <w:bCs/>
          <w:kern w:val="0"/>
          <w:lang w:val="sq-AL"/>
        </w:rPr>
      </w:pPr>
      <w:r w:rsidRPr="00A14F9F">
        <w:rPr>
          <w:rFonts w:eastAsiaTheme="minorEastAsia" w:cs="Times New Roman"/>
          <w:bCs/>
          <w:kern w:val="0"/>
          <w:lang w:val="sq-AL"/>
        </w:rPr>
        <w:t>MINISTËR I BUJQËSISË DHE ZHVILLIMIT RURAL</w:t>
      </w:r>
    </w:p>
    <w:p w14:paraId="3BB120F4" w14:textId="77777777" w:rsidR="00123295" w:rsidRPr="00A14F9F" w:rsidRDefault="00123295" w:rsidP="00123295">
      <w:pPr>
        <w:autoSpaceDE w:val="0"/>
        <w:autoSpaceDN w:val="0"/>
        <w:adjustRightInd w:val="0"/>
        <w:spacing w:after="0" w:line="240" w:lineRule="auto"/>
        <w:ind w:right="0" w:firstLine="284"/>
        <w:jc w:val="right"/>
        <w:rPr>
          <w:rFonts w:eastAsiaTheme="minorEastAsia" w:cs="Times New Roman"/>
          <w:b/>
          <w:bCs/>
          <w:kern w:val="0"/>
          <w:lang w:val="sq-AL"/>
        </w:rPr>
      </w:pPr>
      <w:proofErr w:type="spellStart"/>
      <w:r w:rsidRPr="00A14F9F">
        <w:rPr>
          <w:rFonts w:eastAsiaTheme="minorEastAsia" w:cs="Times New Roman"/>
          <w:b/>
          <w:bCs/>
          <w:kern w:val="0"/>
          <w:lang w:val="sq-AL"/>
        </w:rPr>
        <w:t>Andis</w:t>
      </w:r>
      <w:proofErr w:type="spellEnd"/>
      <w:r w:rsidRPr="00A14F9F">
        <w:rPr>
          <w:rFonts w:eastAsiaTheme="minorEastAsia" w:cs="Times New Roman"/>
          <w:b/>
          <w:bCs/>
          <w:kern w:val="0"/>
          <w:lang w:val="sq-AL"/>
        </w:rPr>
        <w:t xml:space="preserve"> Salla</w:t>
      </w:r>
    </w:p>
    <w:sectPr w:rsidR="00123295" w:rsidRPr="00A14F9F" w:rsidSect="0028666A">
      <w:footerReference w:type="default" r:id="rId13"/>
      <w:pgSz w:w="12240" w:h="15840"/>
      <w:pgMar w:top="990" w:right="1440" w:bottom="720" w:left="1440" w:header="0" w:footer="81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912DD" w14:textId="77777777" w:rsidR="00E07E46" w:rsidRDefault="00E07E46" w:rsidP="00692DBF">
      <w:pPr>
        <w:spacing w:after="0" w:line="240" w:lineRule="auto"/>
      </w:pPr>
      <w:r>
        <w:separator/>
      </w:r>
    </w:p>
  </w:endnote>
  <w:endnote w:type="continuationSeparator" w:id="0">
    <w:p w14:paraId="43AA91C1" w14:textId="77777777" w:rsidR="00E07E46" w:rsidRDefault="00E07E46" w:rsidP="00692DBF">
      <w:pPr>
        <w:spacing w:after="0" w:line="240" w:lineRule="auto"/>
      </w:pPr>
      <w:r>
        <w:continuationSeparator/>
      </w:r>
    </w:p>
  </w:endnote>
  <w:endnote w:type="continuationNotice" w:id="1">
    <w:p w14:paraId="66F42A93" w14:textId="77777777" w:rsidR="00E07E46" w:rsidRDefault="00E07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0EE16" w14:textId="1FA1C740" w:rsidR="00E07E46" w:rsidRPr="001A1347" w:rsidRDefault="00E07E46" w:rsidP="00123295">
    <w:pPr>
      <w:pStyle w:val="ListParagraph"/>
      <w:tabs>
        <w:tab w:val="right" w:pos="9354"/>
      </w:tabs>
      <w:ind w:left="270" w:right="-5"/>
      <w:rPr>
        <w:sz w:val="18"/>
        <w:szCs w:val="18"/>
        <w:u w:val="single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32677" w14:textId="77777777" w:rsidR="00E07E46" w:rsidRDefault="00E07E46" w:rsidP="00692DBF">
      <w:pPr>
        <w:spacing w:after="0" w:line="240" w:lineRule="auto"/>
      </w:pPr>
      <w:r>
        <w:separator/>
      </w:r>
    </w:p>
  </w:footnote>
  <w:footnote w:type="continuationSeparator" w:id="0">
    <w:p w14:paraId="7E541CCD" w14:textId="77777777" w:rsidR="00E07E46" w:rsidRDefault="00E07E46" w:rsidP="00692DBF">
      <w:pPr>
        <w:spacing w:after="0" w:line="240" w:lineRule="auto"/>
      </w:pPr>
      <w:r>
        <w:continuationSeparator/>
      </w:r>
    </w:p>
  </w:footnote>
  <w:footnote w:type="continuationNotice" w:id="1">
    <w:p w14:paraId="214B7269" w14:textId="77777777" w:rsidR="00E07E46" w:rsidRDefault="00E07E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52FD3"/>
    <w:multiLevelType w:val="hybridMultilevel"/>
    <w:tmpl w:val="F04E941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BB488F"/>
    <w:multiLevelType w:val="multilevel"/>
    <w:tmpl w:val="A19A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23A78"/>
    <w:multiLevelType w:val="multilevel"/>
    <w:tmpl w:val="8834D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4A57D7"/>
    <w:multiLevelType w:val="hybridMultilevel"/>
    <w:tmpl w:val="57D4E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73EBC"/>
    <w:multiLevelType w:val="multilevel"/>
    <w:tmpl w:val="DB40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619B5"/>
    <w:multiLevelType w:val="hybridMultilevel"/>
    <w:tmpl w:val="DC543E96"/>
    <w:lvl w:ilvl="0" w:tplc="04090017">
      <w:start w:val="1"/>
      <w:numFmt w:val="lowerLetter"/>
      <w:lvlText w:val="%1)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 w15:restartNumberingAfterBreak="0">
    <w:nsid w:val="17EE354D"/>
    <w:multiLevelType w:val="hybridMultilevel"/>
    <w:tmpl w:val="224AEB4C"/>
    <w:lvl w:ilvl="0" w:tplc="671628B0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4A415C">
      <w:start w:val="1"/>
      <w:numFmt w:val="lowerLetter"/>
      <w:lvlText w:val="%2"/>
      <w:lvlJc w:val="left"/>
      <w:pPr>
        <w:ind w:left="13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09370">
      <w:start w:val="1"/>
      <w:numFmt w:val="lowerRoman"/>
      <w:lvlText w:val="%3"/>
      <w:lvlJc w:val="left"/>
      <w:pPr>
        <w:ind w:left="20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4CD4E">
      <w:start w:val="1"/>
      <w:numFmt w:val="decimal"/>
      <w:lvlText w:val="%4"/>
      <w:lvlJc w:val="left"/>
      <w:pPr>
        <w:ind w:left="28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F860E2">
      <w:start w:val="1"/>
      <w:numFmt w:val="lowerLetter"/>
      <w:lvlText w:val="%5"/>
      <w:lvlJc w:val="left"/>
      <w:pPr>
        <w:ind w:left="35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CE616C">
      <w:start w:val="1"/>
      <w:numFmt w:val="lowerRoman"/>
      <w:lvlText w:val="%6"/>
      <w:lvlJc w:val="left"/>
      <w:pPr>
        <w:ind w:left="42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EA7646">
      <w:start w:val="1"/>
      <w:numFmt w:val="decimal"/>
      <w:lvlText w:val="%7"/>
      <w:lvlJc w:val="left"/>
      <w:pPr>
        <w:ind w:left="49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0AD8C">
      <w:start w:val="1"/>
      <w:numFmt w:val="lowerLetter"/>
      <w:lvlText w:val="%8"/>
      <w:lvlJc w:val="left"/>
      <w:pPr>
        <w:ind w:left="56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4C66C6">
      <w:start w:val="1"/>
      <w:numFmt w:val="lowerRoman"/>
      <w:lvlText w:val="%9"/>
      <w:lvlJc w:val="left"/>
      <w:pPr>
        <w:ind w:left="64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BF37A6E"/>
    <w:multiLevelType w:val="hybridMultilevel"/>
    <w:tmpl w:val="7AC8D0DE"/>
    <w:lvl w:ilvl="0" w:tplc="513AAF74">
      <w:start w:val="1"/>
      <w:numFmt w:val="lowerLetter"/>
      <w:lvlText w:val="%1)"/>
      <w:lvlJc w:val="left"/>
      <w:pPr>
        <w:ind w:left="994" w:hanging="360"/>
      </w:pPr>
      <w:rPr>
        <w:rFonts w:ascii="Garamond" w:hAnsi="Garamond" w:cs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8" w15:restartNumberingAfterBreak="0">
    <w:nsid w:val="1CEB0FAA"/>
    <w:multiLevelType w:val="multilevel"/>
    <w:tmpl w:val="3904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27BFA"/>
    <w:multiLevelType w:val="hybridMultilevel"/>
    <w:tmpl w:val="55E2432A"/>
    <w:lvl w:ilvl="0" w:tplc="E6D041F2">
      <w:start w:val="1"/>
      <w:numFmt w:val="lowerLetter"/>
      <w:lvlText w:val="%1)"/>
      <w:lvlJc w:val="left"/>
      <w:pPr>
        <w:ind w:left="1354" w:hanging="360"/>
      </w:pPr>
      <w:rPr>
        <w:rFonts w:ascii="Garamond" w:hAnsi="Garamond" w:cs="Garamond" w:hint="default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0" w15:restartNumberingAfterBreak="0">
    <w:nsid w:val="1D97592C"/>
    <w:multiLevelType w:val="multilevel"/>
    <w:tmpl w:val="73C6E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6069B"/>
    <w:multiLevelType w:val="multilevel"/>
    <w:tmpl w:val="33AC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372A74"/>
    <w:multiLevelType w:val="multilevel"/>
    <w:tmpl w:val="9C94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FE2D09"/>
    <w:multiLevelType w:val="hybridMultilevel"/>
    <w:tmpl w:val="C93CB6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61F69"/>
    <w:multiLevelType w:val="multilevel"/>
    <w:tmpl w:val="4F3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F0ADA"/>
    <w:multiLevelType w:val="multilevel"/>
    <w:tmpl w:val="FB66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A53DD1"/>
    <w:multiLevelType w:val="multilevel"/>
    <w:tmpl w:val="51A6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62655"/>
    <w:multiLevelType w:val="multilevel"/>
    <w:tmpl w:val="9842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4C23B1"/>
    <w:multiLevelType w:val="hybridMultilevel"/>
    <w:tmpl w:val="95463928"/>
    <w:lvl w:ilvl="0" w:tplc="8EF494A8">
      <w:start w:val="1"/>
      <w:numFmt w:val="upperLetter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9" w15:restartNumberingAfterBreak="0">
    <w:nsid w:val="2CAF7EB0"/>
    <w:multiLevelType w:val="hybridMultilevel"/>
    <w:tmpl w:val="038A119E"/>
    <w:lvl w:ilvl="0" w:tplc="EE84C866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B2B4C8">
      <w:start w:val="1"/>
      <w:numFmt w:val="lowerLetter"/>
      <w:lvlText w:val="%2"/>
      <w:lvlJc w:val="left"/>
      <w:pPr>
        <w:ind w:left="13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E4756">
      <w:start w:val="1"/>
      <w:numFmt w:val="lowerRoman"/>
      <w:lvlText w:val="%3"/>
      <w:lvlJc w:val="left"/>
      <w:pPr>
        <w:ind w:left="20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EC667C">
      <w:start w:val="1"/>
      <w:numFmt w:val="decimal"/>
      <w:lvlText w:val="%4"/>
      <w:lvlJc w:val="left"/>
      <w:pPr>
        <w:ind w:left="28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A0C030">
      <w:start w:val="1"/>
      <w:numFmt w:val="lowerLetter"/>
      <w:lvlText w:val="%5"/>
      <w:lvlJc w:val="left"/>
      <w:pPr>
        <w:ind w:left="35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C9E72">
      <w:start w:val="1"/>
      <w:numFmt w:val="lowerRoman"/>
      <w:lvlText w:val="%6"/>
      <w:lvlJc w:val="left"/>
      <w:pPr>
        <w:ind w:left="42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FC24E0">
      <w:start w:val="1"/>
      <w:numFmt w:val="decimal"/>
      <w:lvlText w:val="%7"/>
      <w:lvlJc w:val="left"/>
      <w:pPr>
        <w:ind w:left="49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A06B52">
      <w:start w:val="1"/>
      <w:numFmt w:val="lowerLetter"/>
      <w:lvlText w:val="%8"/>
      <w:lvlJc w:val="left"/>
      <w:pPr>
        <w:ind w:left="56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76EEC2">
      <w:start w:val="1"/>
      <w:numFmt w:val="lowerRoman"/>
      <w:lvlText w:val="%9"/>
      <w:lvlJc w:val="left"/>
      <w:pPr>
        <w:ind w:left="64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E360D69"/>
    <w:multiLevelType w:val="multilevel"/>
    <w:tmpl w:val="67E8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402A24"/>
    <w:multiLevelType w:val="hybridMultilevel"/>
    <w:tmpl w:val="F6D048BE"/>
    <w:lvl w:ilvl="0" w:tplc="58786CB6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17C2987"/>
    <w:multiLevelType w:val="hybridMultilevel"/>
    <w:tmpl w:val="844CB55E"/>
    <w:lvl w:ilvl="0" w:tplc="7ACC4C96">
      <w:start w:val="1"/>
      <w:numFmt w:val="upperLetter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34444566"/>
    <w:multiLevelType w:val="multilevel"/>
    <w:tmpl w:val="34749E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63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6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4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7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8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35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992" w:hanging="1800"/>
      </w:pPr>
      <w:rPr>
        <w:rFonts w:hint="default"/>
        <w:b/>
      </w:rPr>
    </w:lvl>
  </w:abstractNum>
  <w:abstractNum w:abstractNumId="24" w15:restartNumberingAfterBreak="0">
    <w:nsid w:val="39D15189"/>
    <w:multiLevelType w:val="hybridMultilevel"/>
    <w:tmpl w:val="87DA5AB2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E40B4F"/>
    <w:multiLevelType w:val="multilevel"/>
    <w:tmpl w:val="F430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313AFD"/>
    <w:multiLevelType w:val="hybridMultilevel"/>
    <w:tmpl w:val="4D620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651D95"/>
    <w:multiLevelType w:val="multilevel"/>
    <w:tmpl w:val="4208B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6D2C9B"/>
    <w:multiLevelType w:val="hybridMultilevel"/>
    <w:tmpl w:val="0BEA9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62B71"/>
    <w:multiLevelType w:val="hybridMultilevel"/>
    <w:tmpl w:val="A0F433A2"/>
    <w:lvl w:ilvl="0" w:tplc="3B98C1E0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E622A0">
      <w:start w:val="1"/>
      <w:numFmt w:val="lowerLetter"/>
      <w:lvlText w:val="%2"/>
      <w:lvlJc w:val="left"/>
      <w:pPr>
        <w:ind w:left="13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8957A">
      <w:start w:val="1"/>
      <w:numFmt w:val="lowerRoman"/>
      <w:lvlText w:val="%3"/>
      <w:lvlJc w:val="left"/>
      <w:pPr>
        <w:ind w:left="20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A8A412">
      <w:start w:val="1"/>
      <w:numFmt w:val="decimal"/>
      <w:lvlText w:val="%4"/>
      <w:lvlJc w:val="left"/>
      <w:pPr>
        <w:ind w:left="28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52C2E2">
      <w:start w:val="1"/>
      <w:numFmt w:val="lowerLetter"/>
      <w:lvlText w:val="%5"/>
      <w:lvlJc w:val="left"/>
      <w:pPr>
        <w:ind w:left="35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2E620">
      <w:start w:val="1"/>
      <w:numFmt w:val="lowerRoman"/>
      <w:lvlText w:val="%6"/>
      <w:lvlJc w:val="left"/>
      <w:pPr>
        <w:ind w:left="42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6E13AE">
      <w:start w:val="1"/>
      <w:numFmt w:val="decimal"/>
      <w:lvlText w:val="%7"/>
      <w:lvlJc w:val="left"/>
      <w:pPr>
        <w:ind w:left="49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183172">
      <w:start w:val="1"/>
      <w:numFmt w:val="lowerLetter"/>
      <w:lvlText w:val="%8"/>
      <w:lvlJc w:val="left"/>
      <w:pPr>
        <w:ind w:left="56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30438E">
      <w:start w:val="1"/>
      <w:numFmt w:val="lowerRoman"/>
      <w:lvlText w:val="%9"/>
      <w:lvlJc w:val="left"/>
      <w:pPr>
        <w:ind w:left="64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01D2F9F"/>
    <w:multiLevelType w:val="multilevel"/>
    <w:tmpl w:val="3B72F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614428"/>
    <w:multiLevelType w:val="hybridMultilevel"/>
    <w:tmpl w:val="EAAA0D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476BBC"/>
    <w:multiLevelType w:val="hybridMultilevel"/>
    <w:tmpl w:val="BCBAAFD6"/>
    <w:lvl w:ilvl="0" w:tplc="D4FEA412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3" w15:restartNumberingAfterBreak="0">
    <w:nsid w:val="5BE93C84"/>
    <w:multiLevelType w:val="hybridMultilevel"/>
    <w:tmpl w:val="BCB2769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CCC4383"/>
    <w:multiLevelType w:val="hybridMultilevel"/>
    <w:tmpl w:val="50BA475E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5FD77AAD"/>
    <w:multiLevelType w:val="hybridMultilevel"/>
    <w:tmpl w:val="1BFE4A34"/>
    <w:lvl w:ilvl="0" w:tplc="04090017">
      <w:start w:val="1"/>
      <w:numFmt w:val="lowerLetter"/>
      <w:lvlText w:val="%1)"/>
      <w:lvlJc w:val="left"/>
      <w:pPr>
        <w:ind w:left="781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6" w15:restartNumberingAfterBreak="0">
    <w:nsid w:val="612D50DA"/>
    <w:multiLevelType w:val="hybridMultilevel"/>
    <w:tmpl w:val="AD7AB030"/>
    <w:lvl w:ilvl="0" w:tplc="A658070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F64C7"/>
    <w:multiLevelType w:val="hybridMultilevel"/>
    <w:tmpl w:val="12824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040ABE"/>
    <w:multiLevelType w:val="hybridMultilevel"/>
    <w:tmpl w:val="742E6850"/>
    <w:lvl w:ilvl="0" w:tplc="D7C8B8C2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9" w15:restartNumberingAfterBreak="0">
    <w:nsid w:val="65397834"/>
    <w:multiLevelType w:val="hybridMultilevel"/>
    <w:tmpl w:val="7BB67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A465089"/>
    <w:multiLevelType w:val="multilevel"/>
    <w:tmpl w:val="98A8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52797B"/>
    <w:multiLevelType w:val="multilevel"/>
    <w:tmpl w:val="BD2278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42" w15:restartNumberingAfterBreak="0">
    <w:nsid w:val="6F7B2456"/>
    <w:multiLevelType w:val="hybridMultilevel"/>
    <w:tmpl w:val="B0B23B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3D6814"/>
    <w:multiLevelType w:val="hybridMultilevel"/>
    <w:tmpl w:val="16365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34622"/>
    <w:multiLevelType w:val="hybridMultilevel"/>
    <w:tmpl w:val="AF7E0C0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1257AB"/>
    <w:multiLevelType w:val="multilevel"/>
    <w:tmpl w:val="FA24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AF5670"/>
    <w:multiLevelType w:val="multilevel"/>
    <w:tmpl w:val="BEC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9"/>
  </w:num>
  <w:num w:numId="3">
    <w:abstractNumId w:val="6"/>
  </w:num>
  <w:num w:numId="4">
    <w:abstractNumId w:val="11"/>
  </w:num>
  <w:num w:numId="5">
    <w:abstractNumId w:val="7"/>
  </w:num>
  <w:num w:numId="6">
    <w:abstractNumId w:val="9"/>
  </w:num>
  <w:num w:numId="7">
    <w:abstractNumId w:val="2"/>
  </w:num>
  <w:num w:numId="8">
    <w:abstractNumId w:val="30"/>
  </w:num>
  <w:num w:numId="9">
    <w:abstractNumId w:val="28"/>
  </w:num>
  <w:num w:numId="10">
    <w:abstractNumId w:val="32"/>
  </w:num>
  <w:num w:numId="11">
    <w:abstractNumId w:val="41"/>
  </w:num>
  <w:num w:numId="12">
    <w:abstractNumId w:val="27"/>
  </w:num>
  <w:num w:numId="13">
    <w:abstractNumId w:val="43"/>
  </w:num>
  <w:num w:numId="14">
    <w:abstractNumId w:val="12"/>
  </w:num>
  <w:num w:numId="15">
    <w:abstractNumId w:val="40"/>
  </w:num>
  <w:num w:numId="16">
    <w:abstractNumId w:val="14"/>
  </w:num>
  <w:num w:numId="17">
    <w:abstractNumId w:val="4"/>
  </w:num>
  <w:num w:numId="18">
    <w:abstractNumId w:val="15"/>
  </w:num>
  <w:num w:numId="19">
    <w:abstractNumId w:val="20"/>
  </w:num>
  <w:num w:numId="20">
    <w:abstractNumId w:val="16"/>
  </w:num>
  <w:num w:numId="21">
    <w:abstractNumId w:val="46"/>
  </w:num>
  <w:num w:numId="22">
    <w:abstractNumId w:val="45"/>
  </w:num>
  <w:num w:numId="23">
    <w:abstractNumId w:val="25"/>
  </w:num>
  <w:num w:numId="24">
    <w:abstractNumId w:val="17"/>
  </w:num>
  <w:num w:numId="25">
    <w:abstractNumId w:val="38"/>
  </w:num>
  <w:num w:numId="26">
    <w:abstractNumId w:val="10"/>
  </w:num>
  <w:num w:numId="27">
    <w:abstractNumId w:val="21"/>
  </w:num>
  <w:num w:numId="28">
    <w:abstractNumId w:val="8"/>
  </w:num>
  <w:num w:numId="29">
    <w:abstractNumId w:val="1"/>
  </w:num>
  <w:num w:numId="30">
    <w:abstractNumId w:val="23"/>
  </w:num>
  <w:num w:numId="31">
    <w:abstractNumId w:val="36"/>
  </w:num>
  <w:num w:numId="32">
    <w:abstractNumId w:val="5"/>
  </w:num>
  <w:num w:numId="33">
    <w:abstractNumId w:val="35"/>
  </w:num>
  <w:num w:numId="34">
    <w:abstractNumId w:val="0"/>
  </w:num>
  <w:num w:numId="35">
    <w:abstractNumId w:val="39"/>
  </w:num>
  <w:num w:numId="36">
    <w:abstractNumId w:val="44"/>
  </w:num>
  <w:num w:numId="37">
    <w:abstractNumId w:val="42"/>
  </w:num>
  <w:num w:numId="38">
    <w:abstractNumId w:val="33"/>
  </w:num>
  <w:num w:numId="39">
    <w:abstractNumId w:val="13"/>
  </w:num>
  <w:num w:numId="40">
    <w:abstractNumId w:val="26"/>
  </w:num>
  <w:num w:numId="41">
    <w:abstractNumId w:val="24"/>
  </w:num>
  <w:num w:numId="42">
    <w:abstractNumId w:val="37"/>
  </w:num>
  <w:num w:numId="43">
    <w:abstractNumId w:val="31"/>
  </w:num>
  <w:num w:numId="44">
    <w:abstractNumId w:val="34"/>
  </w:num>
  <w:num w:numId="45">
    <w:abstractNumId w:val="3"/>
  </w:num>
  <w:num w:numId="46">
    <w:abstractNumId w:val="18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BD"/>
    <w:rsid w:val="000156C9"/>
    <w:rsid w:val="00015B8D"/>
    <w:rsid w:val="0004200E"/>
    <w:rsid w:val="00066D09"/>
    <w:rsid w:val="00082958"/>
    <w:rsid w:val="00082CFB"/>
    <w:rsid w:val="00083644"/>
    <w:rsid w:val="00087095"/>
    <w:rsid w:val="000870DB"/>
    <w:rsid w:val="000C4A03"/>
    <w:rsid w:val="000E0B63"/>
    <w:rsid w:val="000E4738"/>
    <w:rsid w:val="0011577C"/>
    <w:rsid w:val="00123295"/>
    <w:rsid w:val="00136C5C"/>
    <w:rsid w:val="00146BBD"/>
    <w:rsid w:val="00163097"/>
    <w:rsid w:val="001660AC"/>
    <w:rsid w:val="00174D98"/>
    <w:rsid w:val="00177B79"/>
    <w:rsid w:val="0019328D"/>
    <w:rsid w:val="001A1347"/>
    <w:rsid w:val="001D4D23"/>
    <w:rsid w:val="001D6035"/>
    <w:rsid w:val="001F05AC"/>
    <w:rsid w:val="001F42A7"/>
    <w:rsid w:val="00236963"/>
    <w:rsid w:val="002408AB"/>
    <w:rsid w:val="0025574B"/>
    <w:rsid w:val="00281FB5"/>
    <w:rsid w:val="0028666A"/>
    <w:rsid w:val="002A043C"/>
    <w:rsid w:val="002A5FFF"/>
    <w:rsid w:val="002D12DA"/>
    <w:rsid w:val="002D2BF0"/>
    <w:rsid w:val="002D48E5"/>
    <w:rsid w:val="002E5BA8"/>
    <w:rsid w:val="00327722"/>
    <w:rsid w:val="00331C47"/>
    <w:rsid w:val="00340C13"/>
    <w:rsid w:val="003C11EF"/>
    <w:rsid w:val="003E60C2"/>
    <w:rsid w:val="003E78B4"/>
    <w:rsid w:val="003F75B9"/>
    <w:rsid w:val="00411696"/>
    <w:rsid w:val="00447515"/>
    <w:rsid w:val="00464AF1"/>
    <w:rsid w:val="00482356"/>
    <w:rsid w:val="00495BCE"/>
    <w:rsid w:val="004D39F0"/>
    <w:rsid w:val="004F4FEE"/>
    <w:rsid w:val="00514984"/>
    <w:rsid w:val="00531498"/>
    <w:rsid w:val="005549CF"/>
    <w:rsid w:val="0057054A"/>
    <w:rsid w:val="005C2BD6"/>
    <w:rsid w:val="005C7B90"/>
    <w:rsid w:val="005D32CE"/>
    <w:rsid w:val="005F0AF3"/>
    <w:rsid w:val="005F4BCA"/>
    <w:rsid w:val="00633067"/>
    <w:rsid w:val="006373A7"/>
    <w:rsid w:val="00652157"/>
    <w:rsid w:val="0066430B"/>
    <w:rsid w:val="006643E1"/>
    <w:rsid w:val="00676827"/>
    <w:rsid w:val="00681494"/>
    <w:rsid w:val="0068300B"/>
    <w:rsid w:val="00685443"/>
    <w:rsid w:val="00692DBF"/>
    <w:rsid w:val="0069369F"/>
    <w:rsid w:val="00697801"/>
    <w:rsid w:val="006C417B"/>
    <w:rsid w:val="006C6033"/>
    <w:rsid w:val="006E1836"/>
    <w:rsid w:val="006E3517"/>
    <w:rsid w:val="006F77C8"/>
    <w:rsid w:val="00711B69"/>
    <w:rsid w:val="00716BFE"/>
    <w:rsid w:val="00725049"/>
    <w:rsid w:val="00727819"/>
    <w:rsid w:val="007342FF"/>
    <w:rsid w:val="007375E6"/>
    <w:rsid w:val="00751080"/>
    <w:rsid w:val="00751CE9"/>
    <w:rsid w:val="00757CFF"/>
    <w:rsid w:val="00762FB2"/>
    <w:rsid w:val="00781066"/>
    <w:rsid w:val="00785724"/>
    <w:rsid w:val="00790C5A"/>
    <w:rsid w:val="00797AFA"/>
    <w:rsid w:val="007D66CB"/>
    <w:rsid w:val="00811E26"/>
    <w:rsid w:val="008228D8"/>
    <w:rsid w:val="00833E6E"/>
    <w:rsid w:val="00841972"/>
    <w:rsid w:val="00846A6A"/>
    <w:rsid w:val="00847DD9"/>
    <w:rsid w:val="008544D9"/>
    <w:rsid w:val="008B2CA5"/>
    <w:rsid w:val="008C2CF9"/>
    <w:rsid w:val="008C3C16"/>
    <w:rsid w:val="008D205A"/>
    <w:rsid w:val="008E5D34"/>
    <w:rsid w:val="009032C7"/>
    <w:rsid w:val="00924BFD"/>
    <w:rsid w:val="00925075"/>
    <w:rsid w:val="00936900"/>
    <w:rsid w:val="009400F6"/>
    <w:rsid w:val="00947D3A"/>
    <w:rsid w:val="009672AE"/>
    <w:rsid w:val="00983DA8"/>
    <w:rsid w:val="009A39E0"/>
    <w:rsid w:val="009B6111"/>
    <w:rsid w:val="009C1C55"/>
    <w:rsid w:val="009C7A45"/>
    <w:rsid w:val="009E761E"/>
    <w:rsid w:val="00A1181E"/>
    <w:rsid w:val="00A1203B"/>
    <w:rsid w:val="00A14027"/>
    <w:rsid w:val="00A14F9F"/>
    <w:rsid w:val="00A27342"/>
    <w:rsid w:val="00A4398B"/>
    <w:rsid w:val="00A7253F"/>
    <w:rsid w:val="00A842DB"/>
    <w:rsid w:val="00AA5737"/>
    <w:rsid w:val="00AA6D4D"/>
    <w:rsid w:val="00AB3437"/>
    <w:rsid w:val="00AB7E58"/>
    <w:rsid w:val="00AD7ADC"/>
    <w:rsid w:val="00AE0858"/>
    <w:rsid w:val="00AF200B"/>
    <w:rsid w:val="00AF26EC"/>
    <w:rsid w:val="00B1620E"/>
    <w:rsid w:val="00B475E7"/>
    <w:rsid w:val="00B563BE"/>
    <w:rsid w:val="00B67F33"/>
    <w:rsid w:val="00B84E83"/>
    <w:rsid w:val="00BA6550"/>
    <w:rsid w:val="00BD158A"/>
    <w:rsid w:val="00BD4371"/>
    <w:rsid w:val="00BE39F1"/>
    <w:rsid w:val="00BF741F"/>
    <w:rsid w:val="00C0783B"/>
    <w:rsid w:val="00C22728"/>
    <w:rsid w:val="00C4747C"/>
    <w:rsid w:val="00C47A5A"/>
    <w:rsid w:val="00C6306F"/>
    <w:rsid w:val="00C65626"/>
    <w:rsid w:val="00C8602A"/>
    <w:rsid w:val="00CA4B53"/>
    <w:rsid w:val="00CA7474"/>
    <w:rsid w:val="00CB5E85"/>
    <w:rsid w:val="00CB7D32"/>
    <w:rsid w:val="00CD5FAB"/>
    <w:rsid w:val="00CE74F9"/>
    <w:rsid w:val="00CF35C5"/>
    <w:rsid w:val="00D059EC"/>
    <w:rsid w:val="00D2757F"/>
    <w:rsid w:val="00D33172"/>
    <w:rsid w:val="00D4309A"/>
    <w:rsid w:val="00D52C3D"/>
    <w:rsid w:val="00D75C45"/>
    <w:rsid w:val="00DD5B0A"/>
    <w:rsid w:val="00E07E46"/>
    <w:rsid w:val="00E168FA"/>
    <w:rsid w:val="00E31ECF"/>
    <w:rsid w:val="00E35139"/>
    <w:rsid w:val="00E477C5"/>
    <w:rsid w:val="00E503A4"/>
    <w:rsid w:val="00E53AE2"/>
    <w:rsid w:val="00E67D3E"/>
    <w:rsid w:val="00E77869"/>
    <w:rsid w:val="00E82182"/>
    <w:rsid w:val="00E92B83"/>
    <w:rsid w:val="00E94273"/>
    <w:rsid w:val="00EA797F"/>
    <w:rsid w:val="00EC0777"/>
    <w:rsid w:val="00EC2347"/>
    <w:rsid w:val="00ED2989"/>
    <w:rsid w:val="00EE039A"/>
    <w:rsid w:val="00EE3F07"/>
    <w:rsid w:val="00F05E6A"/>
    <w:rsid w:val="00F17CCE"/>
    <w:rsid w:val="00F21A70"/>
    <w:rsid w:val="00F23B5A"/>
    <w:rsid w:val="00F3332F"/>
    <w:rsid w:val="00F33F25"/>
    <w:rsid w:val="00F62A70"/>
    <w:rsid w:val="00F82127"/>
    <w:rsid w:val="00F85BEC"/>
    <w:rsid w:val="00F8662E"/>
    <w:rsid w:val="00F975C6"/>
    <w:rsid w:val="00F97984"/>
    <w:rsid w:val="00FC2BA8"/>
    <w:rsid w:val="00FC6AC0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635E46"/>
  <w15:docId w15:val="{8E5F3336-9C76-4FC5-8E46-AD27E021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 w:line="249" w:lineRule="auto"/>
      <w:ind w:right="5" w:firstLine="274"/>
      <w:jc w:val="both"/>
    </w:pPr>
    <w:rPr>
      <w:rFonts w:ascii="Garamond" w:eastAsia="Garamond" w:hAnsi="Garamond" w:cs="Garamond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Normal 1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8544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6111"/>
    <w:pPr>
      <w:spacing w:before="100" w:beforeAutospacing="1" w:after="100" w:afterAutospacing="1" w:line="240" w:lineRule="auto"/>
      <w:ind w:righ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AA6D4D"/>
    <w:rPr>
      <w:rFonts w:ascii="Garamond" w:eastAsia="Garamond" w:hAnsi="Garamond" w:cs="Garamond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92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DBF"/>
    <w:rPr>
      <w:rFonts w:ascii="Garamond" w:eastAsia="Garamond" w:hAnsi="Garamond" w:cs="Garamond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92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DBF"/>
    <w:rPr>
      <w:rFonts w:ascii="Garamond" w:eastAsia="Garamond" w:hAnsi="Garamond" w:cs="Garamond"/>
      <w:color w:val="000000"/>
    </w:rPr>
  </w:style>
  <w:style w:type="paragraph" w:styleId="Revision">
    <w:name w:val="Revision"/>
    <w:hidden/>
    <w:uiPriority w:val="99"/>
    <w:semiHidden/>
    <w:rsid w:val="002E5BA8"/>
    <w:pPr>
      <w:spacing w:after="0" w:line="240" w:lineRule="auto"/>
    </w:pPr>
    <w:rPr>
      <w:rFonts w:ascii="Garamond" w:eastAsia="Garamond" w:hAnsi="Garamond" w:cs="Garamond"/>
      <w:color w:val="000000"/>
    </w:rPr>
  </w:style>
  <w:style w:type="paragraph" w:styleId="NoSpacing">
    <w:name w:val="No Spacing"/>
    <w:link w:val="NoSpacingChar"/>
    <w:uiPriority w:val="1"/>
    <w:qFormat/>
    <w:rsid w:val="00D2757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rsid w:val="00D2757F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rsid w:val="001A13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8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E14930A12B4DE4A1FB3E94C2182A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2026-04-27T09:18:34Z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2026-04-24T00:00:00Z</Date_x0020_protokolli>
    <Titulli xmlns="0e656187-b300-4fb0-8bf4-3a50f872073c">Për përcaktimin e procedurës së monitorimit të zbatimit të kontratave për ushtrimin e aktivitetit të peshkimit në ujërat e brendshme dhe të akuakulturës në sipërfaqe tokësore dhe ujore</Titulli>
    <Modifikuesi xmlns="0e656187-b300-4fb0-8bf4-3a50f872073c">alma.lisaku</Modifikuesi>
    <Nr_x002e__x0020_prot_x0020_QBZ xmlns="0e656187-b300-4fb0-8bf4-3a50f872073c">910/1</Nr_x002e__x0020_prot_x0020_QBZ>
    <Data_x0020_e_x0020_Modifikimit xmlns="0e656187-b300-4fb0-8bf4-3a50f872073c">2026-04-27T12:15:26Z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303/10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E14930A12B4DE4A1FB3E94C2182A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2FE1D-4B60-42B7-85D5-9D2DD1367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66962-6D4B-4E6B-9408-93DB62A0E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5CC0EF-6AF4-44CE-B0AE-A9A5CFEA22F4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09CAA63-3E61-481C-93AF-27205FB386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749A4-0B7A-4696-8178-7AA16B3A0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D6A927-B44B-432F-889C-50C87E8593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së monitorimit të zbatimit të kontratave për ushtrimin e aktivitetit të peshkimit në ujërat e brendshme dhe të akuakulturës në sipërfaqe tokësore dhe ujore</vt:lpstr>
    </vt:vector>
  </TitlesOfParts>
  <Company>AKSHI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së monitorimit të zbatimit të kontratave për ushtrimin e aktivitetit të peshkimit në ujërat e brendshme dhe të akuakulturës në sipërfaqe tokësore dhe ujore</dc:title>
  <dc:creator>Alketa Hysaj</dc:creator>
  <cp:lastModifiedBy>Amarilda Muja</cp:lastModifiedBy>
  <cp:revision>22</cp:revision>
  <cp:lastPrinted>2026-04-08T10:35:00Z</cp:lastPrinted>
  <dcterms:created xsi:type="dcterms:W3CDTF">2026-04-07T13:33:00Z</dcterms:created>
  <dcterms:modified xsi:type="dcterms:W3CDTF">2026-04-28T08:33:00Z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3e5f9074-93af-4e67-a499-81043950c21c</vt:lpwstr>
  </property>
</Properties>
</file>