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5D0E1A" w14:textId="1F4552B1" w:rsidR="002F517B" w:rsidRPr="004A6442" w:rsidRDefault="002F517B" w:rsidP="004A64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A6442">
        <w:rPr>
          <w:rFonts w:ascii="Garamond" w:hAnsi="Garamond"/>
          <w:b/>
          <w:sz w:val="24"/>
          <w:szCs w:val="24"/>
        </w:rPr>
        <w:t>UDHEZIM</w:t>
      </w:r>
    </w:p>
    <w:p w14:paraId="3E0724A7" w14:textId="7A835D66" w:rsidR="00F5332C" w:rsidRPr="004A6442" w:rsidRDefault="002F517B" w:rsidP="004A64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A6442">
        <w:rPr>
          <w:rFonts w:ascii="Garamond" w:hAnsi="Garamond"/>
          <w:b/>
          <w:sz w:val="24"/>
          <w:szCs w:val="24"/>
        </w:rPr>
        <w:t>Nr</w:t>
      </w:r>
      <w:r w:rsidR="00784F15" w:rsidRPr="004A6442">
        <w:rPr>
          <w:rFonts w:ascii="Garamond" w:hAnsi="Garamond"/>
          <w:b/>
          <w:sz w:val="24"/>
          <w:szCs w:val="24"/>
        </w:rPr>
        <w:t>.</w:t>
      </w:r>
      <w:r w:rsidR="001623E7" w:rsidRPr="004A6442">
        <w:rPr>
          <w:rFonts w:ascii="Garamond" w:hAnsi="Garamond"/>
          <w:b/>
          <w:sz w:val="24"/>
          <w:szCs w:val="24"/>
        </w:rPr>
        <w:t>20</w:t>
      </w:r>
      <w:r w:rsidR="008E2BFC" w:rsidRPr="004A6442">
        <w:rPr>
          <w:rFonts w:ascii="Garamond" w:hAnsi="Garamond"/>
          <w:b/>
          <w:sz w:val="24"/>
          <w:szCs w:val="24"/>
        </w:rPr>
        <w:t>, datë 4</w:t>
      </w:r>
      <w:r w:rsidR="00B866A9" w:rsidRPr="004A6442">
        <w:rPr>
          <w:rFonts w:ascii="Garamond" w:hAnsi="Garamond"/>
          <w:b/>
          <w:sz w:val="24"/>
          <w:szCs w:val="24"/>
        </w:rPr>
        <w:t>.8</w:t>
      </w:r>
      <w:r w:rsidR="00CC5413" w:rsidRPr="004A6442">
        <w:rPr>
          <w:rFonts w:ascii="Garamond" w:hAnsi="Garamond"/>
          <w:b/>
          <w:sz w:val="24"/>
          <w:szCs w:val="24"/>
        </w:rPr>
        <w:t>.2026</w:t>
      </w:r>
    </w:p>
    <w:p w14:paraId="1CA3175B" w14:textId="37C3B6EE" w:rsidR="004A4D8E" w:rsidRPr="004A6442" w:rsidRDefault="004A4D8E" w:rsidP="004A644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A84E33C" w14:textId="23CF40AD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sz w:val="24"/>
          <w:szCs w:val="24"/>
          <w:lang w:val="sq-AL"/>
        </w:rPr>
      </w:pPr>
      <w:r w:rsidRPr="004A64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PËRCAKTIMIN E KONTROLLEVE TË VEÇANTA SHËNDETËSORE PËR MBLEDHJEN DHE PËRPUNIMIN E DISA MOLUSQEVE BIVALVORE ME NJË NIVEL TË TOKSINËS AMNESIKE TË MOLUSQEVE (ASP), QË TEJKALON KUFIRIN 20 mg/kg</w:t>
      </w:r>
      <w:r w:rsidR="00365D81">
        <w:rPr>
          <w:rStyle w:val="FootnoteReference"/>
          <w:rFonts w:ascii="Garamond" w:hAnsi="Garamond" w:cs="Times New Roman"/>
          <w:b/>
          <w:bCs/>
          <w:color w:val="000000"/>
          <w:sz w:val="24"/>
          <w:szCs w:val="24"/>
          <w:lang w:val="sq-AL"/>
        </w:rPr>
        <w:footnoteReference w:id="2"/>
      </w:r>
    </w:p>
    <w:p w14:paraId="470E4DE3" w14:textId="77777777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ahoma"/>
          <w:color w:val="333333"/>
          <w:sz w:val="24"/>
          <w:szCs w:val="24"/>
          <w:lang w:val="sq-AL"/>
        </w:rPr>
      </w:pPr>
    </w:p>
    <w:p w14:paraId="0ACED62F" w14:textId="77777777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pikës 4, të nenit 102, të Kushtetutës, dhe pikave 1, 2, 3 dhe 4, të nenit 23, të ligjit nr. 9863, datë 28.1.2008, “Për ushqimin”, i ndryshuar, </w:t>
      </w:r>
    </w:p>
    <w:p w14:paraId="3BFB7EF3" w14:textId="77777777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A41FAC2" w14:textId="77777777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4A6442">
        <w:rPr>
          <w:rFonts w:ascii="Garamond" w:hAnsi="Garamond" w:cs="Times New Roman"/>
          <w:bCs/>
          <w:sz w:val="24"/>
          <w:szCs w:val="24"/>
          <w:lang w:val="sq-AL"/>
        </w:rPr>
        <w:t>UDHËZOJ:</w:t>
      </w:r>
    </w:p>
    <w:p w14:paraId="103DAD16" w14:textId="77777777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925D8D8" w14:textId="77777777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A6442">
        <w:rPr>
          <w:rFonts w:ascii="Garamond" w:hAnsi="Garamond" w:cs="Times New Roman"/>
          <w:bCs/>
          <w:sz w:val="24"/>
          <w:szCs w:val="24"/>
          <w:lang w:val="sq-AL"/>
        </w:rPr>
        <w:t>Neni 1</w:t>
      </w:r>
    </w:p>
    <w:p w14:paraId="2BFCA49F" w14:textId="77777777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6442C8C" w14:textId="28F3A4FD" w:rsidR="004A6442" w:rsidRPr="004A6442" w:rsidRDefault="002F37E0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1.1 </w:t>
      </w:r>
      <w:r w:rsidR="004A6442" w:rsidRPr="004A6442">
        <w:rPr>
          <w:rFonts w:ascii="Garamond" w:hAnsi="Garamond" w:cs="Times New Roman"/>
          <w:sz w:val="24"/>
          <w:szCs w:val="24"/>
          <w:lang w:val="sq-AL"/>
        </w:rPr>
        <w:t xml:space="preserve">Ky udhëzim ka si objekt </w:t>
      </w:r>
      <w:r w:rsidR="004A6442"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>përcaktimin e kontrolleve të veçanta shëndetësore për mbledhjen dhe përpunimin e molusqeve bivalvore me një nivel të toksinës amnesike të molusqeve (ASP), që tejkalon kufirin 20 mg/kg.</w:t>
      </w:r>
    </w:p>
    <w:p w14:paraId="1E768584" w14:textId="77777777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4A6442">
        <w:rPr>
          <w:rFonts w:ascii="Garamond" w:hAnsi="Garamond" w:cs="Times New Roman"/>
          <w:bCs/>
          <w:sz w:val="24"/>
          <w:szCs w:val="24"/>
          <w:lang w:val="sq-AL"/>
        </w:rPr>
        <w:t>Neni 2</w:t>
      </w:r>
    </w:p>
    <w:p w14:paraId="43ECCAA1" w14:textId="77777777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E266CBC" w14:textId="67D83ED6" w:rsidR="004A6442" w:rsidRPr="004A6442" w:rsidRDefault="002F37E0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4A6442"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4A6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A6442"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Autoriteti kompetent autorizon mbledhjen e molusqeve bivalvore, që i përkasin specieve </w:t>
      </w:r>
      <w:r w:rsidR="004A6442" w:rsidRPr="004A644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Pecten maximus </w:t>
      </w:r>
      <w:r w:rsidR="004A6442" w:rsidRPr="004A6442">
        <w:rPr>
          <w:rFonts w:ascii="Garamond" w:hAnsi="Garamond" w:cs="Times New Roman"/>
          <w:sz w:val="24"/>
          <w:szCs w:val="24"/>
          <w:lang w:val="sq-AL"/>
        </w:rPr>
        <w:t>dhe</w:t>
      </w:r>
      <w:r w:rsidR="004A6442" w:rsidRPr="004A644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Pecten jacobaeus</w:t>
      </w:r>
      <w:r w:rsidR="004A6442" w:rsidRPr="004A6442">
        <w:rPr>
          <w:rFonts w:ascii="Garamond" w:hAnsi="Garamond" w:cs="Times New Roman"/>
          <w:sz w:val="24"/>
          <w:szCs w:val="24"/>
          <w:lang w:val="sq-AL"/>
        </w:rPr>
        <w:t>, me një përqendrim të acidit domoik (DA) në të gjithë trupin, që kalon 20 mg/kg, por është më i ulët se 250 mg/kg, të cilat plotësojnë kërkesat e përcaktuara në pikën 2 të këtij neni.</w:t>
      </w:r>
    </w:p>
    <w:p w14:paraId="0105A4F6" w14:textId="179FDEE3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6442">
        <w:rPr>
          <w:rFonts w:ascii="Garamond" w:hAnsi="Garamond" w:cs="Times New Roman"/>
          <w:sz w:val="24"/>
          <w:szCs w:val="24"/>
          <w:lang w:val="sq-AL"/>
        </w:rPr>
        <w:t>2</w:t>
      </w:r>
      <w:r w:rsidR="002F37E0">
        <w:rPr>
          <w:rFonts w:ascii="Garamond" w:hAnsi="Garamond" w:cs="Times New Roman"/>
          <w:sz w:val="24"/>
          <w:szCs w:val="24"/>
          <w:lang w:val="sq-AL"/>
        </w:rPr>
        <w:t>2.</w:t>
      </w:r>
      <w:r w:rsidRPr="004A6442">
        <w:rPr>
          <w:rFonts w:ascii="Garamond" w:hAnsi="Garamond" w:cs="Times New Roman"/>
          <w:sz w:val="24"/>
          <w:szCs w:val="24"/>
          <w:lang w:val="sq-AL"/>
        </w:rPr>
        <w:t>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A6442">
        <w:rPr>
          <w:rFonts w:ascii="Garamond" w:hAnsi="Garamond" w:cs="Times New Roman"/>
          <w:sz w:val="24"/>
          <w:szCs w:val="24"/>
          <w:lang w:val="sq-AL"/>
        </w:rPr>
        <w:t xml:space="preserve">Kërkesat e referuara në pikën 1 të këtij neni janë, si më poshtë: </w:t>
      </w:r>
    </w:p>
    <w:p w14:paraId="2B2A22FB" w14:textId="7F71BCC5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6442">
        <w:rPr>
          <w:rFonts w:ascii="Garamond" w:hAnsi="Garamond" w:cs="Times New Roman"/>
          <w:sz w:val="24"/>
          <w:szCs w:val="24"/>
          <w:lang w:val="sq-AL"/>
        </w:rPr>
        <w:t>a)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A6442">
        <w:rPr>
          <w:rFonts w:ascii="Garamond" w:hAnsi="Garamond" w:cs="Times New Roman"/>
          <w:sz w:val="24"/>
          <w:szCs w:val="24"/>
          <w:lang w:val="sq-AL"/>
        </w:rPr>
        <w:t>molusqet u nënshtrohen kushteve të mbledhjes të përcaktuara në shtojcën 1, bashkëlidhur këtij udhëzimi, dhe që është pjesë përbërëse e tij;</w:t>
      </w:r>
    </w:p>
    <w:p w14:paraId="535351DB" w14:textId="1536E71B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6442">
        <w:rPr>
          <w:rFonts w:ascii="Garamond" w:hAnsi="Garamond" w:cs="Times New Roman"/>
          <w:sz w:val="24"/>
          <w:szCs w:val="24"/>
          <w:lang w:val="sq-AL"/>
        </w:rPr>
        <w:t>b)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A6442">
        <w:rPr>
          <w:rFonts w:ascii="Garamond" w:hAnsi="Garamond" w:cs="Times New Roman"/>
          <w:sz w:val="24"/>
          <w:szCs w:val="24"/>
          <w:lang w:val="sq-AL"/>
        </w:rPr>
        <w:t>ato transportohen në kontejnerë të vulosur ose automjete të vulosura, nën mbikëqyrjen e autoritetit kompetent, dhe dërgohen  drejtëpërdrejtënga zonat e prodhimit në një stabiliment të miratuar, të autorizuar për kryerjen e përgatitjeve të veçanta të këtyre molusqeve, që përfshin heqjen e hepatopankreasit, indeve të buta ose çdo pjesë tjetër të kontaminuar që nuk është në përputhje me pikën 2, të shtojcës 1, bashkëlidhur këtij udhëzimi. Një listë e stabilimenteve të autorizuara i  dërgohet Ministrisë nga autoriteti kompetent;</w:t>
      </w:r>
    </w:p>
    <w:p w14:paraId="226EFA28" w14:textId="50EDC401" w:rsidR="004A6442" w:rsidRPr="004A6442" w:rsidRDefault="004A6442" w:rsidP="004A644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6442">
        <w:rPr>
          <w:rFonts w:ascii="Garamond" w:hAnsi="Garamond" w:cs="Times New Roman"/>
          <w:sz w:val="24"/>
          <w:szCs w:val="24"/>
          <w:lang w:val="sq-AL"/>
        </w:rPr>
        <w:t>c)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A6442">
        <w:rPr>
          <w:rFonts w:ascii="Garamond" w:hAnsi="Garamond" w:cs="Times New Roman"/>
          <w:sz w:val="24"/>
          <w:szCs w:val="24"/>
          <w:lang w:val="sq-AL"/>
        </w:rPr>
        <w:t>shoqërohen me një dokument regjistrimi, të lëshuar nga autoriteti kompetent, për çdo ngarkesë që specifi</w:t>
      </w:r>
      <w:r w:rsidR="00D35910">
        <w:rPr>
          <w:rFonts w:ascii="Garamond" w:hAnsi="Garamond" w:cs="Times New Roman"/>
          <w:sz w:val="24"/>
          <w:szCs w:val="24"/>
          <w:lang w:val="sq-AL"/>
        </w:rPr>
        <w:t>kon kërkesat e parashikuara në k</w:t>
      </w:r>
      <w:r w:rsidRPr="004A6442">
        <w:rPr>
          <w:rFonts w:ascii="Garamond" w:hAnsi="Garamond" w:cs="Times New Roman"/>
          <w:sz w:val="24"/>
          <w:szCs w:val="24"/>
          <w:lang w:val="sq-AL"/>
        </w:rPr>
        <w:t>reun II, seksioni I, pika 8 shkr</w:t>
      </w:r>
      <w:r w:rsidR="00D35910">
        <w:rPr>
          <w:rFonts w:ascii="Garamond" w:hAnsi="Garamond" w:cs="Times New Roman"/>
          <w:sz w:val="24"/>
          <w:szCs w:val="24"/>
          <w:lang w:val="sq-AL"/>
        </w:rPr>
        <w:t>onja “a”, 9, 10, 11 dhe 12  të udhëzimit n</w:t>
      </w:r>
      <w:r w:rsidRPr="004A6442">
        <w:rPr>
          <w:rFonts w:ascii="Garamond" w:hAnsi="Garamond" w:cs="Times New Roman"/>
          <w:sz w:val="24"/>
          <w:szCs w:val="24"/>
          <w:lang w:val="sq-AL"/>
        </w:rPr>
        <w:t>r. 25, datë 25.11.2010 “Për kushtet higjienike dhe kontrollet për molusqet e gjalla bivalvore, peshkun dhe produktet e peshkimit”, të ndryshuar, si dhe pjesën ose pjesët anatomike që mund të përpunohen për konsum njerëzor. Autorizimi i përhershëm i transportit, i dhënë nga autoriteti kompetent, nuk është i pranueshëm;</w:t>
      </w:r>
    </w:p>
    <w:p w14:paraId="384AEC1E" w14:textId="55BD6DB0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6442">
        <w:rPr>
          <w:rFonts w:ascii="Garamond" w:hAnsi="Garamond" w:cs="Times New Roman"/>
          <w:sz w:val="24"/>
          <w:szCs w:val="24"/>
          <w:lang w:val="sq-AL"/>
        </w:rPr>
        <w:t xml:space="preserve">ç) pas heqjes së plotë të hepatopankreasit, indeve të buta dhe çdo pjese tjetër të kontaminuar, muskuli aduktor dhe/ose gonadet e destinuara për konsum njerëzor nuk duhet të përmbajnë një nivel të ASP-së të përcaktuara nga teknikat HPLC, që tejkalon 20 mg/kg të DA. </w:t>
      </w:r>
    </w:p>
    <w:p w14:paraId="2D511C15" w14:textId="77777777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BAF1BA9" w14:textId="77777777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4A6442">
        <w:rPr>
          <w:rFonts w:ascii="Garamond" w:hAnsi="Garamond" w:cs="Times New Roman"/>
          <w:bCs/>
          <w:sz w:val="24"/>
          <w:szCs w:val="24"/>
          <w:lang w:val="sq-AL"/>
        </w:rPr>
        <w:lastRenderedPageBreak/>
        <w:t>Neni 3</w:t>
      </w:r>
    </w:p>
    <w:p w14:paraId="27C4E78E" w14:textId="77777777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F3FF2A" w14:textId="224E1ABD" w:rsidR="004A6442" w:rsidRPr="004A6442" w:rsidRDefault="002F37E0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3.</w:t>
      </w:r>
      <w:r w:rsidR="004A6442" w:rsidRPr="004A6442">
        <w:rPr>
          <w:rFonts w:ascii="Garamond" w:hAnsi="Garamond" w:cs="Times New Roman"/>
          <w:sz w:val="24"/>
          <w:szCs w:val="24"/>
          <w:lang w:val="sq-AL"/>
        </w:rPr>
        <w:t>1.</w:t>
      </w:r>
      <w:r w:rsidR="004A644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A6442" w:rsidRPr="004A6442">
        <w:rPr>
          <w:rFonts w:ascii="Garamond" w:hAnsi="Garamond" w:cs="Times New Roman"/>
          <w:sz w:val="24"/>
          <w:szCs w:val="24"/>
          <w:lang w:val="sq-AL"/>
        </w:rPr>
        <w:t xml:space="preserve">Çdo lot i produktit përfundimtar nënshtrohet testimit nga stabilimenti i autorizuar posaçërisht. Nëse një mostër, siç përcaktohet në shtojcën 1 bashkëlidhur këtij udhëzimi, përmban më shumë se 20 mg/kg DA, i gjithë loti asgjësohet </w:t>
      </w:r>
      <w:r w:rsidR="004A6442"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nën mbikëqyrjen e autoritetit kompetent. </w:t>
      </w:r>
    </w:p>
    <w:p w14:paraId="294290CF" w14:textId="11418748" w:rsidR="004A6442" w:rsidRPr="004A6442" w:rsidRDefault="002F37E0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4A6442"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4A6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A6442"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>Hepatopankreasi, indet e buta dhe çdo pjesë tjetër e kontaminuar, që tejkalon kufijtë e përcaktuar në pikën 2 të Shtojcës 1 bashkëlidhur (përfshirë produktin përfundimtar që tejkalon kufirin prej 20 mg/kg DA), asgjësohet nën mbikëqyrjen e autoritetit kompetent.</w:t>
      </w:r>
    </w:p>
    <w:p w14:paraId="767D665F" w14:textId="3B2E5B35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6442">
        <w:rPr>
          <w:rFonts w:ascii="Garamond" w:hAnsi="Garamond" w:cs="Times New Roman"/>
          <w:sz w:val="24"/>
          <w:szCs w:val="24"/>
          <w:lang w:val="sq-AL"/>
        </w:rPr>
        <w:t>3</w:t>
      </w:r>
      <w:r w:rsidR="002F37E0">
        <w:rPr>
          <w:rFonts w:ascii="Garamond" w:hAnsi="Garamond" w:cs="Times New Roman"/>
          <w:sz w:val="24"/>
          <w:szCs w:val="24"/>
          <w:lang w:val="sq-AL"/>
        </w:rPr>
        <w:t>.3</w:t>
      </w:r>
      <w:r w:rsidRPr="004A6442">
        <w:rPr>
          <w:rFonts w:ascii="Garamond" w:hAnsi="Garamond" w:cs="Times New Roman"/>
          <w:sz w:val="24"/>
          <w:szCs w:val="24"/>
          <w:lang w:val="sq-AL"/>
        </w:rPr>
        <w:t>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A6442">
        <w:rPr>
          <w:rFonts w:ascii="Garamond" w:hAnsi="Garamond" w:cs="Times New Roman"/>
          <w:sz w:val="24"/>
          <w:szCs w:val="24"/>
          <w:lang w:val="sq-AL"/>
        </w:rPr>
        <w:t>Autoriteti kompetent siguron që sistemi i vetkontro</w:t>
      </w:r>
      <w:r w:rsidR="00D35910">
        <w:rPr>
          <w:rFonts w:ascii="Garamond" w:hAnsi="Garamond" w:cs="Times New Roman"/>
          <w:sz w:val="24"/>
          <w:szCs w:val="24"/>
          <w:lang w:val="sq-AL"/>
        </w:rPr>
        <w:t>llit , HACCP, i parashikuar në kreun I, pika 2, 3, 4 dhe 5 të udhëzimit n</w:t>
      </w:r>
      <w:r w:rsidRPr="004A6442">
        <w:rPr>
          <w:rFonts w:ascii="Garamond" w:hAnsi="Garamond" w:cs="Times New Roman"/>
          <w:sz w:val="24"/>
          <w:szCs w:val="24"/>
          <w:lang w:val="sq-AL"/>
        </w:rPr>
        <w:t xml:space="preserve">r. 20, datë 25.11.2010 “Për zbatimin e programeve paraprake, të praktikave të mira të higjienës, praktikave të mira të prodhimit dhe procedurave të bazuara në analizën e rreziqeve dhe pikave kritike të kontrollit (HACCP) në stabilimente ushqimore”, aplikohet gjatë përgatitjes së produkteve, siç përcaktohet në shkronjën “b”, pika 2, e nenit 2 të këtij udhëzimi. Prodhuesi njofton autoritetin kompetent për çdo rezultat që lidhet me produktin përfundimtar që </w:t>
      </w:r>
      <w:r w:rsidR="00D35910">
        <w:rPr>
          <w:rFonts w:ascii="Garamond" w:hAnsi="Garamond" w:cs="Times New Roman"/>
          <w:color w:val="000000"/>
          <w:sz w:val="24"/>
          <w:szCs w:val="24"/>
          <w:lang w:val="sq-AL"/>
        </w:rPr>
        <w:t>nuk është në përputhje me kreun II, s</w:t>
      </w:r>
      <w:r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>eksioni I</w:t>
      </w:r>
      <w:r w:rsidR="00D35910">
        <w:rPr>
          <w:rFonts w:ascii="Garamond" w:hAnsi="Garamond" w:cs="Times New Roman"/>
          <w:color w:val="000000"/>
          <w:sz w:val="24"/>
          <w:szCs w:val="24"/>
          <w:lang w:val="sq-AL"/>
        </w:rPr>
        <w:t>, pika 27 shkronja b) (ii), të udhëzimit n</w:t>
      </w:r>
      <w:r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25, datë 25.11.2010 </w:t>
      </w:r>
      <w:r w:rsidRPr="004A644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“Për kushtet higjienike dhe kontrollet për molusqet e gjalla bivalvore, peshkun dhe produktet e peshkimit”, </w:t>
      </w:r>
      <w:r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>të ndryshuar.</w:t>
      </w:r>
    </w:p>
    <w:p w14:paraId="486A5598" w14:textId="77777777" w:rsidR="00C64589" w:rsidRDefault="00C64589" w:rsidP="004A64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340EB35E" w14:textId="5F25CE5B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A644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4</w:t>
      </w:r>
    </w:p>
    <w:p w14:paraId="49F90644" w14:textId="77777777" w:rsidR="005154DA" w:rsidRDefault="005154DA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303F99C" w14:textId="473F3A93" w:rsidR="004A6442" w:rsidRPr="004A6442" w:rsidRDefault="002F37E0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4A6442"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4A6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Udhëzimi nr. 26, datë 29.</w:t>
      </w:r>
      <w:r w:rsidR="004A6442"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8.2025 “Për përcaktimin e kushteve për vendosjen e kontrolleve të veçanta shëndetësore për mbledhjen dhe përpunimin e disa molusqeve bivalvore me një nivel të toksinës amnezike të molusqeve (ASP), që tejkalon kufirin 20 mg/kg”,shfuqizohet me fillimin e </w:t>
      </w:r>
      <w:r w:rsidR="00D35910">
        <w:rPr>
          <w:rFonts w:ascii="Garamond" w:hAnsi="Garamond" w:cs="Times New Roman"/>
          <w:color w:val="000000"/>
          <w:sz w:val="24"/>
          <w:szCs w:val="24"/>
          <w:lang w:val="sq-AL"/>
        </w:rPr>
        <w:t>shtrirjes së efekteve të këtij u</w:t>
      </w:r>
      <w:r w:rsidR="004A6442"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>dhëzimi.</w:t>
      </w:r>
    </w:p>
    <w:p w14:paraId="1CADBCB2" w14:textId="4205ABA3" w:rsidR="004A6442" w:rsidRPr="004A6442" w:rsidRDefault="002F37E0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4A6442"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4A6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A6442"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>Për zbatimin e këtij udhëzimi, ngarkohen Drejtoria e Përgjithshme e Zhvillimit në Fushën e Sigurisë Ushqimore, Veterinarisë, Mbrojtjes së Bimëve dhe Peshkimit dhe Autoriteti Kombëtar i Ushqimit.</w:t>
      </w:r>
    </w:p>
    <w:p w14:paraId="5D0E3029" w14:textId="68F65874" w:rsidR="004A6442" w:rsidRPr="004A6442" w:rsidRDefault="002F37E0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4A6442"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4A6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A6442"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>Ky udhëzim hyn  në fuqi pas botimit  në Fletoren Zyr</w:t>
      </w:r>
      <w:r w:rsidR="00267D5C">
        <w:rPr>
          <w:rFonts w:ascii="Garamond" w:hAnsi="Garamond" w:cs="Times New Roman"/>
          <w:color w:val="000000"/>
          <w:sz w:val="24"/>
          <w:szCs w:val="24"/>
          <w:lang w:val="sq-AL"/>
        </w:rPr>
        <w:t>tare, dhe i fillon efektet më 1</w:t>
      </w:r>
      <w:r w:rsidR="004A6442"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67D5C">
        <w:rPr>
          <w:rFonts w:ascii="Garamond" w:hAnsi="Garamond" w:cs="Times New Roman"/>
          <w:color w:val="000000"/>
          <w:sz w:val="24"/>
          <w:szCs w:val="24"/>
          <w:lang w:val="sq-AL"/>
        </w:rPr>
        <w:t>shtator</w:t>
      </w:r>
      <w:bookmarkStart w:id="0" w:name="_GoBack"/>
      <w:bookmarkEnd w:id="0"/>
      <w:r w:rsidR="004A6442"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2026.</w:t>
      </w:r>
    </w:p>
    <w:p w14:paraId="541686CB" w14:textId="7F3DFB99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CA6CE06" w14:textId="77777777" w:rsidR="004A6442" w:rsidRPr="004A6442" w:rsidRDefault="004A6442" w:rsidP="004A6442">
      <w:pPr>
        <w:pStyle w:val="BodyText"/>
        <w:ind w:firstLine="284"/>
        <w:jc w:val="right"/>
        <w:rPr>
          <w:rFonts w:ascii="Garamond" w:eastAsiaTheme="minorEastAsia" w:hAnsi="Garamond" w:cs="Times New Roman"/>
          <w:bCs/>
          <w:sz w:val="24"/>
          <w:szCs w:val="24"/>
          <w:lang w:val="sq-AL"/>
        </w:rPr>
      </w:pPr>
      <w:r w:rsidRPr="004A6442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MINISTËR I </w:t>
      </w:r>
      <w:r w:rsidRPr="004A6442">
        <w:rPr>
          <w:rFonts w:ascii="Garamond" w:hAnsi="Garamond" w:cs="Times New Roman"/>
          <w:sz w:val="24"/>
          <w:szCs w:val="24"/>
          <w:lang w:val="sq-AL"/>
        </w:rPr>
        <w:t>BUJQËSISË DHE ZHVILLIMIT RURAL</w:t>
      </w:r>
    </w:p>
    <w:p w14:paraId="663A9318" w14:textId="77777777" w:rsidR="004A6442" w:rsidRPr="004A6442" w:rsidRDefault="004A6442" w:rsidP="004A6442">
      <w:pPr>
        <w:pStyle w:val="BodyText"/>
        <w:ind w:firstLine="284"/>
        <w:jc w:val="right"/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</w:pPr>
      <w:r w:rsidRPr="004A6442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>Andis Salla</w:t>
      </w:r>
    </w:p>
    <w:p w14:paraId="07EA2554" w14:textId="77777777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92AEE5D" w14:textId="77777777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A64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SHTOJCA 1</w:t>
      </w:r>
    </w:p>
    <w:p w14:paraId="1F071CEF" w14:textId="77777777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6EEDCAAC" w14:textId="1A85C0AB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Nuk lejohet mbledhja e molusqeve bivalve të specieve </w:t>
      </w:r>
      <w:r w:rsidRPr="004A644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Pecten maximus</w:t>
      </w:r>
      <w:r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Pr="004A644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Pecten jacobaeus</w:t>
      </w:r>
      <w:r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gjatë shfaqjes së një episodi toksik aktiv të ASP-së në ujërat e zonave të prodhim</w:t>
      </w:r>
      <w:r w:rsidR="00D35910">
        <w:rPr>
          <w:rFonts w:ascii="Garamond" w:hAnsi="Garamond" w:cs="Times New Roman"/>
          <w:color w:val="000000"/>
          <w:sz w:val="24"/>
          <w:szCs w:val="24"/>
          <w:lang w:val="sq-AL"/>
        </w:rPr>
        <w:t>it të tyre, siç përcaktohet në kreun III, s</w:t>
      </w:r>
      <w:r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>eksion</w:t>
      </w:r>
      <w:r w:rsidR="00D35910">
        <w:rPr>
          <w:rFonts w:ascii="Garamond" w:hAnsi="Garamond" w:cs="Times New Roman"/>
          <w:color w:val="000000"/>
          <w:sz w:val="24"/>
          <w:szCs w:val="24"/>
          <w:lang w:val="sq-AL"/>
        </w:rPr>
        <w:t>i I, pikat nga 8 deri në 16 të udhëzimit n</w:t>
      </w:r>
      <w:r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25, datë 25.11.2010, </w:t>
      </w:r>
      <w:r w:rsidRPr="004A644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“Për kushtet higjienike dhe kontrollet për molusqet e gjalla bivalvore, peshkun dhe produktet e peshkimit”</w:t>
      </w:r>
      <w:r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>, të ndryshuar.</w:t>
      </w:r>
      <w:r w:rsidRPr="004A644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</w:p>
    <w:p w14:paraId="14E16BFF" w14:textId="4F12CCBD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6442">
        <w:rPr>
          <w:rFonts w:ascii="Garamond" w:hAnsi="Garamond" w:cs="Times New Roman"/>
          <w:sz w:val="24"/>
          <w:szCs w:val="24"/>
          <w:lang w:val="sq-AL"/>
        </w:rPr>
        <w:t>2.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A6442">
        <w:rPr>
          <w:rFonts w:ascii="Garamond" w:hAnsi="Garamond" w:cs="Times New Roman"/>
          <w:sz w:val="24"/>
          <w:szCs w:val="24"/>
          <w:lang w:val="sq-AL"/>
        </w:rPr>
        <w:t xml:space="preserve">Një regjim i kufizuar i mbledhjes së molusqeve me përqendrim të </w:t>
      </w:r>
      <w:r w:rsidRPr="004A6442">
        <w:rPr>
          <w:rFonts w:ascii="Garamond" w:hAnsi="Garamond" w:cs="Times New Roman"/>
          <w:b/>
          <w:bCs/>
          <w:sz w:val="24"/>
          <w:szCs w:val="24"/>
          <w:lang w:val="sq-AL"/>
        </w:rPr>
        <w:t>DA-së,</w:t>
      </w:r>
      <w:r w:rsidRPr="004A6442">
        <w:rPr>
          <w:rFonts w:ascii="Garamond" w:hAnsi="Garamond" w:cs="Times New Roman"/>
          <w:sz w:val="24"/>
          <w:szCs w:val="24"/>
          <w:lang w:val="sq-AL"/>
        </w:rPr>
        <w:t xml:space="preserve"> në të gjithë trupin, më të lartë se 20 mg/kg mund të fillohet nëse dy analiza të njëpasnjëshme të mostrave, të marra midis një dhe jo më shumë se shtatë ditëve, tregojnë se përqendrimi i DA në molusqet e plota është më i ulët se 250 mg/kg dhe se përqendrimi i DA në pjesët e destinuara për konsum njerëzor, të cilat duhet të analizohen veçmas, është më e ulët se 4,6 mg/kg. Analiza e trupit të plotë kryhet mbi një mostër të homogjenizuar të përgatitur prej 10 molusqesh. Analiza e pjesëve të ngrënshme kryhet mbi një mostër të homogjenizuar të përgatitur prej 10 pjesësh individuale.</w:t>
      </w:r>
    </w:p>
    <w:p w14:paraId="34252E3B" w14:textId="1C2E8511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6442">
        <w:rPr>
          <w:rFonts w:ascii="Garamond" w:hAnsi="Garamond" w:cs="Times New Roman"/>
          <w:sz w:val="24"/>
          <w:szCs w:val="24"/>
          <w:lang w:val="sq-AL"/>
        </w:rPr>
        <w:t>3.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A6442">
        <w:rPr>
          <w:rFonts w:ascii="Garamond" w:hAnsi="Garamond" w:cs="Times New Roman"/>
          <w:sz w:val="24"/>
          <w:szCs w:val="24"/>
          <w:lang w:val="sq-AL"/>
        </w:rPr>
        <w:t>Pikat e marrjes së mostrave do të vendosen nga autoriteti kompetent për të siguruar që produkti përmbush parametrat e</w:t>
      </w:r>
      <w:r w:rsidR="006F2F10">
        <w:rPr>
          <w:rFonts w:ascii="Garamond" w:hAnsi="Garamond" w:cs="Times New Roman"/>
          <w:sz w:val="24"/>
          <w:szCs w:val="24"/>
          <w:lang w:val="sq-AL"/>
        </w:rPr>
        <w:t xml:space="preserve"> përmendur në pikën 2 të kësaj s</w:t>
      </w:r>
      <w:r w:rsidRPr="004A6442">
        <w:rPr>
          <w:rFonts w:ascii="Garamond" w:hAnsi="Garamond" w:cs="Times New Roman"/>
          <w:sz w:val="24"/>
          <w:szCs w:val="24"/>
          <w:lang w:val="sq-AL"/>
        </w:rPr>
        <w:t>htojce. Pasi të lejohet mbledhja, frekuenca e marrjes së mostrave për analizën e DA në molusqe</w:t>
      </w:r>
      <w:r w:rsidRPr="004A644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(</w:t>
      </w:r>
      <w:r w:rsidRPr="004A6442">
        <w:rPr>
          <w:rFonts w:ascii="Garamond" w:hAnsi="Garamond" w:cs="Times New Roman"/>
          <w:sz w:val="24"/>
          <w:szCs w:val="24"/>
          <w:lang w:val="sq-AL"/>
        </w:rPr>
        <w:t xml:space="preserve">i gjithë trupi dhe muskujt aduktorë dhe gonadat </w:t>
      </w:r>
      <w:r w:rsidRPr="004A6442">
        <w:rPr>
          <w:rFonts w:ascii="Garamond" w:hAnsi="Garamond" w:cs="Times New Roman"/>
          <w:sz w:val="24"/>
          <w:szCs w:val="24"/>
          <w:lang w:val="sq-AL"/>
        </w:rPr>
        <w:lastRenderedPageBreak/>
        <w:t>veçmas</w:t>
      </w:r>
      <w:r w:rsidRPr="004A644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) </w:t>
      </w:r>
      <w:r w:rsidRPr="004A6442">
        <w:rPr>
          <w:rFonts w:ascii="Garamond" w:hAnsi="Garamond" w:cs="Times New Roman"/>
          <w:sz w:val="24"/>
          <w:szCs w:val="24"/>
          <w:lang w:val="sq-AL"/>
        </w:rPr>
        <w:t xml:space="preserve">do të jetë </w:t>
      </w:r>
      <w:r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minimumi një herë në javë. Mbledhja mund të vazhdojë nëse rezultatet janë në përputhje me kushtet </w:t>
      </w:r>
      <w:r w:rsidR="002F37E0">
        <w:rPr>
          <w:rFonts w:ascii="Garamond" w:hAnsi="Garamond" w:cs="Times New Roman"/>
          <w:color w:val="000000"/>
          <w:sz w:val="24"/>
          <w:szCs w:val="24"/>
          <w:lang w:val="sq-AL"/>
        </w:rPr>
        <w:t>e listuara në pikën 2 të kësaj s</w:t>
      </w:r>
      <w:r w:rsidRPr="004A6442">
        <w:rPr>
          <w:rFonts w:ascii="Garamond" w:hAnsi="Garamond" w:cs="Times New Roman"/>
          <w:color w:val="000000"/>
          <w:sz w:val="24"/>
          <w:szCs w:val="24"/>
          <w:lang w:val="sq-AL"/>
        </w:rPr>
        <w:t>htojce.</w:t>
      </w:r>
    </w:p>
    <w:p w14:paraId="5A36C964" w14:textId="77777777" w:rsidR="004A6442" w:rsidRPr="004A6442" w:rsidRDefault="004A6442" w:rsidP="004A6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</w:pPr>
    </w:p>
    <w:p w14:paraId="6A4D9D21" w14:textId="77777777" w:rsidR="004A4D8E" w:rsidRPr="004A6442" w:rsidRDefault="004A4D8E" w:rsidP="004A644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4A4D8E" w:rsidRPr="004A64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8375F7" w14:textId="77777777" w:rsidR="00D35910" w:rsidRDefault="00D35910" w:rsidP="00365D81">
      <w:pPr>
        <w:spacing w:after="0" w:line="240" w:lineRule="auto"/>
      </w:pPr>
      <w:r>
        <w:separator/>
      </w:r>
    </w:p>
  </w:endnote>
  <w:endnote w:type="continuationSeparator" w:id="0">
    <w:p w14:paraId="6290B48E" w14:textId="77777777" w:rsidR="00D35910" w:rsidRDefault="00D35910" w:rsidP="00365D81">
      <w:pPr>
        <w:spacing w:after="0" w:line="240" w:lineRule="auto"/>
      </w:pPr>
      <w:r>
        <w:continuationSeparator/>
      </w:r>
    </w:p>
  </w:endnote>
  <w:endnote w:type="continuationNotice" w:id="1">
    <w:p w14:paraId="19000EF7" w14:textId="77777777" w:rsidR="00156029" w:rsidRDefault="001560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A7A4ED" w14:textId="77777777" w:rsidR="00D35910" w:rsidRDefault="00D35910" w:rsidP="00365D81">
      <w:pPr>
        <w:spacing w:after="0" w:line="240" w:lineRule="auto"/>
      </w:pPr>
      <w:r>
        <w:separator/>
      </w:r>
    </w:p>
  </w:footnote>
  <w:footnote w:type="continuationSeparator" w:id="0">
    <w:p w14:paraId="0C1A3CDD" w14:textId="77777777" w:rsidR="00D35910" w:rsidRDefault="00D35910" w:rsidP="00365D81">
      <w:pPr>
        <w:spacing w:after="0" w:line="240" w:lineRule="auto"/>
      </w:pPr>
      <w:r>
        <w:continuationSeparator/>
      </w:r>
    </w:p>
  </w:footnote>
  <w:footnote w:type="continuationNotice" w:id="1">
    <w:p w14:paraId="71004B7F" w14:textId="77777777" w:rsidR="00156029" w:rsidRDefault="00156029">
      <w:pPr>
        <w:spacing w:after="0" w:line="240" w:lineRule="auto"/>
      </w:pPr>
    </w:p>
  </w:footnote>
  <w:footnote w:id="2">
    <w:p w14:paraId="60F0F334" w14:textId="2997F656" w:rsidR="00D35910" w:rsidRPr="00365D81" w:rsidRDefault="00D35910" w:rsidP="00365D81">
      <w:pPr>
        <w:pStyle w:val="FootnoteText"/>
        <w:spacing w:after="0" w:line="240" w:lineRule="auto"/>
        <w:jc w:val="both"/>
        <w:rPr>
          <w:rFonts w:ascii="Garamond" w:hAnsi="Garamond"/>
          <w:i/>
          <w:iCs/>
        </w:rPr>
      </w:pPr>
      <w:r>
        <w:rPr>
          <w:rStyle w:val="FootnoteReference"/>
        </w:rPr>
        <w:footnoteRef/>
      </w:r>
      <w:r>
        <w:t xml:space="preserve"> </w:t>
      </w:r>
      <w:r w:rsidRPr="00F50F6B">
        <w:rPr>
          <w:rStyle w:val="FootnoteReference"/>
          <w:rFonts w:ascii="Garamond" w:hAnsi="Garamond"/>
          <w:i/>
          <w:iCs/>
        </w:rPr>
        <w:footnoteRef/>
      </w:r>
      <w:r w:rsidRPr="00F50F6B">
        <w:rPr>
          <w:rFonts w:ascii="Garamond" w:hAnsi="Garamond"/>
          <w:i/>
          <w:iCs/>
        </w:rPr>
        <w:t>Ky udhëzim përafron plotësisht Vendimin e Komisionit 2002/226/KE, datë 15 mars 2002, “Për vendosjen e kontrolleve të veçanta shëndetësore për mbledhjen dhe përpunimin e disa molusqeve bivalvore me një nivel të toksinës amnezike të molusqeve (ASP), që tejkalon kufirin e përcaktuar në direktivën e Këshillit 91/492/KEE”, botuar në Fletoren Zyrtare të Bashkimit Evropian L 75, datë 16.3.2002, f. 65–66, CELEX 32002D0226.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2220"/>
    <w:rsid w:val="000F74B6"/>
    <w:rsid w:val="00126DFF"/>
    <w:rsid w:val="00131897"/>
    <w:rsid w:val="001551BD"/>
    <w:rsid w:val="00156029"/>
    <w:rsid w:val="001574C5"/>
    <w:rsid w:val="001623E7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67D5C"/>
    <w:rsid w:val="0028358F"/>
    <w:rsid w:val="002A21F8"/>
    <w:rsid w:val="002C21B1"/>
    <w:rsid w:val="002E28BA"/>
    <w:rsid w:val="002F37E0"/>
    <w:rsid w:val="002F517B"/>
    <w:rsid w:val="00302224"/>
    <w:rsid w:val="0036540F"/>
    <w:rsid w:val="00365D81"/>
    <w:rsid w:val="00387FA9"/>
    <w:rsid w:val="003A1254"/>
    <w:rsid w:val="003E1009"/>
    <w:rsid w:val="003F197E"/>
    <w:rsid w:val="003F3D67"/>
    <w:rsid w:val="00415D50"/>
    <w:rsid w:val="00420FCC"/>
    <w:rsid w:val="004326E6"/>
    <w:rsid w:val="004429C1"/>
    <w:rsid w:val="00451F03"/>
    <w:rsid w:val="004943C8"/>
    <w:rsid w:val="00495544"/>
    <w:rsid w:val="004A4D8E"/>
    <w:rsid w:val="004A4F21"/>
    <w:rsid w:val="004A6442"/>
    <w:rsid w:val="004C76A2"/>
    <w:rsid w:val="004D435F"/>
    <w:rsid w:val="004F68C5"/>
    <w:rsid w:val="0050561C"/>
    <w:rsid w:val="00507D84"/>
    <w:rsid w:val="005154DA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A5EB3"/>
    <w:rsid w:val="006C6169"/>
    <w:rsid w:val="006F2F10"/>
    <w:rsid w:val="007165FA"/>
    <w:rsid w:val="00724FF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846AE"/>
    <w:rsid w:val="008C7EE7"/>
    <w:rsid w:val="008D15FD"/>
    <w:rsid w:val="008E1237"/>
    <w:rsid w:val="008E2BFC"/>
    <w:rsid w:val="008F0E16"/>
    <w:rsid w:val="009053DA"/>
    <w:rsid w:val="00910FDE"/>
    <w:rsid w:val="00961A75"/>
    <w:rsid w:val="009822A2"/>
    <w:rsid w:val="00A10771"/>
    <w:rsid w:val="00A4634C"/>
    <w:rsid w:val="00A84B62"/>
    <w:rsid w:val="00A95DBE"/>
    <w:rsid w:val="00AB7D07"/>
    <w:rsid w:val="00AD6F91"/>
    <w:rsid w:val="00AF158A"/>
    <w:rsid w:val="00B022DA"/>
    <w:rsid w:val="00B119FC"/>
    <w:rsid w:val="00B363FA"/>
    <w:rsid w:val="00B866A9"/>
    <w:rsid w:val="00B95EFE"/>
    <w:rsid w:val="00BB50B0"/>
    <w:rsid w:val="00BB777A"/>
    <w:rsid w:val="00BF482C"/>
    <w:rsid w:val="00C0163A"/>
    <w:rsid w:val="00C12399"/>
    <w:rsid w:val="00C43A07"/>
    <w:rsid w:val="00C50CCF"/>
    <w:rsid w:val="00C64589"/>
    <w:rsid w:val="00C9462E"/>
    <w:rsid w:val="00C95924"/>
    <w:rsid w:val="00CA5391"/>
    <w:rsid w:val="00CC1BA0"/>
    <w:rsid w:val="00CC5413"/>
    <w:rsid w:val="00CC5B7C"/>
    <w:rsid w:val="00D17476"/>
    <w:rsid w:val="00D238CA"/>
    <w:rsid w:val="00D35910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E11D35"/>
    <w:rsid w:val="00E13DFD"/>
    <w:rsid w:val="00E14FB5"/>
    <w:rsid w:val="00E154BC"/>
    <w:rsid w:val="00E53E37"/>
    <w:rsid w:val="00E6558D"/>
    <w:rsid w:val="00E7372A"/>
    <w:rsid w:val="00EA5016"/>
    <w:rsid w:val="00EA6DB4"/>
    <w:rsid w:val="00EF009A"/>
    <w:rsid w:val="00EF200C"/>
    <w:rsid w:val="00EF2A0A"/>
    <w:rsid w:val="00F23FBB"/>
    <w:rsid w:val="00F5332C"/>
    <w:rsid w:val="00F8739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724A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4A6442"/>
    <w:pPr>
      <w:autoSpaceDE w:val="0"/>
      <w:autoSpaceDN w:val="0"/>
      <w:adjustRightInd w:val="0"/>
      <w:spacing w:line="258" w:lineRule="atLeast"/>
    </w:pPr>
    <w:rPr>
      <w:rFonts w:ascii="Times New Roman" w:hAnsi="Times New Roman" w:cs="Times New Roman"/>
      <w:color w:val="000000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A6442"/>
    <w:rPr>
      <w:rFonts w:ascii="Times New Roman" w:hAnsi="Times New Roman" w:cs="Times New Roman"/>
      <w:color w:val="000000"/>
      <w:sz w:val="20"/>
      <w:szCs w:val="20"/>
      <w:lang w:val="sq-AL"/>
    </w:rPr>
  </w:style>
  <w:style w:type="paragraph" w:styleId="NormalWeb">
    <w:name w:val="Normal (Web)"/>
    <w:basedOn w:val="Normal"/>
    <w:uiPriority w:val="99"/>
    <w:rsid w:val="004A6442"/>
    <w:pPr>
      <w:autoSpaceDE w:val="0"/>
      <w:autoSpaceDN w:val="0"/>
      <w:adjustRightInd w:val="0"/>
      <w:spacing w:before="100" w:after="100" w:line="330" w:lineRule="atLeast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qFormat/>
    <w:rsid w:val="004A644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4A6442"/>
    <w:rPr>
      <w:rFonts w:ascii="Cambria" w:eastAsia="Cambria" w:hAnsi="Cambria" w:cs="Cambria"/>
      <w:sz w:val="19"/>
      <w:szCs w:val="19"/>
    </w:rPr>
  </w:style>
  <w:style w:type="character" w:styleId="FootnoteReference">
    <w:name w:val="footnote reference"/>
    <w:basedOn w:val="DefaultParagraphFont"/>
    <w:uiPriority w:val="99"/>
    <w:semiHidden/>
    <w:unhideWhenUsed/>
    <w:rsid w:val="00365D81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1560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6029"/>
  </w:style>
  <w:style w:type="paragraph" w:styleId="Footer">
    <w:name w:val="footer"/>
    <w:basedOn w:val="Normal"/>
    <w:link w:val="FooterChar"/>
    <w:uiPriority w:val="99"/>
    <w:semiHidden/>
    <w:unhideWhenUsed/>
    <w:rsid w:val="001560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2026-08-07T07:46:34Z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Për përcaktimin e kontrolleve të veçanta shëndetësore për mbledhjen dhe përpunimin e disa molusqeve bivalvore me një nivel të toksinës amnesike të molusqeve (ASP), që tekalon kufirin 20mh/kg</Titulli>
    <Modifikuesi xmlns="0e656187-b300-4fb0-8bf4-3a50f872073c">entela.suli</Modifikuesi>
    <Nr_x002e__x0020_prot_x0020_QBZ xmlns="0e656187-b300-4fb0-8bf4-3a50f872073c">1829/2</Nr_x002e__x0020_prot_x0020_QBZ>
    <Data_x0020_e_x0020_Modifikimit xmlns="0e656187-b300-4fb0-8bf4-3a50f872073c">2026-08-10T10:05:41Z</Data_x0020_e_x0020_Modifikimit>
    <Dekretuar xmlns="0e656187-b300-4fb0-8bf4-3a50f872073c">false</Dekretuar>
    <Data xmlns="0e656187-b300-4fb0-8bf4-3a50f872073c">2026-08-04T00:00:00Z</Data>
    <Nr_x002e__x0020_protokolli_x0020_i_x0020_aktit xmlns="0e656187-b300-4fb0-8bf4-3a50f872073c">6174/1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68F90AE10140CAA6BF3AF30A5D04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28B45-1693-482C-8430-B18AFA4B5095}">
  <ds:schemaRefs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C1E365D-8657-4741-AFB2-819525A123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6F4ADC-CFB7-4345-94FD-C6DA0F942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4F0FE6-2AFA-489F-A65E-9F02F8740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kontrolleve të veçanta shëndetësore për mbledhjen dhe përpunimin e disa molusqeve bivalvore me një nivel të toksinës amnesike të molusqeve (ASP), që tekalon kufirin 20mh/kg</vt:lpstr>
    </vt:vector>
  </TitlesOfParts>
  <Company/>
  <LinksUpToDate>false</LinksUpToDate>
  <CharactersWithSpaces>6080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kontrolleve të veçanta shëndetësore për mbledhjen dhe përpunimin e disa molusqeve bivalvore me një nivel të toksinës amnesike të molusqeve (ASP), që tekalon kufirin 20mh/kg</dc:title>
  <dc:creator>Entela Suli</dc:creator>
  <cp:lastModifiedBy>Entela Suli</cp:lastModifiedBy>
  <cp:revision>12</cp:revision>
  <dcterms:created xsi:type="dcterms:W3CDTF">2026-08-07T08:00:00Z</dcterms:created>
  <dcterms:modified xsi:type="dcterms:W3CDTF">2026-08-10T10:57:00Z</dcterms:modified>
</cp:coreProperties>
</file>