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356" w:rsidRPr="00270C22" w:rsidRDefault="00413356" w:rsidP="00413356">
      <w:pPr>
        <w:pStyle w:val="Akti"/>
        <w:keepNext w:val="0"/>
      </w:pPr>
      <w:bookmarkStart w:id="0" w:name="_GoBack"/>
      <w:bookmarkEnd w:id="0"/>
      <w:r w:rsidRPr="00270C22">
        <w:t>UDHËZIM</w:t>
      </w:r>
    </w:p>
    <w:p w:rsidR="00413356" w:rsidRPr="00270C22" w:rsidRDefault="00413356" w:rsidP="00413356">
      <w:pPr>
        <w:pStyle w:val="NumriData"/>
        <w:keepNext w:val="0"/>
        <w:rPr>
          <w:szCs w:val="22"/>
        </w:rPr>
      </w:pPr>
      <w:r w:rsidRPr="00270C22">
        <w:rPr>
          <w:szCs w:val="22"/>
        </w:rPr>
        <w:t>Nr.5, datë 18.1.2008</w:t>
      </w:r>
    </w:p>
    <w:p w:rsidR="00413356" w:rsidRPr="00270C22" w:rsidRDefault="00413356" w:rsidP="00413356">
      <w:pPr>
        <w:pStyle w:val="Paragrafi"/>
      </w:pPr>
    </w:p>
    <w:p w:rsidR="00413356" w:rsidRPr="00270C22" w:rsidRDefault="00413356" w:rsidP="00413356">
      <w:pPr>
        <w:pStyle w:val="Titulli"/>
        <w:keepNext w:val="0"/>
      </w:pPr>
      <w:r w:rsidRPr="00270C22">
        <w:t>Tatimi për kalim</w:t>
      </w:r>
      <w:r>
        <w:t>in e s</w:t>
      </w:r>
      <w:r w:rsidRPr="00270C22">
        <w:t xml:space="preserve">ë drejtës së pronësisë mbi pasuritë </w:t>
      </w:r>
    </w:p>
    <w:p w:rsidR="00413356" w:rsidRPr="00270C22" w:rsidRDefault="00413356" w:rsidP="00413356">
      <w:pPr>
        <w:pStyle w:val="Titulli"/>
        <w:keepNext w:val="0"/>
      </w:pPr>
      <w:smartTag w:uri="urn:schemas-microsoft-com:office:smarttags" w:element="place">
        <w:r w:rsidRPr="00270C22">
          <w:t>e paluajtshme</w:t>
        </w:r>
      </w:smartTag>
    </w:p>
    <w:p w:rsidR="00413356" w:rsidRPr="00270C22" w:rsidRDefault="00413356" w:rsidP="00413356">
      <w:pPr>
        <w:pStyle w:val="Paragrafi"/>
        <w:ind w:firstLine="0"/>
        <w:rPr>
          <w:szCs w:val="22"/>
          <w:lang w:val="sq-AL"/>
        </w:rPr>
      </w:pPr>
    </w:p>
    <w:p w:rsidR="00413356" w:rsidRPr="00270C22" w:rsidRDefault="00413356" w:rsidP="00413356">
      <w:pPr>
        <w:pStyle w:val="Paragrafi"/>
        <w:rPr>
          <w:szCs w:val="22"/>
          <w:lang w:val="sq-AL"/>
        </w:rPr>
      </w:pPr>
      <w:r w:rsidRPr="00270C22">
        <w:rPr>
          <w:szCs w:val="22"/>
          <w:lang w:val="sq-AL"/>
        </w:rPr>
        <w:t>Në mbështetje të nenit 102, pika 4 të Kushtetutës së Republikës së Shqipërisë, si dhe në zbatim të nenit 11 të ligjit nr.8438, datë 28.12.1998 “Për tatimin mbi të ardhurat”, të ndryshuar, Ministri i Financave dhe Ministri i Drejtësisë</w:t>
      </w:r>
    </w:p>
    <w:p w:rsidR="00413356" w:rsidRPr="00270C22" w:rsidRDefault="00413356" w:rsidP="00413356">
      <w:pPr>
        <w:pStyle w:val="Paragrafi"/>
        <w:rPr>
          <w:szCs w:val="22"/>
          <w:lang w:val="sq-AL"/>
        </w:rPr>
      </w:pPr>
    </w:p>
    <w:p w:rsidR="00413356" w:rsidRPr="00413356" w:rsidRDefault="00413356" w:rsidP="00413356">
      <w:pPr>
        <w:pStyle w:val="VENDOSI"/>
        <w:keepNext w:val="0"/>
        <w:rPr>
          <w:lang w:val="sq-AL"/>
        </w:rPr>
      </w:pPr>
      <w:r w:rsidRPr="00413356">
        <w:rPr>
          <w:lang w:val="sq-AL"/>
        </w:rPr>
        <w:t>UDHËZOJNË:</w:t>
      </w: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r w:rsidRPr="00270C22">
        <w:rPr>
          <w:szCs w:val="22"/>
          <w:lang w:val="sq-AL"/>
        </w:rPr>
        <w:t>1. Kalimi i së drejtës së pronësisë mbi pasuritë e paluajtshme, tokë, ndërtesa, tatohet me 10 për qind të fitimeve kapitale të realizuara. Ky paragraf nuk zbatohet në rastet e shkëmbimit të së drejtës së pronësisë mbi tokën me të drejtën e pronësisë mbi ndërtesën e ndërtuar mbi tokë. Në këtë rast tatimi i të ardhurave kryhet sipas procedurës së dhënë në paragrafin 2 të nenit 11 të ligjit nr.8438, datë 28.12.1998 “Për tatimin mbi të ardhurat”, të ndryshuar.</w:t>
      </w:r>
    </w:p>
    <w:p w:rsidR="00413356" w:rsidRPr="00270C22" w:rsidRDefault="00413356" w:rsidP="00413356">
      <w:pPr>
        <w:pStyle w:val="Paragrafi"/>
        <w:rPr>
          <w:szCs w:val="22"/>
          <w:lang w:val="sq-AL"/>
        </w:rPr>
      </w:pPr>
      <w:r w:rsidRPr="00270C22">
        <w:rPr>
          <w:szCs w:val="22"/>
          <w:lang w:val="sq-AL"/>
        </w:rPr>
        <w:t>2. Tatimi paguhet nga individi që kalon të drejtën e pronësisë mbi pasurinë e paluajtshme, para kryerjes së regjistrimit të pasurive të mësipërme, në përputhje me aktet ligjore. Pasuria e paluajtshme nuk regjistrohet, pa provuar pagimin e detyrimit pranë zyrave vendore të regjistrimit të pasurive të paluajtshme.</w:t>
      </w:r>
    </w:p>
    <w:p w:rsidR="00413356" w:rsidRPr="00270C22" w:rsidRDefault="00413356" w:rsidP="00413356">
      <w:pPr>
        <w:pStyle w:val="Paragrafi"/>
        <w:rPr>
          <w:szCs w:val="22"/>
          <w:lang w:val="sq-AL"/>
        </w:rPr>
      </w:pPr>
      <w:r w:rsidRPr="00270C22">
        <w:rPr>
          <w:szCs w:val="22"/>
          <w:lang w:val="sq-AL"/>
        </w:rPr>
        <w:t>3. Me kalim të së drejtës së pronësisë do të kuptojmë një akt shitjeje apo dhurimi të pasurive të paluajtshme. Në kuptim të nenit 11 të ligjit, me fitime kapitale të realizuara duhet të kuptohet fitimi i realizuar nga shitja e pasurisë së paluajtshme tokë e ndërtesa, pra diferencën midis vlerës së shitjes dhe vlerës së blerjes së pasurisë.</w:t>
      </w:r>
    </w:p>
    <w:p w:rsidR="00413356" w:rsidRPr="00270C22" w:rsidRDefault="00413356" w:rsidP="00413356">
      <w:pPr>
        <w:pStyle w:val="Paragrafi"/>
        <w:rPr>
          <w:szCs w:val="22"/>
          <w:lang w:val="sq-AL"/>
        </w:rPr>
      </w:pPr>
      <w:r w:rsidRPr="00270C22">
        <w:rPr>
          <w:szCs w:val="22"/>
          <w:lang w:val="sq-AL"/>
        </w:rPr>
        <w:t>4. Vlera e shitjes së pasurisë së paluajtshme, përcaktohet në kontratën e shitjes të noterizuar, e cila duhet të jetë e firmosur nga palët (shitësi dhe blerësi) e duhet të shprehë sipërfaqen në metër katror të pasurisë, çmimin për metër katror dhe vlerën në lekë të pasurisë. Bashkëngjitur kësaj kontrate duhet të jenë hartat, planimetritë dhe dokumente të tjera, që shërbejnë për hipotekimin e pasurive të paluajtshme. Në vlerësimin e vlerës së shitjes, çmimi i shitjes për metër katror nuk duhet të jetë më i ulët se çmimi minimal fiskal, i përcaktuar në shtojcën bashkëlidhur këtij udhëzimi.</w:t>
      </w:r>
    </w:p>
    <w:p w:rsidR="00413356" w:rsidRPr="00270C22" w:rsidRDefault="00413356" w:rsidP="00413356">
      <w:pPr>
        <w:pStyle w:val="Paragrafi"/>
        <w:rPr>
          <w:szCs w:val="22"/>
          <w:lang w:val="sq-AL"/>
        </w:rPr>
      </w:pPr>
      <w:r w:rsidRPr="00270C22">
        <w:rPr>
          <w:szCs w:val="22"/>
          <w:lang w:val="sq-AL"/>
        </w:rPr>
        <w:t>4.1 Drejtoria e Përgjithshme e Tatimeve përditëson çmimet minimale fiskale me indeksin e inflacionit dhe sipas çmimeve të tregut, me përjashtim që bren</w:t>
      </w:r>
      <w:r>
        <w:rPr>
          <w:szCs w:val="22"/>
          <w:lang w:val="sq-AL"/>
        </w:rPr>
        <w:t>da një muaji nga hyrja në fuqi të</w:t>
      </w:r>
      <w:r w:rsidRPr="00270C22">
        <w:rPr>
          <w:szCs w:val="22"/>
          <w:lang w:val="sq-AL"/>
        </w:rPr>
        <w:t xml:space="preserve"> këtij udhëzimi të nxjerrë listat e reja të kostove dhe çmimeve minimale fiskale të ndërtimeve, sipas rretheve e zonave përkatëse, për vitin 2008. Ndarja zonale e qytetit të Tiranës do të bëhet sipas hartës bashkëlidhur këtij udhëzimi.</w:t>
      </w:r>
    </w:p>
    <w:p w:rsidR="00413356" w:rsidRPr="00270C22" w:rsidRDefault="00413356" w:rsidP="00413356">
      <w:pPr>
        <w:pStyle w:val="Paragrafi"/>
        <w:rPr>
          <w:szCs w:val="22"/>
          <w:lang w:val="sq-AL"/>
        </w:rPr>
      </w:pPr>
      <w:r>
        <w:rPr>
          <w:szCs w:val="22"/>
          <w:lang w:val="sq-AL"/>
        </w:rPr>
        <w:t>5. Për rastet e dhurimit</w:t>
      </w:r>
      <w:r w:rsidRPr="00270C22">
        <w:rPr>
          <w:szCs w:val="22"/>
          <w:lang w:val="sq-AL"/>
        </w:rPr>
        <w:t xml:space="preserve"> të pasurisë së paluajtshme për efekt të llogaritjes së tatimit, vlera e shitjes së pasurisë së paluajtshme do të përcaktohet nga persona të licencuar për vlerësimin e pasurive të paluajtshme dhe çmimi për metër katror i përdorur, nuk mund të jetë më pak, se çmimi minimal fiskal i përcaktuar në shtojcën bashkëlidhur këtij udhëzimi.</w:t>
      </w:r>
    </w:p>
    <w:p w:rsidR="00413356" w:rsidRPr="00270C22" w:rsidRDefault="00413356" w:rsidP="00413356">
      <w:pPr>
        <w:pStyle w:val="Paragrafi"/>
        <w:rPr>
          <w:szCs w:val="22"/>
          <w:lang w:val="sq-AL"/>
        </w:rPr>
      </w:pPr>
      <w:r w:rsidRPr="00270C22">
        <w:rPr>
          <w:szCs w:val="22"/>
          <w:lang w:val="sq-AL"/>
        </w:rPr>
        <w:t>6. Në rastet kur individi kalon pronësinë, për herë të dytë e në vazhdim, për efekt të llogaritjes së fitimit kapital të realizuar do të merret diferenca midis vlerës së</w:t>
      </w:r>
      <w:r>
        <w:rPr>
          <w:szCs w:val="22"/>
          <w:lang w:val="sq-AL"/>
        </w:rPr>
        <w:t xml:space="preserve"> shitjes dhe vlerës së blerjes të</w:t>
      </w:r>
      <w:r w:rsidRPr="00270C22">
        <w:rPr>
          <w:szCs w:val="22"/>
          <w:lang w:val="sq-AL"/>
        </w:rPr>
        <w:t xml:space="preserve"> përcaktuar</w:t>
      </w:r>
      <w:r>
        <w:rPr>
          <w:szCs w:val="22"/>
          <w:lang w:val="sq-AL"/>
        </w:rPr>
        <w:t>a</w:t>
      </w:r>
      <w:r w:rsidRPr="00270C22">
        <w:rPr>
          <w:szCs w:val="22"/>
          <w:lang w:val="sq-AL"/>
        </w:rPr>
        <w:t xml:space="preserve"> në kontratën paraardhëse.</w:t>
      </w:r>
    </w:p>
    <w:p w:rsidR="00413356" w:rsidRPr="00270C22" w:rsidRDefault="00413356" w:rsidP="00413356">
      <w:pPr>
        <w:pStyle w:val="Paragrafi"/>
        <w:rPr>
          <w:szCs w:val="22"/>
          <w:lang w:val="sq-AL"/>
        </w:rPr>
      </w:pPr>
      <w:r w:rsidRPr="00270C22">
        <w:rPr>
          <w:szCs w:val="22"/>
          <w:lang w:val="sq-AL"/>
        </w:rPr>
        <w:t>Shembull:</w:t>
      </w:r>
    </w:p>
    <w:p w:rsidR="00413356" w:rsidRPr="00270C22" w:rsidRDefault="00413356" w:rsidP="00413356">
      <w:pPr>
        <w:pStyle w:val="Paragrafi"/>
        <w:rPr>
          <w:szCs w:val="22"/>
          <w:lang w:val="sq-AL"/>
        </w:rPr>
      </w:pPr>
      <w:r w:rsidRPr="00270C22">
        <w:rPr>
          <w:szCs w:val="22"/>
          <w:lang w:val="sq-AL"/>
        </w:rPr>
        <w:t>A: Një shoqëri ndërtimi i shet një individi A një apartament me vlerën 5 000 000 lekë. Ky individ e shet këtë apartament pas dy vjetësh, te një individ B, për 6 000 000 lekë.</w:t>
      </w:r>
    </w:p>
    <w:p w:rsidR="00413356" w:rsidRPr="00270C22" w:rsidRDefault="00413356" w:rsidP="00413356">
      <w:pPr>
        <w:pStyle w:val="Paragrafi"/>
        <w:rPr>
          <w:szCs w:val="22"/>
          <w:lang w:val="sq-AL"/>
        </w:rPr>
      </w:pPr>
      <w:r w:rsidRPr="00270C22">
        <w:rPr>
          <w:szCs w:val="22"/>
          <w:lang w:val="sq-AL"/>
        </w:rPr>
        <w:t>Si do të aplikohet tatimi mbi të ardhurat nga kalimi i</w:t>
      </w:r>
      <w:r>
        <w:rPr>
          <w:szCs w:val="22"/>
          <w:lang w:val="sq-AL"/>
        </w:rPr>
        <w:t xml:space="preserve"> s</w:t>
      </w:r>
      <w:r w:rsidRPr="00270C22">
        <w:rPr>
          <w:szCs w:val="22"/>
          <w:lang w:val="sq-AL"/>
        </w:rPr>
        <w:t>ë drejtës së pronësisë?</w:t>
      </w:r>
    </w:p>
    <w:p w:rsidR="00413356" w:rsidRPr="00270C22" w:rsidRDefault="00413356" w:rsidP="00413356">
      <w:pPr>
        <w:pStyle w:val="Paragrafi"/>
        <w:rPr>
          <w:szCs w:val="22"/>
          <w:lang w:val="sq-AL"/>
        </w:rPr>
      </w:pPr>
      <w:r w:rsidRPr="00270C22">
        <w:rPr>
          <w:szCs w:val="22"/>
          <w:lang w:val="sq-AL"/>
        </w:rPr>
        <w:t>Për shitjen e parë nga shoqëria e ndërtimit, individi A nuk tatohet, pasi tatohet shoqëria e ndërtimit me tatimin mbi fitimin.</w:t>
      </w:r>
    </w:p>
    <w:p w:rsidR="00413356" w:rsidRDefault="00413356" w:rsidP="00413356">
      <w:pPr>
        <w:pStyle w:val="Paragrafi"/>
        <w:rPr>
          <w:szCs w:val="22"/>
          <w:lang w:val="sq-AL"/>
        </w:rPr>
      </w:pPr>
      <w:r w:rsidRPr="00270C22">
        <w:rPr>
          <w:szCs w:val="22"/>
          <w:lang w:val="sq-AL"/>
        </w:rPr>
        <w:t xml:space="preserve">Në </w:t>
      </w:r>
      <w:r>
        <w:rPr>
          <w:szCs w:val="22"/>
          <w:lang w:val="sq-AL"/>
        </w:rPr>
        <w:t xml:space="preserve"> </w:t>
      </w:r>
      <w:r w:rsidRPr="00270C22">
        <w:rPr>
          <w:szCs w:val="22"/>
          <w:lang w:val="sq-AL"/>
        </w:rPr>
        <w:t xml:space="preserve">shitjen e dytë </w:t>
      </w:r>
      <w:r>
        <w:rPr>
          <w:szCs w:val="22"/>
          <w:lang w:val="sq-AL"/>
        </w:rPr>
        <w:t xml:space="preserve"> individi A</w:t>
      </w:r>
      <w:r w:rsidRPr="00270C22">
        <w:rPr>
          <w:szCs w:val="22"/>
          <w:lang w:val="sq-AL"/>
        </w:rPr>
        <w:t xml:space="preserve"> </w:t>
      </w:r>
      <w:r>
        <w:rPr>
          <w:szCs w:val="22"/>
          <w:lang w:val="sq-AL"/>
        </w:rPr>
        <w:t xml:space="preserve"> </w:t>
      </w:r>
      <w:r w:rsidRPr="00270C22">
        <w:rPr>
          <w:szCs w:val="22"/>
          <w:lang w:val="sq-AL"/>
        </w:rPr>
        <w:t xml:space="preserve">do </w:t>
      </w:r>
      <w:r>
        <w:rPr>
          <w:szCs w:val="22"/>
          <w:lang w:val="sq-AL"/>
        </w:rPr>
        <w:t xml:space="preserve"> </w:t>
      </w:r>
      <w:r w:rsidRPr="00270C22">
        <w:rPr>
          <w:szCs w:val="22"/>
          <w:lang w:val="sq-AL"/>
        </w:rPr>
        <w:t xml:space="preserve">të </w:t>
      </w:r>
      <w:r>
        <w:rPr>
          <w:szCs w:val="22"/>
          <w:lang w:val="sq-AL"/>
        </w:rPr>
        <w:t xml:space="preserve"> </w:t>
      </w:r>
      <w:r w:rsidRPr="00270C22">
        <w:rPr>
          <w:szCs w:val="22"/>
          <w:lang w:val="sq-AL"/>
        </w:rPr>
        <w:t xml:space="preserve">tatohet me 10% </w:t>
      </w:r>
      <w:r>
        <w:rPr>
          <w:szCs w:val="22"/>
          <w:lang w:val="sq-AL"/>
        </w:rPr>
        <w:t xml:space="preserve"> </w:t>
      </w:r>
      <w:r w:rsidRPr="00270C22">
        <w:rPr>
          <w:szCs w:val="22"/>
          <w:lang w:val="sq-AL"/>
        </w:rPr>
        <w:t xml:space="preserve">të diferencës midis vlerës </w:t>
      </w:r>
      <w:r>
        <w:rPr>
          <w:szCs w:val="22"/>
          <w:lang w:val="sq-AL"/>
        </w:rPr>
        <w:t xml:space="preserve"> </w:t>
      </w:r>
      <w:r w:rsidRPr="00270C22">
        <w:rPr>
          <w:szCs w:val="22"/>
          <w:lang w:val="sq-AL"/>
        </w:rPr>
        <w:t xml:space="preserve">së </w:t>
      </w:r>
      <w:r>
        <w:rPr>
          <w:szCs w:val="22"/>
          <w:lang w:val="sq-AL"/>
        </w:rPr>
        <w:t xml:space="preserve"> </w:t>
      </w:r>
      <w:r w:rsidRPr="00270C22">
        <w:rPr>
          <w:szCs w:val="22"/>
          <w:lang w:val="sq-AL"/>
        </w:rPr>
        <w:t>shitjes 6 000 000 lekë dhe vlerës së blerjes 5 000 000 lekë.</w:t>
      </w: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r w:rsidRPr="00270C22">
        <w:rPr>
          <w:szCs w:val="22"/>
          <w:lang w:val="sq-AL"/>
        </w:rPr>
        <w:t>Pra 10%x (6 000 000-5 000 000)=100 000 lekë do të jetë tatimi mbi të ardhurat nga kalimi i</w:t>
      </w:r>
      <w:r>
        <w:rPr>
          <w:szCs w:val="22"/>
          <w:lang w:val="sq-AL"/>
        </w:rPr>
        <w:t xml:space="preserve"> s</w:t>
      </w:r>
      <w:r w:rsidRPr="00270C22">
        <w:rPr>
          <w:szCs w:val="22"/>
          <w:lang w:val="sq-AL"/>
        </w:rPr>
        <w:t>ë drejtës së pronësisë për individin A.</w:t>
      </w:r>
    </w:p>
    <w:p w:rsidR="00413356" w:rsidRPr="00270C22" w:rsidRDefault="00413356" w:rsidP="00413356">
      <w:pPr>
        <w:pStyle w:val="Paragrafi"/>
        <w:rPr>
          <w:szCs w:val="22"/>
          <w:lang w:val="sq-AL"/>
        </w:rPr>
      </w:pPr>
      <w:r w:rsidRPr="00270C22">
        <w:rPr>
          <w:szCs w:val="22"/>
          <w:lang w:val="sq-AL"/>
        </w:rPr>
        <w:t xml:space="preserve">7. Në rastet kur kemi shkëmbim të së drejtës së pronësisë mbi tokën me të drejtën e pronësisë </w:t>
      </w:r>
      <w:r w:rsidRPr="00270C22">
        <w:rPr>
          <w:szCs w:val="22"/>
          <w:lang w:val="sq-AL"/>
        </w:rPr>
        <w:lastRenderedPageBreak/>
        <w:t>mbi sipërfaqen e ndërtimit nuk zbato</w:t>
      </w:r>
      <w:r>
        <w:rPr>
          <w:szCs w:val="22"/>
          <w:lang w:val="sq-AL"/>
        </w:rPr>
        <w:t>het tatimi mbi kalimin e s</w:t>
      </w:r>
      <w:r w:rsidRPr="00270C22">
        <w:rPr>
          <w:szCs w:val="22"/>
          <w:lang w:val="sq-AL"/>
        </w:rPr>
        <w:t>ë drejtës së pronësisë. Në këtë rast, do të veprohet sipas përcaktimit ligjor të dhënë në paragrafin e dytë të nenit 4 të ligjit nr.9716, datë 16.4.2007, i cili paraqet një shtesë në fund të nenit 20 “Shpenzime të njohura” të ligjit nr.8438, datë 28.12.1998 “Për tatimin mbi të ardhurat”, për efekt të llogaritjes së tatimit mbi fitimin.</w:t>
      </w:r>
    </w:p>
    <w:p w:rsidR="00413356" w:rsidRPr="00270C22" w:rsidRDefault="00413356" w:rsidP="00413356">
      <w:pPr>
        <w:pStyle w:val="Paragrafi"/>
        <w:rPr>
          <w:szCs w:val="22"/>
          <w:lang w:val="sq-AL"/>
        </w:rPr>
      </w:pPr>
      <w:r w:rsidRPr="00270C22">
        <w:rPr>
          <w:szCs w:val="22"/>
          <w:lang w:val="sq-AL"/>
        </w:rPr>
        <w:t>8. Në rastin e kalimit të së drejtës së pronësisë mbi tokën, për efekt të përcaktimit të tatimit mbi të ardhurat për kalim pronësie, çmimet minimale fiskale do të jenë ato të përcaktuara në ven</w:t>
      </w:r>
      <w:r>
        <w:rPr>
          <w:szCs w:val="22"/>
          <w:lang w:val="sq-AL"/>
        </w:rPr>
        <w:t>dimet e Këshillit të Ministrave</w:t>
      </w:r>
      <w:r w:rsidRPr="00270C22">
        <w:rPr>
          <w:szCs w:val="22"/>
          <w:lang w:val="sq-AL"/>
        </w:rPr>
        <w:t xml:space="preserve"> nr.816, datë 20.12.2006, nr.555, datë 29.8.2007 dhe nr.653, datë 29.9.2007. Për zonat e tjera të vendit zyrat vendore të regjistrimit të pasurisë së paluajtshme do të marrin në konsideratë vendimet e tjera të Këshillit të Ministrave, të cilat do të miratojnë çmimet minimale përkatëse në hartat e qarqeve.</w:t>
      </w:r>
    </w:p>
    <w:p w:rsidR="00413356" w:rsidRPr="00270C22" w:rsidRDefault="00413356" w:rsidP="00413356">
      <w:pPr>
        <w:pStyle w:val="Paragrafi"/>
        <w:rPr>
          <w:szCs w:val="22"/>
          <w:lang w:val="sq-AL"/>
        </w:rPr>
      </w:pPr>
      <w:r w:rsidRPr="00270C22">
        <w:rPr>
          <w:szCs w:val="22"/>
          <w:lang w:val="sq-AL"/>
        </w:rPr>
        <w:t>9. Tatim</w:t>
      </w:r>
      <w:r>
        <w:rPr>
          <w:szCs w:val="22"/>
          <w:lang w:val="sq-AL"/>
        </w:rPr>
        <w:t>i mbi të ardhurat nga kalimi i s</w:t>
      </w:r>
      <w:r w:rsidRPr="00270C22">
        <w:rPr>
          <w:szCs w:val="22"/>
          <w:lang w:val="sq-AL"/>
        </w:rPr>
        <w:t>ë drejtës së pronësisë paguhet nga individi që kalon të drejtën e pronësisë mbi pasurinë e paluajtshme. Ngarkohen zyrat vendore të regjistrimit të pasurisë së paluajtshme për llogaritjen dhe mbajtjen e tatimi</w:t>
      </w:r>
      <w:r>
        <w:rPr>
          <w:szCs w:val="22"/>
          <w:lang w:val="sq-AL"/>
        </w:rPr>
        <w:t>t mbi të ardhurat nga kalimi i s</w:t>
      </w:r>
      <w:r w:rsidRPr="00270C22">
        <w:rPr>
          <w:szCs w:val="22"/>
          <w:lang w:val="sq-AL"/>
        </w:rPr>
        <w:t>ë drejtës së pronësisë sipas procedurave të përcaktuara në këtë udhëzim. Derdhja e tatimit bëhet para kryerjes së regjistrimit të pasurive të paluajtshme në përputhje me aktet ligjore. Zyrat vendore të regjistrimit të pasurisë së paluajtshme mbledh</w:t>
      </w:r>
      <w:r>
        <w:rPr>
          <w:szCs w:val="22"/>
          <w:lang w:val="sq-AL"/>
        </w:rPr>
        <w:t>in tatimin lidhur me kalimin e s</w:t>
      </w:r>
      <w:r w:rsidRPr="00270C22">
        <w:rPr>
          <w:szCs w:val="22"/>
          <w:lang w:val="sq-AL"/>
        </w:rPr>
        <w:t xml:space="preserve">ë drejtës së pronësisë së pasurisë së paluajtshme dhe e derdhin atë brenda 10 ditëve nga kryerja e veprimeve për llogari të organeve tatimore. </w:t>
      </w:r>
    </w:p>
    <w:p w:rsidR="00413356" w:rsidRPr="00270C22" w:rsidRDefault="00413356" w:rsidP="00413356">
      <w:pPr>
        <w:pStyle w:val="Paragrafi"/>
        <w:rPr>
          <w:szCs w:val="22"/>
          <w:lang w:val="sq-AL"/>
        </w:rPr>
      </w:pPr>
      <w:r w:rsidRPr="00270C22">
        <w:rPr>
          <w:szCs w:val="22"/>
          <w:lang w:val="sq-AL"/>
        </w:rPr>
        <w:t>Brenda datës 10 të muajit pasardhës, zyrat e regjistrimit të pasurisë së paluajtshme, dërgojnë në degën përkatëse të tatimeve evidencën përkatëse, e cila përmbledh emrin e individit tatimpagues, shumën e llogaritur të tatimi</w:t>
      </w:r>
      <w:r>
        <w:rPr>
          <w:szCs w:val="22"/>
          <w:lang w:val="sq-AL"/>
        </w:rPr>
        <w:t>t mbi të ardhurat nga kalimi i s</w:t>
      </w:r>
      <w:r w:rsidRPr="00270C22">
        <w:rPr>
          <w:szCs w:val="22"/>
          <w:lang w:val="sq-AL"/>
        </w:rPr>
        <w:t>ë drejtës së pronësisë, si dhe numrin dhe datën e dokumentit të derdhjes së këtij detyrimi në organin tatimor.</w:t>
      </w:r>
    </w:p>
    <w:p w:rsidR="00413356" w:rsidRPr="00270C22" w:rsidRDefault="00413356" w:rsidP="00413356">
      <w:pPr>
        <w:pStyle w:val="Paragrafi"/>
        <w:rPr>
          <w:szCs w:val="22"/>
          <w:lang w:val="sq-AL"/>
        </w:rPr>
      </w:pPr>
      <w:r w:rsidRPr="00270C22">
        <w:rPr>
          <w:szCs w:val="22"/>
          <w:lang w:val="sq-AL"/>
        </w:rPr>
        <w:t>10. Ngarkohet Ministria e Drejtësisë që të informojë zyrat noteriale për respektimin e zbatimit të çmimeve minimale fiskale të përcaktuara në shtojcën bashkëlidhur këtij udhëzimi. Mosrespektimi i këtyre çmimeve në kontratat e noterizuara të shitjeve të pasurisë së paluajtshme konsiderohen kundërvajtje administrative për zyrat e noterëve dhe penalizohen sipas ligjit në fuqi.</w:t>
      </w:r>
    </w:p>
    <w:p w:rsidR="00413356" w:rsidRPr="00270C22" w:rsidRDefault="00413356" w:rsidP="00413356">
      <w:pPr>
        <w:pStyle w:val="Paragrafi"/>
        <w:rPr>
          <w:szCs w:val="22"/>
          <w:lang w:val="sq-AL"/>
        </w:rPr>
      </w:pPr>
      <w:r w:rsidRPr="00270C22">
        <w:rPr>
          <w:szCs w:val="22"/>
          <w:lang w:val="sq-AL"/>
        </w:rPr>
        <w:t>11. Në rastet kur qytetarët, nëpërmjet aktit</w:t>
      </w:r>
      <w:r>
        <w:rPr>
          <w:szCs w:val="22"/>
          <w:lang w:val="sq-AL"/>
        </w:rPr>
        <w:t xml:space="preserve"> noterial, kanë bërë kalimin e s</w:t>
      </w:r>
      <w:r w:rsidRPr="00270C22">
        <w:rPr>
          <w:szCs w:val="22"/>
          <w:lang w:val="sq-AL"/>
        </w:rPr>
        <w:t>ë drejtës së pronësisë përpara datës 1 janar 2008, por paraqiten pas kësaj date për të kryer regjistrimet e nevojshme në sportelet e zyrave vendore të regjistrimit të pasurisë së paluajtshme, do të zbatohet tatimi mbi të ardhurat nga kalimi i së drejtës së pronësisë sipas nenit 11 të ligjit nr.8438, datë 28.12.1998 “Për tatimin mbi të ardhurat”, të ndryshuar, bazuar kjo në dispozitat e nenit 83 të Kodit Civil të Republikës së Shqipërisë.</w:t>
      </w:r>
    </w:p>
    <w:p w:rsidR="00413356" w:rsidRPr="00270C22" w:rsidRDefault="00413356" w:rsidP="00413356">
      <w:pPr>
        <w:pStyle w:val="Paragrafi"/>
        <w:rPr>
          <w:szCs w:val="22"/>
          <w:lang w:val="sq-AL"/>
        </w:rPr>
      </w:pPr>
      <w:r w:rsidRPr="00270C22">
        <w:rPr>
          <w:szCs w:val="22"/>
          <w:lang w:val="sq-AL"/>
        </w:rPr>
        <w:t>12. Ky udhëzim hyn në fuqi me botimin në Fletoren Zyrtare dhe i shtrin efektet nga datë 1 janar 2008.</w:t>
      </w:r>
    </w:p>
    <w:p w:rsidR="00413356" w:rsidRPr="00270C22" w:rsidRDefault="00413356" w:rsidP="00413356">
      <w:pPr>
        <w:pStyle w:val="Paragrafi"/>
        <w:rPr>
          <w:szCs w:val="22"/>
          <w:lang w:val="sq-AL"/>
        </w:rPr>
      </w:pPr>
    </w:p>
    <w:p w:rsidR="00413356" w:rsidRPr="00270C22" w:rsidRDefault="00413356" w:rsidP="00413356">
      <w:pPr>
        <w:pStyle w:val="Paragrafi"/>
        <w:ind w:left="6480" w:hanging="5760"/>
        <w:rPr>
          <w:szCs w:val="22"/>
          <w:lang w:val="sq-AL"/>
        </w:rPr>
      </w:pPr>
      <w:r w:rsidRPr="00270C22">
        <w:rPr>
          <w:szCs w:val="22"/>
          <w:lang w:val="sq-AL"/>
        </w:rPr>
        <w:t xml:space="preserve">MINISTRI I FINANCAVE                                          </w:t>
      </w:r>
      <w:r>
        <w:rPr>
          <w:szCs w:val="22"/>
          <w:lang w:val="sq-AL"/>
        </w:rPr>
        <w:tab/>
      </w:r>
      <w:r w:rsidRPr="00270C22">
        <w:rPr>
          <w:szCs w:val="22"/>
          <w:lang w:val="sq-AL"/>
        </w:rPr>
        <w:t>MINISTRI I DREJTËSISË</w:t>
      </w:r>
    </w:p>
    <w:p w:rsidR="00413356" w:rsidRPr="00270C22" w:rsidRDefault="00413356" w:rsidP="00413356">
      <w:pPr>
        <w:pStyle w:val="Paragrafi"/>
        <w:ind w:left="720" w:firstLine="0"/>
        <w:rPr>
          <w:szCs w:val="22"/>
          <w:lang w:val="sq-AL"/>
        </w:rPr>
      </w:pPr>
      <w:r w:rsidRPr="00270C22">
        <w:rPr>
          <w:b/>
          <w:szCs w:val="22"/>
          <w:lang w:val="sq-AL"/>
        </w:rPr>
        <w:t xml:space="preserve">      Ridvan  Bode</w:t>
      </w:r>
      <w:r w:rsidRPr="00270C22">
        <w:rPr>
          <w:szCs w:val="22"/>
          <w:lang w:val="sq-AL"/>
        </w:rPr>
        <w:t xml:space="preserve">                                                                          </w:t>
      </w:r>
      <w:r w:rsidRPr="00270C22">
        <w:rPr>
          <w:b/>
          <w:szCs w:val="22"/>
          <w:lang w:val="sq-AL"/>
        </w:rPr>
        <w:t>Enkeled Alibeaj</w:t>
      </w: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872524" w:rsidP="00413356">
      <w:pPr>
        <w:pStyle w:val="Figure"/>
      </w:pPr>
      <w:r w:rsidRPr="00270C22">
        <w:rPr>
          <w:noProof/>
          <w:lang w:val="en-GB" w:eastAsia="en-GB"/>
        </w:rPr>
        <w:lastRenderedPageBreak/>
        <w:drawing>
          <wp:inline distT="0" distB="0" distL="0" distR="0">
            <wp:extent cx="5667375" cy="8181975"/>
            <wp:effectExtent l="0" t="0" r="9525" b="9525"/>
            <wp:docPr id="1" name="Picture 1" descr="tab1 ud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1 udh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67375" cy="8181975"/>
                    </a:xfrm>
                    <a:prstGeom prst="rect">
                      <a:avLst/>
                    </a:prstGeom>
                    <a:noFill/>
                    <a:ln>
                      <a:noFill/>
                    </a:ln>
                  </pic:spPr>
                </pic:pic>
              </a:graphicData>
            </a:graphic>
          </wp:inline>
        </w:drawing>
      </w: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872524" w:rsidP="00413356">
      <w:pPr>
        <w:pStyle w:val="Figure"/>
      </w:pPr>
      <w:r w:rsidRPr="00270C22">
        <w:rPr>
          <w:noProof/>
          <w:lang w:val="en-GB" w:eastAsia="en-GB"/>
        </w:rPr>
        <w:drawing>
          <wp:inline distT="0" distB="0" distL="0" distR="0">
            <wp:extent cx="5762625" cy="8420100"/>
            <wp:effectExtent l="0" t="0" r="9525" b="0"/>
            <wp:docPr id="2" name="Picture 2" descr="t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8420100"/>
                    </a:xfrm>
                    <a:prstGeom prst="rect">
                      <a:avLst/>
                    </a:prstGeom>
                    <a:noFill/>
                    <a:ln>
                      <a:noFill/>
                    </a:ln>
                  </pic:spPr>
                </pic:pic>
              </a:graphicData>
            </a:graphic>
          </wp:inline>
        </w:drawing>
      </w:r>
    </w:p>
    <w:p w:rsidR="00413356" w:rsidRPr="00270C22" w:rsidRDefault="00413356" w:rsidP="00413356">
      <w:pPr>
        <w:pStyle w:val="Paragrafi"/>
        <w:rPr>
          <w:szCs w:val="22"/>
          <w:lang w:val="sq-AL"/>
        </w:rPr>
      </w:pPr>
    </w:p>
    <w:p w:rsidR="00413356" w:rsidRPr="00270C22" w:rsidRDefault="00872524" w:rsidP="00413356">
      <w:pPr>
        <w:pStyle w:val="Figure"/>
      </w:pPr>
      <w:r w:rsidRPr="00270C22">
        <w:rPr>
          <w:noProof/>
          <w:lang w:val="en-GB" w:eastAsia="en-GB"/>
        </w:rPr>
        <w:drawing>
          <wp:inline distT="0" distB="0" distL="0" distR="0">
            <wp:extent cx="5753100" cy="1895475"/>
            <wp:effectExtent l="0" t="0" r="0" b="9525"/>
            <wp:docPr id="3" name="Picture 3" descr="t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1895475"/>
                    </a:xfrm>
                    <a:prstGeom prst="rect">
                      <a:avLst/>
                    </a:prstGeom>
                    <a:noFill/>
                    <a:ln>
                      <a:noFill/>
                    </a:ln>
                  </pic:spPr>
                </pic:pic>
              </a:graphicData>
            </a:graphic>
          </wp:inline>
        </w:drawing>
      </w:r>
    </w:p>
    <w:p w:rsidR="00413356" w:rsidRPr="00270C22" w:rsidRDefault="00413356" w:rsidP="00413356">
      <w:pPr>
        <w:pStyle w:val="Paragrafi"/>
        <w:rPr>
          <w:szCs w:val="22"/>
          <w:lang w:val="sq-AL"/>
        </w:rPr>
      </w:pPr>
    </w:p>
    <w:p w:rsidR="00413356" w:rsidRPr="00270C22" w:rsidRDefault="00413356" w:rsidP="00413356">
      <w:pPr>
        <w:pStyle w:val="Paragrafi"/>
        <w:rPr>
          <w:szCs w:val="22"/>
          <w:lang w:val="sq-AL"/>
        </w:rPr>
      </w:pPr>
    </w:p>
    <w:p w:rsidR="00413356" w:rsidRPr="00270C22" w:rsidRDefault="00872524" w:rsidP="00413356">
      <w:pPr>
        <w:pStyle w:val="Figure"/>
      </w:pPr>
      <w:r w:rsidRPr="00270C22">
        <w:rPr>
          <w:noProof/>
          <w:lang w:val="en-GB" w:eastAsia="en-GB"/>
        </w:rPr>
        <w:drawing>
          <wp:inline distT="0" distB="0" distL="0" distR="0">
            <wp:extent cx="5584190" cy="8458200"/>
            <wp:effectExtent l="0" t="0" r="0" b="0"/>
            <wp:docPr id="4" name="Picture 2" descr="hart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a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84190" cy="8458200"/>
                    </a:xfrm>
                    <a:prstGeom prst="rect">
                      <a:avLst/>
                    </a:prstGeom>
                    <a:noFill/>
                    <a:ln>
                      <a:noFill/>
                    </a:ln>
                  </pic:spPr>
                </pic:pic>
              </a:graphicData>
            </a:graphic>
          </wp:inline>
        </w:drawing>
      </w:r>
    </w:p>
    <w:p w:rsidR="00413356" w:rsidRPr="00270C22" w:rsidRDefault="00413356" w:rsidP="00413356">
      <w:pPr>
        <w:pStyle w:val="Paragrafi"/>
        <w:rPr>
          <w:szCs w:val="22"/>
          <w:lang w:val="sq-AL"/>
        </w:rPr>
      </w:pPr>
    </w:p>
    <w:p w:rsidR="000178C2" w:rsidRPr="00C84B66" w:rsidRDefault="000178C2" w:rsidP="00413356">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13356"/>
    <w:rsid w:val="000178C2"/>
    <w:rsid w:val="00413356"/>
    <w:rsid w:val="00872524"/>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CAA6DA2-1D17-489E-B785-3D21EDABF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13356"/>
    <w:pPr>
      <w:keepNext/>
      <w:widowControl w:val="0"/>
      <w:jc w:val="center"/>
      <w:outlineLvl w:val="0"/>
    </w:pPr>
    <w:rPr>
      <w:rFonts w:ascii="CG Times" w:hAnsi="CG Times"/>
      <w:b/>
      <w:caps/>
      <w:color w:val="000000"/>
      <w:sz w:val="22"/>
      <w:szCs w:val="22"/>
      <w:lang w:eastAsia="en-US"/>
    </w:rPr>
  </w:style>
  <w:style w:type="paragraph" w:customStyle="1" w:styleId="Figure">
    <w:name w:val="Figure"/>
    <w:next w:val="Normal"/>
    <w:rsid w:val="00413356"/>
    <w:pPr>
      <w:widowControl w:val="0"/>
      <w:outlineLvl w:val="2"/>
    </w:pPr>
    <w:rPr>
      <w:rFonts w:ascii="CG Times" w:hAnsi="CG Times"/>
      <w:sz w:val="22"/>
      <w:lang w:val="en-US" w:eastAsia="en-US"/>
    </w:rPr>
  </w:style>
  <w:style w:type="paragraph" w:customStyle="1" w:styleId="NumriData">
    <w:name w:val="Numri_Data"/>
    <w:next w:val="Normal"/>
    <w:rsid w:val="00413356"/>
    <w:pPr>
      <w:keepNext/>
      <w:widowControl w:val="0"/>
      <w:jc w:val="center"/>
      <w:outlineLvl w:val="0"/>
    </w:pPr>
    <w:rPr>
      <w:rFonts w:ascii="CG Times" w:hAnsi="CG Times"/>
      <w:b/>
      <w:sz w:val="22"/>
      <w:lang w:eastAsia="en-US"/>
    </w:rPr>
  </w:style>
  <w:style w:type="paragraph" w:customStyle="1" w:styleId="Paragrafi">
    <w:name w:val="Paragrafi"/>
    <w:link w:val="ParagrafiChar"/>
    <w:rsid w:val="00413356"/>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13356"/>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413356"/>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13356"/>
    <w:rPr>
      <w:rFonts w:ascii="CG Times" w:hAnsi="CG Times"/>
      <w:caps/>
      <w:sz w:val="22"/>
      <w:szCs w:val="22"/>
      <w:lang w:val="en-GB" w:eastAsia="en-US" w:bidi="ar-SA"/>
    </w:rPr>
  </w:style>
  <w:style w:type="character" w:customStyle="1" w:styleId="TitulliChar">
    <w:name w:val="Titulli Char"/>
    <w:basedOn w:val="DefaultParagraphFont"/>
    <w:link w:val="Titulli"/>
    <w:rsid w:val="00413356"/>
    <w:rPr>
      <w:rFonts w:ascii="CG Times" w:hAnsi="CG Times"/>
      <w:b/>
      <w:caps/>
      <w:sz w:val="22"/>
      <w:szCs w:val="22"/>
      <w:lang w:val="en-GB" w:eastAsia="en-US" w:bidi="ar-SA"/>
    </w:rPr>
  </w:style>
  <w:style w:type="character" w:customStyle="1" w:styleId="ParagrafiChar">
    <w:name w:val="Paragrafi Char"/>
    <w:basedOn w:val="DefaultParagraphFont"/>
    <w:link w:val="Paragrafi"/>
    <w:rsid w:val="00413356"/>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2019-03-16T18:02:00Z</dcterms:created>
  <dcterms:modified xsi:type="dcterms:W3CDTF">2019-03-16T18:02:00Z</dcterms:modified>
</cp:coreProperties>
</file>