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69D" w:rsidRPr="00A31AFC" w:rsidRDefault="0040269D" w:rsidP="0040269D">
      <w:pPr>
        <w:pStyle w:val="Akti"/>
        <w:keepNext w:val="0"/>
        <w:rPr>
          <w:lang w:val="it-IT"/>
        </w:rPr>
      </w:pPr>
      <w:bookmarkStart w:id="0" w:name="_GoBack"/>
      <w:bookmarkEnd w:id="0"/>
      <w:r w:rsidRPr="00A31AFC">
        <w:rPr>
          <w:lang w:val="it-IT"/>
        </w:rPr>
        <w:t xml:space="preserve">UDHËZIM </w:t>
      </w:r>
    </w:p>
    <w:p w:rsidR="0040269D" w:rsidRPr="00A31AFC" w:rsidRDefault="0040269D" w:rsidP="0040269D">
      <w:pPr>
        <w:pStyle w:val="NumriData"/>
        <w:keepNext w:val="0"/>
        <w:rPr>
          <w:lang w:val="it-IT"/>
        </w:rPr>
      </w:pPr>
      <w:r w:rsidRPr="00A31AFC">
        <w:rPr>
          <w:lang w:val="it-IT"/>
        </w:rPr>
        <w:t>Nr.2007/1, datë 2.3.2010</w:t>
      </w:r>
    </w:p>
    <w:p w:rsidR="0040269D" w:rsidRPr="00A31AFC" w:rsidRDefault="0040269D" w:rsidP="0040269D">
      <w:pPr>
        <w:pStyle w:val="Paragrafi0"/>
        <w:rPr>
          <w:lang w:val="it-IT"/>
        </w:rPr>
      </w:pPr>
    </w:p>
    <w:p w:rsidR="0040269D" w:rsidRPr="00A31AFC" w:rsidRDefault="0040269D" w:rsidP="0040269D">
      <w:pPr>
        <w:pStyle w:val="Titulli0"/>
        <w:keepNext w:val="0"/>
        <w:rPr>
          <w:lang w:val="it-IT"/>
        </w:rPr>
      </w:pPr>
      <w:r w:rsidRPr="00A31AFC">
        <w:rPr>
          <w:lang w:val="it-IT"/>
        </w:rPr>
        <w:t>PËR RASTET KUR NOTERËT KËRKOJNË INFORMACION TË SHKRUAR MBI TË DHËNAT E REGJISTRIT TË BARRËVE SIGURUESE DHE PROCEDURAT QË NDIQEN NË KËTO RASTE</w:t>
      </w:r>
    </w:p>
    <w:p w:rsidR="0040269D" w:rsidRPr="00A31AFC" w:rsidRDefault="0040269D" w:rsidP="0040269D">
      <w:pPr>
        <w:pStyle w:val="Paragrafi0"/>
        <w:rPr>
          <w:lang w:val="it-IT"/>
        </w:rPr>
      </w:pP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Në mbështetje të nenit 102 pika 4 të Kushtetutës, të paragrafit 2 të nenit 7 të ligjit nr.8678, datë 14.5.2001 “Për organizimin dhe funksionimin e Ministrisë së Drejtësisë”, të ndryshuar, të paragrafit 3 të nenit 28/1 dhe 26/ë të ligjit nr.8537, datë 18.10.1999 “Për barrët siguruese”, të ndryshuar dhe të ligjit nr.7829, datë 1.6.1994 “Për noterinë”, të ndryshuar, Ministri i Drejtësisë dhe Ministri i Ekonomisë, Tregtisë dhe Energjetikës</w:t>
      </w:r>
    </w:p>
    <w:p w:rsidR="0040269D" w:rsidRPr="00A31AFC" w:rsidRDefault="0040269D" w:rsidP="0040269D">
      <w:pPr>
        <w:pStyle w:val="Paragrafi0"/>
        <w:rPr>
          <w:lang w:val="it-IT"/>
        </w:rPr>
      </w:pPr>
    </w:p>
    <w:p w:rsidR="0040269D" w:rsidRPr="00A31AFC" w:rsidRDefault="0040269D" w:rsidP="0040269D">
      <w:pPr>
        <w:pStyle w:val="VENDOSI0"/>
        <w:keepNext w:val="0"/>
        <w:rPr>
          <w:lang w:val="it-IT"/>
        </w:rPr>
      </w:pPr>
      <w:r w:rsidRPr="00A31AFC">
        <w:rPr>
          <w:lang w:val="it-IT"/>
        </w:rPr>
        <w:t>UDHËZOJNË:</w:t>
      </w:r>
    </w:p>
    <w:p w:rsidR="0040269D" w:rsidRPr="00A31AFC" w:rsidRDefault="0040269D" w:rsidP="0040269D">
      <w:pPr>
        <w:pStyle w:val="Paragrafi0"/>
        <w:rPr>
          <w:lang w:val="it-IT"/>
        </w:rPr>
      </w:pP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1. Noterët kërkojnë informacion të shkruar mbi të dhënat e “Regjistrit të barrëve siguruese” përpara kryerjes së transaksioneve të parashikuara në aneksin nr.1, që i bashkëlidhet këtij udhëzimi.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2. Procedurat që ndiqen për paraqitjen e kërkesës për informacion nga noterët dhe kthimin e përgjigjes nga kryeregjistruesi i barrëve siguruese janë ato të parashikuara në rregulloren për barrët siguruese, miratuar me urdhrin e Ministrit të Ekonomisë, Tregtisë dhe Energjetikës nr.493, datë 6.7.2006 “Për miratimin e rregullores së barrëve siguruese”.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3. Noterët kërkojnë informacion nga të dhënat e regjistrit nëpërmjet plotësimit të formularit, njoftimi D-kërkesa për informacion, në përputhje me nenin 3 të rregullores për barrët siguruese, i cili nënshkruhet nga vetë noteri ose një person i autorizuar prej tij.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4. Kryeregjistruesi i barrëve siguruese, brenda 2 ditëve nga marrja e kërkesës, lëshon certifikatën, e cila përmban të dhënat aktive të ruajtura në regjistër, të parashikuara në rregulloren për barrët siguruese dhe të nevojshme për transaksionin.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5. Për zbatimin e këtij udhëzimi ngarkohen noterët, strukturat përgjegjëse për aktivitetin e noterisë në Ministrinë e Drejtësisë, si dhe strukturat përgjegjëse për administrimin e regjistrit të barrëve siguruese në Ministrinë e Ekonomisë, Tregtisë dhe Energjetikës.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Ky udhëzim hyn në fuqi 15 ditë pas botimit në Fletoren Zyrtare.</w:t>
      </w:r>
    </w:p>
    <w:p w:rsidR="0040269D" w:rsidRPr="0040269D" w:rsidRDefault="0040269D" w:rsidP="0040269D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16"/>
        <w:gridCol w:w="4440"/>
      </w:tblGrid>
      <w:tr w:rsidR="0040269D" w:rsidTr="0040269D">
        <w:tc>
          <w:tcPr>
            <w:tcW w:w="4643" w:type="dxa"/>
          </w:tcPr>
          <w:p w:rsidR="0040269D" w:rsidRDefault="0040269D" w:rsidP="0040269D">
            <w:pPr>
              <w:pStyle w:val="Autoriteti"/>
              <w:jc w:val="both"/>
            </w:pPr>
            <w:r>
              <w:t xml:space="preserve">MINISTRI I DREJTËSISË            </w:t>
            </w:r>
          </w:p>
          <w:p w:rsidR="0040269D" w:rsidRDefault="0040269D" w:rsidP="0040269D">
            <w:pPr>
              <w:pStyle w:val="AutoritetiEmer"/>
              <w:jc w:val="both"/>
            </w:pPr>
            <w:r>
              <w:t xml:space="preserve">Bujar Nishani  </w:t>
            </w:r>
          </w:p>
          <w:p w:rsidR="0040269D" w:rsidRDefault="0040269D" w:rsidP="0040269D">
            <w:pPr>
              <w:pStyle w:val="Paragrafi0"/>
              <w:ind w:firstLine="0"/>
            </w:pPr>
          </w:p>
        </w:tc>
        <w:tc>
          <w:tcPr>
            <w:tcW w:w="4644" w:type="dxa"/>
          </w:tcPr>
          <w:p w:rsidR="0040269D" w:rsidRPr="00A31AFC" w:rsidRDefault="0040269D" w:rsidP="0040269D">
            <w:pPr>
              <w:pStyle w:val="Autoriteti"/>
              <w:rPr>
                <w:lang w:val="it-IT"/>
              </w:rPr>
            </w:pPr>
            <w:r w:rsidRPr="00A31AFC">
              <w:rPr>
                <w:lang w:val="it-IT"/>
              </w:rPr>
              <w:t>MINISTRI I EKONOMISË, TREGTISË</w:t>
            </w:r>
          </w:p>
          <w:p w:rsidR="0040269D" w:rsidRPr="00A31AFC" w:rsidRDefault="0040269D" w:rsidP="0040269D">
            <w:pPr>
              <w:pStyle w:val="Autoriteti"/>
              <w:rPr>
                <w:lang w:val="it-IT"/>
              </w:rPr>
            </w:pPr>
            <w:r w:rsidRPr="00A31AFC">
              <w:rPr>
                <w:lang w:val="it-IT"/>
              </w:rPr>
              <w:t xml:space="preserve"> DHE ENERGJETIKËS</w:t>
            </w:r>
          </w:p>
          <w:p w:rsidR="0040269D" w:rsidRPr="00BC4E62" w:rsidRDefault="0040269D" w:rsidP="0040269D">
            <w:pPr>
              <w:pStyle w:val="AutoritetiEmer"/>
            </w:pPr>
            <w:r w:rsidRPr="00BC4E62">
              <w:t>Dritan Prifti</w:t>
            </w:r>
          </w:p>
          <w:p w:rsidR="0040269D" w:rsidRDefault="0040269D" w:rsidP="0040269D">
            <w:pPr>
              <w:pStyle w:val="Paragrafi0"/>
              <w:ind w:firstLine="0"/>
            </w:pPr>
          </w:p>
        </w:tc>
      </w:tr>
    </w:tbl>
    <w:p w:rsidR="0040269D" w:rsidRDefault="0040269D" w:rsidP="0040269D">
      <w:pPr>
        <w:pStyle w:val="Paragrafi0"/>
      </w:pPr>
    </w:p>
    <w:p w:rsidR="0040269D" w:rsidRDefault="0040269D" w:rsidP="0040269D">
      <w:pPr>
        <w:pStyle w:val="Paragrafi0"/>
      </w:pPr>
    </w:p>
    <w:p w:rsidR="0040269D" w:rsidRDefault="0040269D" w:rsidP="0040269D">
      <w:pPr>
        <w:pStyle w:val="Paragrafi0"/>
        <w:jc w:val="right"/>
      </w:pPr>
      <w:r>
        <w:t>ANEKSI NR.1</w:t>
      </w:r>
    </w:p>
    <w:p w:rsidR="0040269D" w:rsidRDefault="0040269D" w:rsidP="0040269D">
      <w:pPr>
        <w:pStyle w:val="Paragrafi0"/>
      </w:pPr>
    </w:p>
    <w:p w:rsidR="0040269D" w:rsidRDefault="0040269D" w:rsidP="0040269D">
      <w:pPr>
        <w:pStyle w:val="Paragrafi0"/>
        <w:jc w:val="center"/>
      </w:pPr>
      <w:r>
        <w:t>LISTA E TRANSAKSIONEVE PËR TË CILAT NOTERËT KANË DETYRIMIN TË KËRKOJNË INFORMACION NË REGJISTRIN E BARRËVE SIGURUESE.</w:t>
      </w:r>
    </w:p>
    <w:p w:rsidR="0040269D" w:rsidRDefault="0040269D" w:rsidP="0040269D">
      <w:pPr>
        <w:pStyle w:val="Paragrafi0"/>
      </w:pPr>
    </w:p>
    <w:p w:rsidR="0040269D" w:rsidRDefault="0040269D" w:rsidP="0040269D">
      <w:pPr>
        <w:pStyle w:val="Paragrafi0"/>
      </w:pPr>
      <w:r>
        <w:t>1. Transaksione me objekt mallra me numër serie</w:t>
      </w:r>
    </w:p>
    <w:p w:rsidR="0040269D" w:rsidRDefault="0040269D" w:rsidP="0040269D">
      <w:pPr>
        <w:pStyle w:val="Paragrafi0"/>
      </w:pPr>
      <w:r>
        <w:t>Në këtë kategori përfshihen mallrat sipas përkufizimit të tyre në ligjin nr.8378, datë 22.7.1998 “Kodi Rrugor i Republikës së Shqipërisë”, i ndryshuar (“a”, “b”, “c”, “d”, “f”, “h”, “i”) dhe rregulloren për barrët siguruese (“dh”, “e”, “g”), si më poshtë:</w:t>
      </w:r>
    </w:p>
    <w:p w:rsidR="0040269D" w:rsidRDefault="0040269D" w:rsidP="0040269D">
      <w:pPr>
        <w:pStyle w:val="Paragrafi0"/>
      </w:pPr>
      <w:r>
        <w:t>a) automjete;</w:t>
      </w:r>
    </w:p>
    <w:p w:rsidR="0040269D" w:rsidRDefault="0040269D" w:rsidP="0040269D">
      <w:pPr>
        <w:pStyle w:val="Paragrafi0"/>
      </w:pPr>
      <w:r>
        <w:t>b) ciklomotorë;</w:t>
      </w:r>
    </w:p>
    <w:p w:rsidR="0040269D" w:rsidRDefault="0040269D" w:rsidP="0040269D">
      <w:pPr>
        <w:pStyle w:val="Paragrafi0"/>
      </w:pPr>
      <w:r>
        <w:t>c) makina bujqësore;</w:t>
      </w:r>
    </w:p>
    <w:p w:rsidR="0040269D" w:rsidRDefault="0040269D" w:rsidP="0040269D">
      <w:pPr>
        <w:pStyle w:val="Paragrafi0"/>
      </w:pPr>
      <w:r>
        <w:lastRenderedPageBreak/>
        <w:t>d) makina teknologjike;</w:t>
      </w:r>
    </w:p>
    <w:p w:rsidR="0040269D" w:rsidRDefault="0040269D" w:rsidP="0040269D">
      <w:pPr>
        <w:pStyle w:val="Paragrafi0"/>
      </w:pPr>
      <w:r>
        <w:t>dh) mjete fluturimi;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e) mjete lundrimi;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f) motomjete;</w:t>
      </w:r>
    </w:p>
    <w:p w:rsidR="0040269D" w:rsidRDefault="0040269D" w:rsidP="0040269D">
      <w:pPr>
        <w:pStyle w:val="Paragrafi0"/>
      </w:pPr>
      <w:r>
        <w:t>g) motorë mjet fluturimi;</w:t>
      </w:r>
    </w:p>
    <w:p w:rsidR="0040269D" w:rsidRDefault="0040269D" w:rsidP="0040269D">
      <w:pPr>
        <w:pStyle w:val="Paragrafi0"/>
      </w:pPr>
      <w:r>
        <w:t>h) rimorkio;</w:t>
      </w:r>
    </w:p>
    <w:p w:rsidR="0040269D" w:rsidRDefault="0040269D" w:rsidP="0040269D">
      <w:pPr>
        <w:pStyle w:val="Paragrafi0"/>
      </w:pPr>
      <w:r>
        <w:t>i) trolejbusë.</w:t>
      </w:r>
    </w:p>
    <w:p w:rsidR="0040269D" w:rsidRDefault="0040269D" w:rsidP="0040269D">
      <w:pPr>
        <w:pStyle w:val="Paragrafi0"/>
      </w:pPr>
      <w:r>
        <w:t>2. Kontrata me objekt rikonstruksion dhe sistemim;</w:t>
      </w:r>
    </w:p>
    <w:p w:rsidR="0040269D" w:rsidRDefault="0040269D" w:rsidP="0040269D">
      <w:pPr>
        <w:pStyle w:val="Paragrafi0"/>
      </w:pPr>
      <w:r>
        <w:t>3. Transaksione me objekt pajisje shtëpie (në të tashmen dhe të ardhmen);</w:t>
      </w:r>
    </w:p>
    <w:p w:rsidR="0040269D" w:rsidRDefault="0040269D" w:rsidP="0040269D">
      <w:pPr>
        <w:pStyle w:val="Paragrafi0"/>
      </w:pPr>
      <w:r>
        <w:t>4.</w:t>
      </w:r>
      <w:r w:rsidRPr="0049112C">
        <w:t xml:space="preserve"> </w:t>
      </w:r>
      <w:r>
        <w:t>Transaksione me objekt pajisje biznesi (në të tashmen dhe të ardhmen);</w:t>
      </w:r>
    </w:p>
    <w:p w:rsidR="0040269D" w:rsidRDefault="0040269D" w:rsidP="0040269D">
      <w:pPr>
        <w:pStyle w:val="Paragrafi0"/>
      </w:pPr>
      <w:r>
        <w:t>5.</w:t>
      </w:r>
      <w:r w:rsidRPr="00DC304F">
        <w:t xml:space="preserve"> </w:t>
      </w:r>
      <w:r>
        <w:t>Transaksione me objekt mallra konsumi;</w:t>
      </w:r>
    </w:p>
    <w:p w:rsidR="0040269D" w:rsidRDefault="0040269D" w:rsidP="0040269D">
      <w:pPr>
        <w:pStyle w:val="Paragrafi0"/>
      </w:pPr>
      <w:r>
        <w:t>6.</w:t>
      </w:r>
      <w:r w:rsidRPr="00DC304F">
        <w:t xml:space="preserve"> </w:t>
      </w:r>
      <w:r>
        <w:t>Transaksione me objekt gjendjen e mallit;</w:t>
      </w:r>
    </w:p>
    <w:p w:rsidR="0040269D" w:rsidRDefault="0040269D" w:rsidP="0040269D">
      <w:pPr>
        <w:pStyle w:val="Paragrafi0"/>
      </w:pPr>
      <w:r>
        <w:t>7.</w:t>
      </w:r>
      <w:r w:rsidRPr="00DC304F">
        <w:t xml:space="preserve"> </w:t>
      </w:r>
      <w:r>
        <w:t>Transaksione me objekt mjete të ndryshme shërbimi;</w:t>
      </w:r>
    </w:p>
    <w:p w:rsidR="0040269D" w:rsidRDefault="0040269D" w:rsidP="0040269D">
      <w:pPr>
        <w:pStyle w:val="Paragrafi0"/>
      </w:pPr>
      <w:r>
        <w:t>8.</w:t>
      </w:r>
      <w:r w:rsidRPr="00DC304F">
        <w:t xml:space="preserve"> </w:t>
      </w:r>
      <w:r>
        <w:t>Transaksione me objekt aksionet e një kompanie;</w:t>
      </w:r>
    </w:p>
    <w:p w:rsidR="0040269D" w:rsidRDefault="0040269D" w:rsidP="0040269D">
      <w:pPr>
        <w:pStyle w:val="Paragrafi0"/>
      </w:pPr>
      <w:r>
        <w:t>9. Kontratë qiraje me afat mbi një vit;</w:t>
      </w:r>
    </w:p>
    <w:p w:rsidR="0040269D" w:rsidRDefault="0040269D" w:rsidP="0040269D">
      <w:pPr>
        <w:pStyle w:val="Paragrafi0"/>
      </w:pPr>
      <w:r>
        <w:t>(në kuptim të nenit 2 të ligjit nr.8537, datë 18.10.1999 “Për barrët siguruese”, të ndryshuar)</w:t>
      </w:r>
    </w:p>
    <w:p w:rsidR="0040269D" w:rsidRDefault="0040269D" w:rsidP="0040269D">
      <w:pPr>
        <w:pStyle w:val="Paragrafi0"/>
      </w:pPr>
      <w:r>
        <w:t>10. Kontratë komisioni të mallrave;</w:t>
      </w:r>
    </w:p>
    <w:p w:rsidR="0040269D" w:rsidRDefault="0040269D" w:rsidP="0040269D">
      <w:pPr>
        <w:pStyle w:val="Paragrafi0"/>
      </w:pPr>
      <w:r>
        <w:t>(në kuptim të nenit 2 të ligjit nr.8537, datë 18.10.1999 “Për barrët siguruese”, të ndryshuar)</w:t>
      </w:r>
    </w:p>
    <w:p w:rsidR="0040269D" w:rsidRDefault="0040269D" w:rsidP="0040269D">
      <w:pPr>
        <w:pStyle w:val="Paragrafi0"/>
      </w:pP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11. Kontratë shitje apo cedimi të llogarive;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(në kuptim të nenit 2 të ligjit nr.8537, datë 18.10.1999 “Për barrët siguruese”, të ndryshuar)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12. Kontratë e shitjes me rezervë të mallrave;</w:t>
      </w:r>
    </w:p>
    <w:p w:rsidR="0040269D" w:rsidRPr="0040269D" w:rsidRDefault="0040269D" w:rsidP="0040269D">
      <w:pPr>
        <w:pStyle w:val="Paragrafi0"/>
        <w:rPr>
          <w:lang w:val="it-IT"/>
        </w:rPr>
      </w:pPr>
      <w:r w:rsidRPr="0040269D">
        <w:rPr>
          <w:lang w:val="it-IT"/>
        </w:rPr>
        <w:t>(në kuptim të nenit 2 të ligjit nr.8537, datë 18.10.1999 “Për barrët siguruese”, të ndryshuar)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13. Kontratë posedimi;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14. Kontratë furnizimi;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15. Kontratë shërbimi;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16. Kontratë sipërmarrje, sidomos kontratat e sipërmarrjes së apartamenteve apo shtëpive deri në momentin e regjistrimit të tyre në Zyrën e Regjistrimit të Pasurive të Paluajtshme.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17. Kontrata që përmbajnë transferimin e titullit të pronësisë;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18. Depozitë bankare, së bashku me interesat</w:t>
      </w:r>
    </w:p>
    <w:p w:rsidR="0040269D" w:rsidRPr="00A31AFC" w:rsidRDefault="0040269D" w:rsidP="0040269D">
      <w:pPr>
        <w:pStyle w:val="Paragrafi0"/>
        <w:rPr>
          <w:lang w:val="it-IT"/>
        </w:rPr>
      </w:pPr>
      <w:r w:rsidRPr="00A31AFC">
        <w:rPr>
          <w:lang w:val="it-IT"/>
        </w:rPr>
        <w:t>19. Transaksione të tjera të çdo forme apo emërtimi, që krijojnë barrë siguruese mbi sende të luajtshme ose pasuri të paprekshme apo mbi të drejtat e pronarit me anë të transferimit të titullit të pronësisë, posedimit me anë pengu apo me çdo mënyrë tjetër.</w:t>
      </w:r>
    </w:p>
    <w:sectPr w:rsidR="0040269D" w:rsidRPr="00A31A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269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69D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2898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1AEBA9-16E5-48EB-8619-8B30835D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69D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0269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0269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0269D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026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