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22E" w:rsidRPr="001372A1" w:rsidRDefault="0011522E" w:rsidP="0011522E">
      <w:pPr>
        <w:pStyle w:val="Akti"/>
      </w:pPr>
      <w:bookmarkStart w:id="0" w:name="_GoBack"/>
      <w:bookmarkEnd w:id="0"/>
      <w:r>
        <w:t xml:space="preserve">UDHËZIM </w:t>
      </w:r>
      <w:r w:rsidRPr="001372A1">
        <w:t xml:space="preserve">I PËRBASHKËT </w:t>
      </w:r>
    </w:p>
    <w:p w:rsidR="0011522E" w:rsidRPr="001372A1" w:rsidRDefault="0011522E" w:rsidP="0011522E">
      <w:pPr>
        <w:pStyle w:val="NumriData"/>
      </w:pPr>
      <w:r>
        <w:t>Nr. 827/7</w:t>
      </w:r>
      <w:r w:rsidRPr="001372A1">
        <w:t xml:space="preserve">, </w:t>
      </w:r>
      <w:r>
        <w:t>datë 28.2.</w:t>
      </w:r>
      <w:r w:rsidRPr="001372A1">
        <w:t xml:space="preserve">2013 </w:t>
      </w:r>
    </w:p>
    <w:p w:rsidR="0011522E" w:rsidRPr="006779FF" w:rsidRDefault="0011522E" w:rsidP="0011522E">
      <w:pPr>
        <w:pStyle w:val="Paragrafi"/>
        <w:rPr>
          <w:sz w:val="14"/>
        </w:rPr>
      </w:pPr>
    </w:p>
    <w:p w:rsidR="0011522E" w:rsidRPr="001372A1" w:rsidRDefault="0011522E" w:rsidP="0011522E">
      <w:pPr>
        <w:pStyle w:val="Titulli"/>
      </w:pPr>
      <w:r w:rsidRPr="001372A1">
        <w:t>PËR BASHKËPUNIMIN NDËRINSTITUCIONAL</w:t>
      </w:r>
      <w:r>
        <w:t>,</w:t>
      </w:r>
      <w:r w:rsidRPr="001372A1">
        <w:t xml:space="preserve"> NË KUADËR TË REALIZIMIT TË MBIKËQYRJES ELEKTRONIKE TË PERSONAVE, TË CILËVE U KUFIZOHET LËVIZJA ME VENDIM GJYQËSOR</w:t>
      </w:r>
    </w:p>
    <w:p w:rsidR="0011522E" w:rsidRPr="006779FF" w:rsidRDefault="0011522E" w:rsidP="0011522E">
      <w:pPr>
        <w:pStyle w:val="Paragrafi"/>
        <w:rPr>
          <w:sz w:val="12"/>
        </w:rPr>
      </w:pPr>
    </w:p>
    <w:p w:rsidR="0011522E" w:rsidRPr="001372A1" w:rsidRDefault="0011522E" w:rsidP="0011522E">
      <w:pPr>
        <w:pStyle w:val="Paragrafi"/>
      </w:pPr>
      <w:r>
        <w:t>Në mbështetje të nenit 102</w:t>
      </w:r>
      <w:r w:rsidRPr="001372A1">
        <w:t xml:space="preserve"> pika 4 </w:t>
      </w:r>
      <w:r>
        <w:t>të</w:t>
      </w:r>
      <w:r w:rsidRPr="001372A1">
        <w:t xml:space="preserve"> Kushtetutës së Republikës së Shqipërisë, të nenit 7 pika 2 të ligjit nr. 8678, datë 14.5.2001 “Për organizimin dhe funksionimin e Ministrisë së Drejtë</w:t>
      </w:r>
      <w:r>
        <w:t>sisë”, të ndryshuar, të nenit 8</w:t>
      </w:r>
      <w:r w:rsidRPr="001372A1">
        <w:t xml:space="preserve"> pika 2 germa “</w:t>
      </w:r>
      <w:r>
        <w:t>gj” të ligjit nr. 8737, datë 12.</w:t>
      </w:r>
      <w:r w:rsidRPr="001372A1">
        <w:t>2.2001 “Për organizimin dhe funksionimin e Prokurorisë së Përgjithshme”, të ndryshuar, të nenit 7</w:t>
      </w:r>
      <w:r>
        <w:t xml:space="preserve"> paragrafi 2</w:t>
      </w:r>
      <w:r w:rsidRPr="001372A1">
        <w:t xml:space="preserve"> ger</w:t>
      </w:r>
      <w:r>
        <w:t xml:space="preserve">ma “c” të ligjit nr. 9749, datë </w:t>
      </w:r>
      <w:r w:rsidRPr="001372A1">
        <w:t>4.6.2007 “Për Policinë e Shtetit”, të ndryshuar, të nenit 6</w:t>
      </w:r>
      <w:r>
        <w:t>5 të ligjit nr. 8331, datë 21.</w:t>
      </w:r>
      <w:r w:rsidRPr="001372A1">
        <w:t>4.1998 “Për ek</w:t>
      </w:r>
      <w:r>
        <w:t>zekutimin e vendimeve penale”, të</w:t>
      </w:r>
      <w:r w:rsidRPr="001372A1">
        <w:t xml:space="preserve"> ndryshuar, të ligjit nr. 10</w:t>
      </w:r>
      <w:r>
        <w:t xml:space="preserve"> </w:t>
      </w:r>
      <w:r w:rsidRPr="001372A1">
        <w:t>494, datë 22.12.2011 “Për mbikëqyrjen elektronike të personave, të cilëve u kufizohet lëvizja me vendim gjyqësor”,</w:t>
      </w:r>
    </w:p>
    <w:p w:rsidR="0011522E" w:rsidRPr="006779FF" w:rsidRDefault="0011522E" w:rsidP="0011522E">
      <w:pPr>
        <w:pStyle w:val="Paragrafi"/>
        <w:rPr>
          <w:sz w:val="12"/>
        </w:rPr>
      </w:pPr>
    </w:p>
    <w:p w:rsidR="0011522E" w:rsidRPr="001372A1" w:rsidRDefault="0011522E" w:rsidP="0011522E">
      <w:pPr>
        <w:pStyle w:val="VENDOSI"/>
      </w:pPr>
      <w:r w:rsidRPr="001372A1">
        <w:t>UDHËZOJMË:</w:t>
      </w:r>
    </w:p>
    <w:p w:rsidR="0011522E" w:rsidRPr="006779FF" w:rsidRDefault="0011522E" w:rsidP="0011522E">
      <w:pPr>
        <w:pStyle w:val="Paragrafi"/>
        <w:rPr>
          <w:sz w:val="12"/>
        </w:rPr>
      </w:pPr>
    </w:p>
    <w:p w:rsidR="0011522E" w:rsidRPr="001372A1" w:rsidRDefault="0011522E" w:rsidP="0011522E">
      <w:pPr>
        <w:pStyle w:val="Paragrafi"/>
      </w:pPr>
      <w:r>
        <w:t xml:space="preserve">1. </w:t>
      </w:r>
      <w:r w:rsidRPr="001372A1">
        <w:t>Fillimin e realizimit të procesit të mbikëqyrjes elektronike ndaj subjekteve të parashikuara nga neni 4 i ligjit nr. 10</w:t>
      </w:r>
      <w:r>
        <w:t xml:space="preserve"> </w:t>
      </w:r>
      <w:r w:rsidRPr="001372A1">
        <w:t xml:space="preserve">494, datë 22.12.2011 “Për mbikëqyrjen elektronike të personave, të cilëve u kufizohet lëvizja me vendim gjyqësor”, gjykimi i të cilave është në kompetencë të Gjykatës së Rrethit Gjyqësor, Tiranë dhe Gjykatës së Apelit, Tiranë. </w:t>
      </w:r>
    </w:p>
    <w:p w:rsidR="0011522E" w:rsidRPr="001372A1" w:rsidRDefault="0011522E" w:rsidP="0011522E">
      <w:pPr>
        <w:pStyle w:val="Paragrafi"/>
      </w:pPr>
      <w:r>
        <w:t xml:space="preserve">2. </w:t>
      </w:r>
      <w:r w:rsidRPr="001372A1">
        <w:t>Përdorimi i mbikëqyrjes elektronike urdhërohet nga gjykata me vendim gjyqësor, pas informimit nga Shërbimi i Provës për mundësinë teknike të reali</w:t>
      </w:r>
      <w:r>
        <w:t>zimit të saj. Shërbimi i Provës</w:t>
      </w:r>
      <w:r w:rsidRPr="001372A1">
        <w:t xml:space="preserve"> raporton të dhënat e përditësuara për numrin e pajisjeve në dispozicion për përd</w:t>
      </w:r>
      <w:r>
        <w:t>orim, sipas pikës 3 të nenit 12</w:t>
      </w:r>
      <w:r w:rsidRPr="001372A1">
        <w:t xml:space="preserve"> të ligjit nr.</w:t>
      </w:r>
      <w:r>
        <w:t xml:space="preserve"> </w:t>
      </w:r>
      <w:r w:rsidRPr="001372A1">
        <w:t>10</w:t>
      </w:r>
      <w:r>
        <w:t xml:space="preserve"> </w:t>
      </w:r>
      <w:r w:rsidRPr="001372A1">
        <w:t>494, datë 22.12.2011 “Për mbikëqyrjen elektronike të personave, të cilëve u kufizoh</w:t>
      </w:r>
      <w:r>
        <w:t>et lëvizja me vendim gjyqësor”.</w:t>
      </w:r>
    </w:p>
    <w:p w:rsidR="0011522E" w:rsidRPr="001372A1" w:rsidRDefault="0011522E" w:rsidP="0011522E">
      <w:pPr>
        <w:pStyle w:val="Paragrafi"/>
      </w:pPr>
      <w:r>
        <w:t xml:space="preserve">3. </w:t>
      </w:r>
      <w:r w:rsidRPr="001372A1">
        <w:t>Gjatë zbatimit të projektit pilot ndaj subjekteve që gjykohen në Gjykatën e Shkallës së Parë, Tiranë dhe Gjykatën e Apelit, Tiranë, mbikëqyrja elektronike vendoset vetëm ndaj subjekteve të parashikuar</w:t>
      </w:r>
      <w:r>
        <w:t>a</w:t>
      </w:r>
      <w:r w:rsidRPr="001372A1">
        <w:t xml:space="preserve"> nga neni 4 i ligjit nr. 10</w:t>
      </w:r>
      <w:r>
        <w:t xml:space="preserve"> </w:t>
      </w:r>
      <w:r w:rsidRPr="001372A1">
        <w:t xml:space="preserve">494, datë 22.12.2011 “Për mbikëqyrjen elektronike të personave, të cilëve u kufizohet lëvizja me vendim gjyqësor”: </w:t>
      </w:r>
    </w:p>
    <w:p w:rsidR="0011522E" w:rsidRPr="001372A1" w:rsidRDefault="0011522E" w:rsidP="0011522E">
      <w:pPr>
        <w:pStyle w:val="Paragrafi"/>
      </w:pPr>
      <w:r w:rsidRPr="001372A1">
        <w:t xml:space="preserve">a) të cilët paraqesin rrezikshmëri të ulët shoqërore, ku përfshihen personat e mitur dhe personat që akuzohen për një vepër penale që dënohet në maksimum jo më shumë se 5 vjet; </w:t>
      </w:r>
    </w:p>
    <w:p w:rsidR="0011522E" w:rsidRPr="001372A1" w:rsidRDefault="0011522E" w:rsidP="0011522E">
      <w:pPr>
        <w:pStyle w:val="Paragrafi"/>
      </w:pPr>
      <w:r w:rsidRPr="001372A1">
        <w:t>b) ndaj të cilëve është lëshuar, me vendim gjyqësor, një urdhër mbrojtje</w:t>
      </w:r>
      <w:r>
        <w:t>je</w:t>
      </w:r>
      <w:r w:rsidRPr="001372A1">
        <w:t xml:space="preserve"> ose një urdhër i menjëhershëm mbrojtjeje, sipas neneve 17 dhe 19 të ligjit nr. 9669, datë 18.12.2006 “Për masat ndaj dhunës në marrëdhëniet familjare”, të ndryshuar.</w:t>
      </w:r>
    </w:p>
    <w:p w:rsidR="0011522E" w:rsidRPr="001372A1" w:rsidRDefault="0011522E" w:rsidP="0011522E">
      <w:pPr>
        <w:pStyle w:val="Paragrafi"/>
      </w:pPr>
      <w:r>
        <w:t xml:space="preserve">4. </w:t>
      </w:r>
      <w:r w:rsidRPr="001372A1">
        <w:t>Prokurori, në kuptim të nenit 6 të ligjit nr. 10</w:t>
      </w:r>
      <w:r>
        <w:t xml:space="preserve"> </w:t>
      </w:r>
      <w:r w:rsidRPr="001372A1">
        <w:t>494, datë 22.12.2011 “Për mbikëqyrjen elektronike të personave, të cilëve u kufizohet lëvizja me vendim gjyqësor”, mund të kërkojë përdorimin e mbikëqyrjes elektronike vetëm për kategorinë e subjekteve të parashikuar</w:t>
      </w:r>
      <w:r>
        <w:t xml:space="preserve">a </w:t>
      </w:r>
      <w:r w:rsidRPr="001372A1">
        <w:t xml:space="preserve"> në pikën 3.</w:t>
      </w:r>
    </w:p>
    <w:p w:rsidR="0011522E" w:rsidRPr="001372A1" w:rsidRDefault="0011522E" w:rsidP="0011522E">
      <w:pPr>
        <w:pStyle w:val="Paragrafi"/>
      </w:pPr>
      <w:r>
        <w:t xml:space="preserve">5. </w:t>
      </w:r>
      <w:r w:rsidRPr="001372A1">
        <w:t>Vendimi gjyqësor për vendosjen e mbikëqyrjes elektronike ekzekutohet vullnetarisht nga subjekti në mënyrën, kohën dhe vendin e caktuar nga gjykata. Vetëm në rastet e mosekzekutimit vullnetar, bëhet ekzekutimi i detyrueshëm, konform kërkesave të ligjit nr</w:t>
      </w:r>
      <w:r>
        <w:t>. 8331, datë 21.</w:t>
      </w:r>
      <w:r w:rsidRPr="001372A1">
        <w:t>4.1998 “Për ek</w:t>
      </w:r>
      <w:r>
        <w:t>zekutimin e vendimeve penale”, të</w:t>
      </w:r>
      <w:r w:rsidRPr="001372A1">
        <w:t xml:space="preserve"> ndryshuar.</w:t>
      </w:r>
    </w:p>
    <w:p w:rsidR="0011522E" w:rsidRPr="001372A1" w:rsidRDefault="0011522E" w:rsidP="0011522E">
      <w:pPr>
        <w:pStyle w:val="Paragrafi"/>
      </w:pPr>
      <w:r>
        <w:t xml:space="preserve">6. </w:t>
      </w:r>
      <w:r w:rsidRPr="001372A1">
        <w:t>Vendimi gjyqësor për vendosjen e mbikëqyrjes elektronike i dërgohet menjëherë prokurorit, Shërbimit të Provës dhe Policisë së Shtetit. Në çdo rast, Shërbimi i Provës, menjëherë sapo njihet me vendimin gjyqësor, merr kontakte me Policinë e Shtetit, duke kërkuar bashkëpunimin për vëzhgimin e subjektit ndaj të cilit është vendosur realizimi i mbikëqyrjes elektronike, si dhe në rast se paraqitet nevoja</w:t>
      </w:r>
      <w:r>
        <w:t>, ndihmë</w:t>
      </w:r>
      <w:r w:rsidRPr="001372A1">
        <w:t>n e tyre për ekzekutimin e vendimit. Shërbimi i Provës i njofton menjëherë Drejtorisë së Policisë së Qarkut të dhënat mbi identitetin e subjektit, si dhe personit</w:t>
      </w:r>
      <w:r>
        <w:t>,</w:t>
      </w:r>
      <w:r w:rsidRPr="001372A1">
        <w:t xml:space="preserve"> i cili ka dhënë pëlqimin për t’u caktuar si person i afërt. </w:t>
      </w:r>
    </w:p>
    <w:p w:rsidR="0011522E" w:rsidRPr="001372A1" w:rsidRDefault="0011522E" w:rsidP="0011522E">
      <w:pPr>
        <w:pStyle w:val="Paragrafi"/>
      </w:pPr>
      <w:r>
        <w:t xml:space="preserve">7. </w:t>
      </w:r>
      <w:r w:rsidRPr="001372A1">
        <w:t xml:space="preserve">Urdhri i ekzekutimit të vendimit gjyqësor, i nxjerrë nga prokurori apo gjykata, i cili përmban vendin dhe kohën për vendosjen dhe heqjen e pajisjes, i njoftohet subjektit dhe Shërbimit të Provës. Subjekti është i detyruar të paraqitet në vendin dhe kohën e përcaktuar për vendosjen e pajisjes. </w:t>
      </w:r>
    </w:p>
    <w:p w:rsidR="0011522E" w:rsidRPr="001372A1" w:rsidRDefault="0011522E" w:rsidP="0011522E">
      <w:pPr>
        <w:pStyle w:val="Paragrafi"/>
      </w:pPr>
      <w:r>
        <w:t xml:space="preserve">8. </w:t>
      </w:r>
      <w:r w:rsidRPr="001372A1">
        <w:t xml:space="preserve">Nëse personi nuk paraqitet në vendin dhe kohën e përcaktuar, Shërbimi i Provës njofton menjëherë Policinë e Shtetit dhe Prokurorin. </w:t>
      </w:r>
    </w:p>
    <w:p w:rsidR="0011522E" w:rsidRPr="001372A1" w:rsidRDefault="0011522E" w:rsidP="0011522E">
      <w:pPr>
        <w:pStyle w:val="Paragrafi"/>
      </w:pPr>
      <w:r w:rsidRPr="001372A1">
        <w:t>Për subjektet e parashikuar</w:t>
      </w:r>
      <w:r>
        <w:t>a në shkronjat</w:t>
      </w:r>
      <w:r w:rsidRPr="001372A1">
        <w:t xml:space="preserve"> “a” dhe “b” të nenit 4 të ligjit nr. 10</w:t>
      </w:r>
      <w:r>
        <w:t xml:space="preserve"> </w:t>
      </w:r>
      <w:r w:rsidRPr="001372A1">
        <w:t>494, datë 22.12.2011 “Për mbikëqyrjen elektronike të personave, të cilëve u kufizohet lëvizja me vendim gjyqësor”, në rast mosparaqitjeje ose shmangie nga ekzekutimi, prokurori paraqet menjëherë kërkesë për ndryshimin e masës shtrënguese ose llojit të dënimit, sipas rregullave të parashikuara në Kodin e Procedurës Penale.</w:t>
      </w:r>
    </w:p>
    <w:p w:rsidR="0011522E" w:rsidRPr="001372A1" w:rsidRDefault="0011522E" w:rsidP="0011522E">
      <w:pPr>
        <w:pStyle w:val="Paragrafi"/>
      </w:pPr>
      <w:r w:rsidRPr="001372A1">
        <w:t>Për subj</w:t>
      </w:r>
      <w:r>
        <w:t>ektet e parashikuara në shkronjat</w:t>
      </w:r>
      <w:r w:rsidRPr="001372A1">
        <w:t xml:space="preserve"> “c” dhe “ç” të nenit 4 të ligjit nr. 10</w:t>
      </w:r>
      <w:r>
        <w:t xml:space="preserve"> </w:t>
      </w:r>
      <w:r w:rsidRPr="001372A1">
        <w:t>494, datë 22.12.2011 “Për mbikëqyrjen elektronike të personave, të cilëve u kufizohet lëvizja me vendim gjyqësor”, Policia e Shtetit vepron forcërisht</w:t>
      </w:r>
      <w:r>
        <w:t>,</w:t>
      </w:r>
      <w:r w:rsidRPr="001372A1">
        <w:t xml:space="preserve"> duke vënë subjektin në dispozicion të Shërbimit të Provës, me qëllim vendosjen e pajisjes.</w:t>
      </w:r>
    </w:p>
    <w:p w:rsidR="0011522E" w:rsidRPr="001372A1" w:rsidRDefault="0011522E" w:rsidP="0011522E">
      <w:pPr>
        <w:pStyle w:val="Paragrafi"/>
      </w:pPr>
      <w:r>
        <w:t xml:space="preserve">9. </w:t>
      </w:r>
      <w:r w:rsidRPr="001372A1">
        <w:t xml:space="preserve">Pajisja vendoset dhe hiqet vetëm nga personat e autorizuar nga Drejtori i Përgjithshëm i Shërbimit të Provës. </w:t>
      </w:r>
    </w:p>
    <w:p w:rsidR="0011522E" w:rsidRPr="001372A1" w:rsidRDefault="0011522E" w:rsidP="0011522E">
      <w:pPr>
        <w:pStyle w:val="Paragrafi"/>
      </w:pPr>
      <w:r>
        <w:t>10.</w:t>
      </w:r>
      <w:r w:rsidRPr="001372A1">
        <w:t xml:space="preserve"> Shërbimi i Provës, menjëherë pas vendosjes së pajisjes, pasi verifikon rregullshmërinë e saj, njofton:</w:t>
      </w:r>
    </w:p>
    <w:p w:rsidR="0011522E" w:rsidRPr="001372A1" w:rsidRDefault="0011522E" w:rsidP="0011522E">
      <w:pPr>
        <w:pStyle w:val="Paragrafi"/>
      </w:pPr>
      <w:r>
        <w:t xml:space="preserve">a) </w:t>
      </w:r>
      <w:r w:rsidRPr="001372A1">
        <w:t>Prokurorin për fillimin e ekzekutimit të vendimit;</w:t>
      </w:r>
    </w:p>
    <w:p w:rsidR="0011522E" w:rsidRPr="001372A1" w:rsidRDefault="0011522E" w:rsidP="0011522E">
      <w:pPr>
        <w:pStyle w:val="Paragrafi"/>
      </w:pPr>
      <w:r>
        <w:t xml:space="preserve">b) </w:t>
      </w:r>
      <w:r w:rsidRPr="001372A1">
        <w:t>Policinë e Shtetit për fillimin e ekzekutimit të vendimit, zonën e lejuar dhe të ndaluar të lëvizjes së personit, si dhe kohën e përdorimit të ME-së, nëse gjykata urdhëron përdorimin e saj, sipas një afati të caktuar.</w:t>
      </w:r>
    </w:p>
    <w:p w:rsidR="0011522E" w:rsidRPr="001372A1" w:rsidRDefault="0011522E" w:rsidP="0011522E">
      <w:pPr>
        <w:pStyle w:val="Paragrafi"/>
      </w:pPr>
      <w:r>
        <w:t>11.</w:t>
      </w:r>
      <w:r w:rsidRPr="001372A1">
        <w:t xml:space="preserve"> Prokurori mbikëqyr procedurën e vendosjes dhe </w:t>
      </w:r>
      <w:r>
        <w:t xml:space="preserve">të </w:t>
      </w:r>
      <w:r w:rsidRPr="001372A1">
        <w:t>heqjes së pajisjes, rregullshmërinë e funksionimit të saj, si dhe kërkon informacione mbi ekzekutimin e vendimit gjyqësor. Shërbimi i Provës informon prokurorin mbi ecurinë e mbikëqyrjes elektronike sa herë që kërkohet prej tij.</w:t>
      </w:r>
    </w:p>
    <w:p w:rsidR="0011522E" w:rsidRPr="001372A1" w:rsidRDefault="0011522E" w:rsidP="0011522E">
      <w:pPr>
        <w:pStyle w:val="Paragrafi"/>
      </w:pPr>
      <w:r>
        <w:t xml:space="preserve">12. </w:t>
      </w:r>
      <w:r w:rsidRPr="001372A1">
        <w:t>Shërbimi i Provës merr të gjitha masat për ekzekutimin e vendimit dhe bashkëpunon, sipas rastit, me autoritetet e pushtetit vendor, shërbimet sociale, organet vendore të policisë, si dhe subjekte të tjera, private dhe shtetërore. Shërbimi i Provës siguron informacionin dhe asistencën e nevojshme për subjektin nga institucionet shëndetësore, institucionet e ndihmës sociale, si dhe organizatat joqeveritare që bashkëpunojnë me të.</w:t>
      </w:r>
    </w:p>
    <w:p w:rsidR="0011522E" w:rsidRPr="001372A1" w:rsidRDefault="0011522E" w:rsidP="0011522E">
      <w:pPr>
        <w:pStyle w:val="Paragrafi"/>
      </w:pPr>
      <w:r>
        <w:t>13.</w:t>
      </w:r>
      <w:r w:rsidRPr="001372A1">
        <w:t xml:space="preserve"> Kur subjekti nuk është në gjendje të përmbushë detyrimet e vendosura nga gjykata, për shkak të ndryshimit të rrethanave, Shërbimi i Provës njofton menjëherë prokurorin. Shërbimi i Provës mund t’i propozojë prokurorit ndryshimin, sipas ligjit, të kushteve dhe detyrimeve të subjektit, pasi verifikon faktet dhe rrethanat e mospërmbushjes së tyre.  </w:t>
      </w:r>
    </w:p>
    <w:p w:rsidR="0011522E" w:rsidRPr="001372A1" w:rsidRDefault="0011522E" w:rsidP="0011522E">
      <w:pPr>
        <w:pStyle w:val="Paragrafi"/>
      </w:pPr>
      <w:r>
        <w:t xml:space="preserve">14. </w:t>
      </w:r>
      <w:r w:rsidRPr="001372A1">
        <w:t xml:space="preserve"> Në ekzekutimin e vendimit, Shërbimi i Provës mbikëqyr përmbushjen e detyrimeve dhe të kushteve të përcaktuara në vendimin e gjykatës, asiston dhe këshillon subjektin në përmbushjen e këtyre detyrimeve dhe jep ndihmë në riintegrimin social të tij. Shërbimi i Provës mban kontakte të vazhdueshme telefonike, sipas metodologjisë së miratuar nga Drejtori i Përgjithshëm i Shërbimit të Provës, me subjektet nën mbikëqyrje elektronike, duke i kujtuar atij detyrimet ligjore për respketimin e kushteve të mbikëqyrjes elektronike, si dhe duke e inkurajuar dhe përgëzuar atë për zbatimin e këtyre kushteve.</w:t>
      </w:r>
    </w:p>
    <w:p w:rsidR="0011522E" w:rsidRPr="001372A1" w:rsidRDefault="0011522E" w:rsidP="0011522E">
      <w:pPr>
        <w:pStyle w:val="Paragrafi"/>
      </w:pPr>
      <w:r>
        <w:t>15.</w:t>
      </w:r>
      <w:r w:rsidRPr="001372A1">
        <w:t xml:space="preserve"> Me kërkesë të gjykatës ose të prokurorit, Shërbimi i Provës përgatit një raport për zbatimin e vendimit të gjykatës dhe ecurinë e procesit të mbikëqyrjes elektronike. </w:t>
      </w:r>
    </w:p>
    <w:p w:rsidR="0011522E" w:rsidRPr="001372A1" w:rsidRDefault="0011522E" w:rsidP="0011522E">
      <w:pPr>
        <w:pStyle w:val="Paragrafi"/>
      </w:pPr>
      <w:r>
        <w:t xml:space="preserve">16. </w:t>
      </w:r>
      <w:r w:rsidRPr="001372A1">
        <w:t xml:space="preserve"> Kur subjekti nuk përmbush kushtet dhe detyrimet e përcaktuara nga gjykata, Shërbimi i Provës paraqet raport para prokurorit, i cili përmban informacion për rrethanat e shkeljes, shpjegimet e dhëna nga subjekti, vlerësimin e punonjësit të Shërbimit të Provës dhe propozimin, së bashku me arsyet përkatëse, për të ndryshuar masën e vendosur, për të caktuar detyrime shtesë, për të zgjatur afatin e mbikëqyrjes apo për të ndryshuar kushtet e detyrimet për ekzekutimin e vendimit.</w:t>
      </w:r>
    </w:p>
    <w:p w:rsidR="0011522E" w:rsidRPr="001372A1" w:rsidRDefault="0011522E" w:rsidP="0011522E">
      <w:pPr>
        <w:pStyle w:val="Paragrafi"/>
      </w:pPr>
      <w:r>
        <w:t>17. Drejtoria e Policisë së Qarkut</w:t>
      </w:r>
      <w:r w:rsidRPr="001372A1">
        <w:t xml:space="preserve"> merr të gjitha masat e nevojshme për të bashkëpunuar me Shërbimin e Provës për realizimin e mbikëqyrjes elektronike. Në rast të njoftimit nga Shërbimi i Provës për shkelje të kushteve nga subjekti, Drejtoria e Policisë së Qarkut merr masat e menjëhershme për gjetjen e personit, sipas vendndodhjes së njoftuar nga punonjësit e Sallës Operative të Mbikëqyrjes Elektronike.</w:t>
      </w:r>
    </w:p>
    <w:p w:rsidR="0011522E" w:rsidRPr="001372A1" w:rsidRDefault="0011522E" w:rsidP="0011522E">
      <w:pPr>
        <w:pStyle w:val="Paragrafi"/>
      </w:pPr>
      <w:r>
        <w:t>18. Drejtoria e Policisë së Qarkut</w:t>
      </w:r>
      <w:r w:rsidRPr="001372A1">
        <w:t xml:space="preserve"> angazhohet duke vënë në dispozicion të punonjësve përgjegjës</w:t>
      </w:r>
      <w:r>
        <w:t>,</w:t>
      </w:r>
      <w:r w:rsidRPr="001372A1">
        <w:t xml:space="preserve"> për realizimin e  mbikëqyrjes elektronike, numrat e tyre të kontaktit, të cilët duhet të jenë të dispo</w:t>
      </w:r>
      <w:r>
        <w:t>nueshëm në çdo kohë, duke mos ce</w:t>
      </w:r>
      <w:r w:rsidRPr="001372A1">
        <w:t>nuar procesin e mbikëqyrjes elektronike.</w:t>
      </w:r>
    </w:p>
    <w:p w:rsidR="0011522E" w:rsidRPr="001372A1" w:rsidRDefault="0011522E" w:rsidP="0011522E">
      <w:pPr>
        <w:pStyle w:val="Paragrafi"/>
      </w:pPr>
      <w:r>
        <w:t xml:space="preserve">19. </w:t>
      </w:r>
      <w:r w:rsidRPr="001372A1">
        <w:t>Prokurori është i detyruar të marrë të gjitha masat për ekzekutimin e vendimit në përputhje me vendimin e gjykatës dhe kërkesat e ligjit, të kontrollojë rregullsinë e ekzekutimit, të ndërhyjë në organet kompetente ose të paraqesë kërkesë në gjykatë për rivendosjen e ligjit e të së drejtës së shkelur. Prokurori i çështjes</w:t>
      </w:r>
      <w:r>
        <w:t>,</w:t>
      </w:r>
      <w:r w:rsidRPr="001372A1">
        <w:t xml:space="preserve"> pas marrjes së njoftimit nga Drejtoria e Shërbimit të Provës</w:t>
      </w:r>
      <w:r>
        <w:t>,</w:t>
      </w:r>
      <w:r w:rsidRPr="001372A1">
        <w:t xml:space="preserve"> lidhur me shkeljen e ndonjë prej kushteve/detyrimeve të dhëna në vendimin gjyqësor</w:t>
      </w:r>
      <w:r>
        <w:t>,</w:t>
      </w:r>
      <w:r w:rsidRPr="001372A1">
        <w:t xml:space="preserve"> merr masa për verifikimin e fakteve dhe rrethanave, ndërhyn ose paraqet kërkesën në gjykatën kompetente. </w:t>
      </w:r>
    </w:p>
    <w:p w:rsidR="0011522E" w:rsidRPr="001372A1" w:rsidRDefault="0011522E" w:rsidP="0011522E">
      <w:pPr>
        <w:pStyle w:val="Paragrafi"/>
      </w:pPr>
      <w:r>
        <w:t xml:space="preserve">20. </w:t>
      </w:r>
      <w:r w:rsidRPr="001372A1">
        <w:t>Punonjësit e Shërbimit të Provës dhe</w:t>
      </w:r>
      <w:r>
        <w:t xml:space="preserve"> të </w:t>
      </w:r>
      <w:r w:rsidRPr="001372A1">
        <w:t>Policisë së Shtetit janë të detyruar të ushtrojnë me korrektësi kompetencat, duke respektuar të drejtat, nderin dhe dinjitetin e personit. Ato mbajnë përgjegjësi disiplinore dhe, kur është rasti, edhe penale, për mosvënien, zvarritjen e ekzekutimit të vendimit në kundërshtim me ligjin apo të drejtat e personit, si dhe për shkeljen e detyrimeve që burojnë nga legjislacioni në fuqi për mbikëqyrjen elektronike të personave, të cilëve u kufizohet lëvizja me vendim gjyqësor.</w:t>
      </w:r>
    </w:p>
    <w:p w:rsidR="0011522E" w:rsidRPr="001372A1" w:rsidRDefault="0011522E" w:rsidP="0011522E">
      <w:pPr>
        <w:pStyle w:val="Paragrafi"/>
      </w:pPr>
      <w:r>
        <w:t>21.</w:t>
      </w:r>
      <w:r w:rsidRPr="001372A1">
        <w:t xml:space="preserve"> Drejtoria e Përgjithshme e Shërbimit të Provës, Prokuroria dhe Drejtoria e Përgjithshme e Policisë së Shtetit, brenda 5 ditëve nga hyrja në fuqi e këtij udhëzimi, i njoftojnë njëra-tjetrës dhe shkëmbejnë të dhënat e kontaktit për  punonjësit përgjegjës për një komunikim të drejtpërdrejtë lidhur me procesin e mbikëqyrjes elektronike, në rastet kur paraqitet nevoja dhe urgjenca.</w:t>
      </w:r>
    </w:p>
    <w:p w:rsidR="0011522E" w:rsidRPr="001372A1" w:rsidRDefault="0011522E" w:rsidP="0011522E">
      <w:pPr>
        <w:pStyle w:val="Paragrafi"/>
      </w:pPr>
      <w:r>
        <w:t>22.</w:t>
      </w:r>
      <w:r w:rsidRPr="001372A1">
        <w:t xml:space="preserve"> Për zbat</w:t>
      </w:r>
      <w:r>
        <w:t>imin e këtij udhëzimi ngarkohen</w:t>
      </w:r>
      <w:r w:rsidRPr="001372A1">
        <w:t xml:space="preserve"> Drejtoria e Përgjithshme e Shërbimit të Provës, Drejtoria e Përgjithshme e Policisë së Shtetit dhe prokurorët pranë Gjykatës së Rrethit Gjyqësor, Tiranë dhe Gjykatës së Apelit, Tiranë.</w:t>
      </w:r>
    </w:p>
    <w:p w:rsidR="0011522E" w:rsidRPr="001372A1" w:rsidRDefault="0011522E" w:rsidP="0011522E">
      <w:pPr>
        <w:pStyle w:val="Paragrafi"/>
      </w:pPr>
      <w:r w:rsidRPr="001372A1">
        <w:t>Ky udhëzim hyn në fuqi pas botimit në Fletoren Zyrtare.</w:t>
      </w:r>
    </w:p>
    <w:p w:rsidR="0011522E" w:rsidRPr="001372A1" w:rsidRDefault="0011522E" w:rsidP="0011522E">
      <w:pPr>
        <w:pStyle w:val="Paragrafi"/>
      </w:pPr>
    </w:p>
    <w:p w:rsidR="0011522E" w:rsidRPr="001372A1" w:rsidRDefault="0011522E" w:rsidP="0011522E">
      <w:pPr>
        <w:pStyle w:val="Paragrafi"/>
        <w:jc w:val="center"/>
      </w:pPr>
      <w:r w:rsidRPr="001372A1">
        <w:t>MINISTRI I DREJTËSISË</w:t>
      </w:r>
      <w:r w:rsidRPr="001372A1">
        <w:tab/>
      </w:r>
      <w:r w:rsidRPr="001372A1">
        <w:tab/>
      </w:r>
      <w:r w:rsidRPr="001372A1">
        <w:tab/>
      </w:r>
      <w:r w:rsidRPr="001372A1">
        <w:tab/>
        <w:t>MINISTRI I BRENDSHËM</w:t>
      </w:r>
    </w:p>
    <w:p w:rsidR="0011522E" w:rsidRPr="00E053B2" w:rsidRDefault="0011522E" w:rsidP="0011522E">
      <w:pPr>
        <w:pStyle w:val="Paragrafi"/>
        <w:jc w:val="center"/>
        <w:rPr>
          <w:b/>
        </w:rPr>
      </w:pPr>
      <w:r w:rsidRPr="00E053B2">
        <w:rPr>
          <w:b/>
        </w:rPr>
        <w:t>Eduard Halimi</w:t>
      </w:r>
      <w:r w:rsidRPr="00E053B2">
        <w:rPr>
          <w:b/>
        </w:rPr>
        <w:tab/>
      </w:r>
      <w:r w:rsidRPr="00E053B2">
        <w:rPr>
          <w:b/>
        </w:rPr>
        <w:tab/>
      </w:r>
      <w:r w:rsidRPr="00E053B2">
        <w:rPr>
          <w:b/>
        </w:rPr>
        <w:tab/>
      </w:r>
      <w:r w:rsidRPr="00E053B2">
        <w:rPr>
          <w:b/>
        </w:rPr>
        <w:tab/>
      </w:r>
      <w:r w:rsidRPr="00E053B2">
        <w:rPr>
          <w:b/>
        </w:rPr>
        <w:tab/>
      </w:r>
      <w:r w:rsidRPr="00E053B2">
        <w:rPr>
          <w:b/>
        </w:rPr>
        <w:tab/>
      </w:r>
      <w:r w:rsidRPr="00E053B2">
        <w:rPr>
          <w:b/>
        </w:rPr>
        <w:tab/>
        <w:t>Flamur Noka</w:t>
      </w:r>
    </w:p>
    <w:p w:rsidR="0011522E" w:rsidRDefault="0011522E" w:rsidP="0011522E">
      <w:pPr>
        <w:pStyle w:val="Paragrafi"/>
        <w:rPr>
          <w:lang w:val="sq-AL"/>
        </w:rPr>
      </w:pPr>
    </w:p>
    <w:p w:rsidR="0011522E" w:rsidRDefault="0011522E" w:rsidP="0011522E">
      <w:pPr>
        <w:pStyle w:val="Paragrafi"/>
        <w:jc w:val="center"/>
        <w:rPr>
          <w:lang w:val="sq-AL"/>
        </w:rPr>
      </w:pPr>
      <w:r>
        <w:rPr>
          <w:lang w:val="sq-AL"/>
        </w:rPr>
        <w:t>PROKURORI I PËRGJITHSHËM</w:t>
      </w:r>
    </w:p>
    <w:p w:rsidR="0011522E" w:rsidRPr="00E053B2" w:rsidRDefault="0011522E" w:rsidP="0011522E">
      <w:pPr>
        <w:pStyle w:val="Paragrafi"/>
        <w:jc w:val="center"/>
        <w:rPr>
          <w:b/>
          <w:lang w:val="sq-AL"/>
        </w:rPr>
      </w:pPr>
      <w:r w:rsidRPr="00E053B2">
        <w:rPr>
          <w:b/>
          <w:lang w:val="sq-AL"/>
        </w:rPr>
        <w:t>Adriatik Llalla</w:t>
      </w:r>
    </w:p>
    <w:sectPr w:rsidR="0011522E" w:rsidRPr="00E053B2" w:rsidSect="00CA63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522E"/>
    <w:rsid w:val="0011522E"/>
    <w:rsid w:val="00C03A64"/>
    <w:rsid w:val="00CA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3E1255-72BD-4E38-87C4-DCD76BC17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3D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1522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1522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1522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1522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1522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1522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1522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1522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1522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1522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1530</Words>
  <Characters>8726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2019-03-18T13:13:00Z</dcterms:created>
  <dcterms:modified xsi:type="dcterms:W3CDTF">2019-03-18T13:13:00Z</dcterms:modified>
</cp:coreProperties>
</file>