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8F8" w:rsidRDefault="00FD58F8" w:rsidP="00FD58F8">
      <w:pPr>
        <w:pStyle w:val="NeniTitull"/>
        <w:rPr>
          <w:lang w:val="sq-AL"/>
        </w:rPr>
      </w:pPr>
      <w:r>
        <w:rPr>
          <w:lang w:val="sq-AL"/>
        </w:rPr>
        <w:t>UDHËZIM</w:t>
      </w:r>
    </w:p>
    <w:p w:rsidR="00FD58F8" w:rsidRDefault="00FD58F8" w:rsidP="00FD58F8">
      <w:pPr>
        <w:pStyle w:val="NeniTitull"/>
        <w:rPr>
          <w:lang w:val="sq-AL"/>
        </w:rPr>
      </w:pPr>
      <w:r>
        <w:rPr>
          <w:lang w:val="sq-AL"/>
        </w:rPr>
        <w:t>Nr. 10619, datë 19.10.2018</w:t>
      </w:r>
    </w:p>
    <w:p w:rsidR="00FD58F8" w:rsidRDefault="00FD58F8" w:rsidP="00FD58F8">
      <w:pPr>
        <w:pStyle w:val="Paragrafi"/>
        <w:rPr>
          <w:b/>
          <w:sz w:val="16"/>
          <w:lang w:val="sq-AL"/>
        </w:rPr>
      </w:pPr>
    </w:p>
    <w:p w:rsidR="00FD58F8" w:rsidRDefault="00FD58F8" w:rsidP="00FD58F8">
      <w:pPr>
        <w:pStyle w:val="NeniTitull"/>
        <w:rPr>
          <w:lang w:val="sq-AL"/>
        </w:rPr>
      </w:pPr>
      <w:r>
        <w:rPr>
          <w:lang w:val="sq-AL"/>
        </w:rPr>
        <w:t>PËR KRIJIMIN, ADMINISTRIMIN DHE VËNIEN NË DISPOZICION PËR PUBLIKUN TË REGJISTRIT ELEKTRONIK PËR EKSPERTËT</w:t>
      </w:r>
    </w:p>
    <w:p w:rsidR="00FD58F8" w:rsidRDefault="00FD58F8" w:rsidP="00FD58F8">
      <w:pPr>
        <w:pStyle w:val="Paragrafi"/>
        <w:rPr>
          <w:sz w:val="16"/>
          <w:lang w:val="sq-AL"/>
        </w:rPr>
      </w:pPr>
    </w:p>
    <w:p w:rsidR="00FD58F8" w:rsidRDefault="00FD58F8" w:rsidP="00FD58F8">
      <w:pPr>
        <w:pStyle w:val="Paragrafi"/>
        <w:rPr>
          <w:color w:val="FF0000"/>
          <w:spacing w:val="-4"/>
          <w:lang w:val="sq-AL"/>
        </w:rPr>
      </w:pPr>
      <w:r>
        <w:rPr>
          <w:lang w:val="sq-AL"/>
        </w:rPr>
        <w:t xml:space="preserve">Në mbështetje të nenit 102, pika 4, të </w:t>
      </w:r>
      <w:r>
        <w:rPr>
          <w:spacing w:val="-4"/>
          <w:lang w:val="sq-AL"/>
        </w:rPr>
        <w:t xml:space="preserve">Kushtetutës, të neneve 224/a, paragrafi i dytë dhe 224/d, pika 1, të Kodit të Procedurës Civile, dhe të nenit 7, pika 2, të ligjit nr. 8678, datë 14.5.2001, “Për organizimin dhe funksionimin e Ministrisë së Drejtësisë”, të ndryshuar, </w:t>
      </w:r>
    </w:p>
    <w:p w:rsidR="00FD58F8" w:rsidRDefault="00FD58F8" w:rsidP="00FD58F8">
      <w:pPr>
        <w:pStyle w:val="Paragrafi"/>
        <w:rPr>
          <w:color w:val="000000"/>
          <w:spacing w:val="-4"/>
          <w:sz w:val="16"/>
          <w:lang w:val="sq-AL"/>
        </w:rPr>
      </w:pPr>
    </w:p>
    <w:p w:rsidR="00FD58F8" w:rsidRDefault="00FD58F8" w:rsidP="00FD58F8">
      <w:pPr>
        <w:pStyle w:val="NeniNr"/>
        <w:rPr>
          <w:spacing w:val="-4"/>
          <w:lang w:val="sq-AL"/>
        </w:rPr>
      </w:pPr>
      <w:r>
        <w:rPr>
          <w:spacing w:val="-4"/>
          <w:lang w:val="sq-AL"/>
        </w:rPr>
        <w:t>UDHËZOJ:</w:t>
      </w:r>
    </w:p>
    <w:p w:rsidR="00FD58F8" w:rsidRDefault="00FD58F8" w:rsidP="00FD58F8">
      <w:pPr>
        <w:pStyle w:val="Paragrafi"/>
        <w:rPr>
          <w:spacing w:val="-4"/>
          <w:sz w:val="16"/>
          <w:lang w:val="sq-AL"/>
        </w:rPr>
      </w:pPr>
    </w:p>
    <w:p w:rsidR="00FD58F8" w:rsidRDefault="00FD58F8" w:rsidP="00FD58F8">
      <w:pPr>
        <w:pStyle w:val="Paragrafi"/>
        <w:rPr>
          <w:b/>
          <w:spacing w:val="-4"/>
          <w:lang w:val="sq-AL"/>
        </w:rPr>
      </w:pPr>
      <w:r>
        <w:rPr>
          <w:b/>
          <w:spacing w:val="-4"/>
          <w:lang w:val="sq-AL"/>
        </w:rPr>
        <w:t>I. Rregulla të përgjithshme</w:t>
      </w:r>
    </w:p>
    <w:p w:rsidR="00FD58F8" w:rsidRDefault="00FD58F8" w:rsidP="00FD58F8">
      <w:pPr>
        <w:pStyle w:val="Paragrafi"/>
        <w:rPr>
          <w:spacing w:val="-4"/>
          <w:lang w:val="sq-AL"/>
        </w:rPr>
      </w:pPr>
      <w:r>
        <w:rPr>
          <w:spacing w:val="-4"/>
          <w:lang w:val="sq-AL"/>
        </w:rPr>
        <w:t>1. Pranë Ministrisë së Drejtësisë krijohet, administrohet dhe publikohet Regjistri Elektronik për Ekspertët.</w:t>
      </w:r>
    </w:p>
    <w:p w:rsidR="00FD58F8" w:rsidRDefault="00FD58F8" w:rsidP="00FD58F8">
      <w:pPr>
        <w:pStyle w:val="Paragrafi"/>
        <w:rPr>
          <w:spacing w:val="-4"/>
          <w:lang w:val="sq-AL"/>
        </w:rPr>
      </w:pPr>
      <w:r>
        <w:rPr>
          <w:spacing w:val="-4"/>
          <w:lang w:val="sq-AL"/>
        </w:rPr>
        <w:t>2. Regjistri Elektronik i Ekspertëve mbahet në format elektronik dhe ndahet në seksione, duke i grupuar ekspertët sipas fushës të tyre të ekspertizës dhe vendit ku ata punojnë referuar  juridiksionit territorial të rretheve gjyqësore.</w:t>
      </w:r>
    </w:p>
    <w:p w:rsidR="00FD58F8" w:rsidRDefault="00FD58F8" w:rsidP="00FD58F8">
      <w:pPr>
        <w:pStyle w:val="Paragrafi"/>
        <w:rPr>
          <w:rFonts w:eastAsia="Times New Roman"/>
          <w:spacing w:val="-4"/>
          <w:lang w:val="sq-AL"/>
        </w:rPr>
      </w:pPr>
      <w:r>
        <w:rPr>
          <w:spacing w:val="-4"/>
          <w:lang w:val="sq-AL"/>
        </w:rPr>
        <w:t>3.</w:t>
      </w:r>
      <w:r>
        <w:rPr>
          <w:rFonts w:eastAsia="Times New Roman"/>
          <w:spacing w:val="-4"/>
          <w:lang w:val="sq-AL"/>
        </w:rPr>
        <w:t xml:space="preserve"> </w:t>
      </w:r>
      <w:r>
        <w:rPr>
          <w:spacing w:val="-4"/>
          <w:lang w:val="sq-AL"/>
        </w:rPr>
        <w:t>Regjistri Elektronik i Ekspertëve përmban të dhëna, mbi</w:t>
      </w:r>
      <w:r>
        <w:rPr>
          <w:rFonts w:eastAsia="Times New Roman"/>
          <w:spacing w:val="-4"/>
          <w:lang w:val="sq-AL"/>
        </w:rPr>
        <w:t>:</w:t>
      </w:r>
    </w:p>
    <w:p w:rsidR="00FD58F8" w:rsidRDefault="00FD58F8" w:rsidP="00FD58F8">
      <w:pPr>
        <w:pStyle w:val="Paragrafi"/>
        <w:rPr>
          <w:rFonts w:eastAsia="Times New Roman"/>
          <w:spacing w:val="-4"/>
          <w:lang w:val="sq-AL"/>
        </w:rPr>
      </w:pPr>
      <w:r>
        <w:rPr>
          <w:rFonts w:eastAsia="Times New Roman"/>
          <w:spacing w:val="-4"/>
          <w:lang w:val="sq-AL"/>
        </w:rPr>
        <w:t>i. numrin rendor;</w:t>
      </w:r>
    </w:p>
    <w:p w:rsidR="00FD58F8" w:rsidRDefault="00FD58F8" w:rsidP="00FD58F8">
      <w:pPr>
        <w:pStyle w:val="Paragrafi"/>
        <w:rPr>
          <w:rFonts w:eastAsia="Times New Roman"/>
          <w:spacing w:val="-4"/>
          <w:lang w:val="sq-AL"/>
        </w:rPr>
      </w:pPr>
      <w:r>
        <w:rPr>
          <w:rFonts w:eastAsia="Times New Roman"/>
          <w:spacing w:val="-4"/>
          <w:lang w:val="sq-AL"/>
        </w:rPr>
        <w:t>ii. numrin e protokollit dhe datën e regjistrimit;</w:t>
      </w:r>
    </w:p>
    <w:p w:rsidR="00FD58F8" w:rsidRDefault="00FD58F8" w:rsidP="00FD58F8">
      <w:pPr>
        <w:pStyle w:val="Paragrafi"/>
        <w:rPr>
          <w:rFonts w:eastAsia="Times New Roman"/>
          <w:lang w:val="sq-AL"/>
        </w:rPr>
      </w:pPr>
      <w:r>
        <w:rPr>
          <w:rFonts w:eastAsia="Times New Roman"/>
          <w:spacing w:val="-4"/>
          <w:lang w:val="sq-AL"/>
        </w:rPr>
        <w:t>iii. gjeneralitetet e ekspertit: emri, atësia, mbiemri</w:t>
      </w:r>
      <w:r>
        <w:rPr>
          <w:rFonts w:eastAsia="Times New Roman"/>
          <w:lang w:val="sq-AL"/>
        </w:rPr>
        <w:t>;</w:t>
      </w:r>
    </w:p>
    <w:p w:rsidR="00FD58F8" w:rsidRDefault="00FD58F8" w:rsidP="00FD58F8">
      <w:pPr>
        <w:pStyle w:val="Paragrafi"/>
        <w:rPr>
          <w:rFonts w:eastAsia="Times New Roman"/>
          <w:lang w:val="sq-AL"/>
        </w:rPr>
      </w:pPr>
      <w:r>
        <w:rPr>
          <w:rFonts w:eastAsia="Times New Roman"/>
          <w:lang w:val="sq-AL"/>
        </w:rPr>
        <w:t>iv. adresën ku ushtron aktivitetin profesional: numri, rruga dhe qyteti;</w:t>
      </w:r>
    </w:p>
    <w:p w:rsidR="00FD58F8" w:rsidRDefault="00FD58F8" w:rsidP="00FD58F8">
      <w:pPr>
        <w:pStyle w:val="Paragrafi"/>
        <w:rPr>
          <w:rFonts w:eastAsia="Times New Roman"/>
          <w:lang w:val="sq-AL"/>
        </w:rPr>
      </w:pPr>
      <w:r>
        <w:rPr>
          <w:rFonts w:eastAsia="Times New Roman"/>
          <w:lang w:val="sq-AL"/>
        </w:rPr>
        <w:t>v. numrat e kontaktit: numri i telefonit kryesor dhe dytësor;</w:t>
      </w:r>
    </w:p>
    <w:p w:rsidR="00FD58F8" w:rsidRDefault="00FD58F8" w:rsidP="00FD58F8">
      <w:pPr>
        <w:pStyle w:val="Paragrafi"/>
        <w:rPr>
          <w:rFonts w:eastAsia="Times New Roman"/>
          <w:lang w:val="sq-AL"/>
        </w:rPr>
      </w:pPr>
      <w:r>
        <w:rPr>
          <w:rFonts w:eastAsia="Times New Roman"/>
          <w:lang w:val="sq-AL"/>
        </w:rPr>
        <w:t xml:space="preserve">vi. adresën e </w:t>
      </w:r>
      <w:r>
        <w:rPr>
          <w:rFonts w:eastAsia="Times New Roman"/>
          <w:i/>
          <w:lang w:val="sq-AL"/>
        </w:rPr>
        <w:t>email</w:t>
      </w:r>
      <w:r>
        <w:rPr>
          <w:rFonts w:eastAsia="Times New Roman"/>
          <w:lang w:val="sq-AL"/>
        </w:rPr>
        <w:t>-it;</w:t>
      </w:r>
    </w:p>
    <w:p w:rsidR="00FD58F8" w:rsidRDefault="00FD58F8" w:rsidP="00FD58F8">
      <w:pPr>
        <w:pStyle w:val="Paragrafi"/>
        <w:rPr>
          <w:rFonts w:eastAsia="Times New Roman"/>
          <w:lang w:val="sq-AL"/>
        </w:rPr>
      </w:pPr>
      <w:r>
        <w:rPr>
          <w:rFonts w:eastAsia="Times New Roman"/>
          <w:lang w:val="sq-AL"/>
        </w:rPr>
        <w:t>vii. fushën e ekspertizës;</w:t>
      </w:r>
    </w:p>
    <w:p w:rsidR="00FD58F8" w:rsidRDefault="00FD58F8" w:rsidP="00FD58F8">
      <w:pPr>
        <w:pStyle w:val="Paragrafi"/>
        <w:rPr>
          <w:rFonts w:eastAsia="Times New Roman"/>
          <w:lang w:val="sq-AL"/>
        </w:rPr>
      </w:pPr>
      <w:r>
        <w:rPr>
          <w:rFonts w:eastAsia="Times New Roman"/>
          <w:lang w:val="sq-AL"/>
        </w:rPr>
        <w:t>viii. numrin e licencës;</w:t>
      </w:r>
    </w:p>
    <w:p w:rsidR="00FD58F8" w:rsidRDefault="00FD58F8" w:rsidP="00FD58F8">
      <w:pPr>
        <w:pStyle w:val="Paragrafi"/>
        <w:rPr>
          <w:rFonts w:eastAsia="Times New Roman"/>
          <w:lang w:val="sq-AL"/>
        </w:rPr>
      </w:pPr>
      <w:r>
        <w:rPr>
          <w:rFonts w:eastAsia="Times New Roman"/>
          <w:lang w:val="sq-AL"/>
        </w:rPr>
        <w:t>ix. datën e lëshimit të licencës;</w:t>
      </w:r>
    </w:p>
    <w:p w:rsidR="00FD58F8" w:rsidRDefault="00FD58F8" w:rsidP="00FD58F8">
      <w:pPr>
        <w:pStyle w:val="Paragrafi"/>
        <w:rPr>
          <w:rFonts w:eastAsia="Times New Roman"/>
          <w:lang w:val="sq-AL"/>
        </w:rPr>
      </w:pPr>
      <w:r>
        <w:rPr>
          <w:rFonts w:eastAsia="Times New Roman"/>
          <w:lang w:val="sq-AL"/>
        </w:rPr>
        <w:t>x. datën e përfundimit të vlefshmërisë së licencës;</w:t>
      </w:r>
    </w:p>
    <w:p w:rsidR="00FD58F8" w:rsidRDefault="00FD58F8" w:rsidP="00FD58F8">
      <w:pPr>
        <w:pStyle w:val="Paragrafi"/>
        <w:rPr>
          <w:rFonts w:eastAsia="Times New Roman"/>
          <w:lang w:val="sq-AL"/>
        </w:rPr>
      </w:pPr>
      <w:r>
        <w:rPr>
          <w:rFonts w:eastAsia="Times New Roman"/>
          <w:lang w:val="sq-AL"/>
        </w:rPr>
        <w:t>xi. autoritetin lëshues të licencës;</w:t>
      </w:r>
    </w:p>
    <w:p w:rsidR="00FD58F8" w:rsidRDefault="00FD58F8" w:rsidP="00FD58F8">
      <w:pPr>
        <w:pStyle w:val="Paragrafi"/>
        <w:rPr>
          <w:rFonts w:eastAsia="Times New Roman"/>
          <w:lang w:val="sq-AL"/>
        </w:rPr>
      </w:pPr>
      <w:r>
        <w:rPr>
          <w:rFonts w:eastAsia="Times New Roman"/>
          <w:lang w:val="sq-AL"/>
        </w:rPr>
        <w:t>xii. Numrin unik të identifikimit të subjektit (NUIS);</w:t>
      </w:r>
    </w:p>
    <w:p w:rsidR="00FD58F8" w:rsidRDefault="00FD58F8" w:rsidP="00FD58F8">
      <w:pPr>
        <w:pStyle w:val="Paragrafi"/>
        <w:rPr>
          <w:rFonts w:eastAsia="Times New Roman"/>
          <w:lang w:val="sq-AL"/>
        </w:rPr>
      </w:pPr>
      <w:r>
        <w:rPr>
          <w:rFonts w:eastAsia="Times New Roman"/>
          <w:lang w:val="sq-AL"/>
        </w:rPr>
        <w:t>xiii. vitet e përvojës profesionale;</w:t>
      </w:r>
    </w:p>
    <w:p w:rsidR="00FD58F8" w:rsidRDefault="00FD58F8" w:rsidP="00FD58F8">
      <w:pPr>
        <w:pStyle w:val="Paragrafi"/>
        <w:rPr>
          <w:rFonts w:eastAsia="Times New Roman"/>
          <w:lang w:val="sq-AL"/>
        </w:rPr>
      </w:pPr>
      <w:r>
        <w:rPr>
          <w:rFonts w:eastAsia="Times New Roman"/>
          <w:lang w:val="sq-AL"/>
        </w:rPr>
        <w:t>xiv. vitet e përvojës si ekspert në gjykatë;</w:t>
      </w:r>
    </w:p>
    <w:p w:rsidR="00FD58F8" w:rsidRDefault="00FD58F8" w:rsidP="00FD58F8">
      <w:pPr>
        <w:pStyle w:val="Paragrafi"/>
        <w:rPr>
          <w:rFonts w:eastAsia="Times New Roman"/>
          <w:lang w:val="sq-AL"/>
        </w:rPr>
      </w:pPr>
      <w:r>
        <w:rPr>
          <w:rFonts w:eastAsia="Times New Roman"/>
          <w:lang w:val="sq-AL"/>
        </w:rPr>
        <w:t>xv. gjykatat për të cilat eksperti është i disponueshëm;</w:t>
      </w:r>
    </w:p>
    <w:p w:rsidR="00FD58F8" w:rsidRDefault="00FD58F8" w:rsidP="00FD58F8">
      <w:pPr>
        <w:pStyle w:val="Paragrafi"/>
        <w:rPr>
          <w:rFonts w:eastAsia="Times New Roman"/>
          <w:lang w:val="sq-AL"/>
        </w:rPr>
      </w:pPr>
      <w:r>
        <w:rPr>
          <w:rFonts w:eastAsia="Times New Roman"/>
          <w:lang w:val="sq-AL"/>
        </w:rPr>
        <w:t>xvi. shënimet/komentet, duke përfshirë të dhëna të nevojshme që i referohen aplikimit;</w:t>
      </w:r>
    </w:p>
    <w:p w:rsidR="00FD58F8" w:rsidRDefault="00FD58F8" w:rsidP="00FD58F8">
      <w:pPr>
        <w:pStyle w:val="Paragrafi"/>
        <w:rPr>
          <w:rFonts w:eastAsia="Times New Roman"/>
          <w:lang w:val="sq-AL"/>
        </w:rPr>
      </w:pPr>
      <w:r>
        <w:rPr>
          <w:rFonts w:eastAsia="Times New Roman"/>
          <w:lang w:val="sq-AL"/>
        </w:rPr>
        <w:t>xvii. datën e miratimit fillestar në regjistër;</w:t>
      </w:r>
    </w:p>
    <w:p w:rsidR="00FD58F8" w:rsidRDefault="00FD58F8" w:rsidP="00FD58F8">
      <w:pPr>
        <w:pStyle w:val="Paragrafi"/>
        <w:rPr>
          <w:rFonts w:eastAsia="Times New Roman"/>
          <w:lang w:val="sq-AL"/>
        </w:rPr>
      </w:pPr>
      <w:r>
        <w:rPr>
          <w:rFonts w:eastAsia="Times New Roman"/>
          <w:lang w:val="sq-AL"/>
        </w:rPr>
        <w:t>xviii. datën e rishikimit të ardhshëm;</w:t>
      </w:r>
    </w:p>
    <w:p w:rsidR="00FD58F8" w:rsidRDefault="00FD58F8" w:rsidP="00FD58F8">
      <w:pPr>
        <w:pStyle w:val="Paragrafi"/>
        <w:rPr>
          <w:rFonts w:eastAsia="Times New Roman"/>
          <w:lang w:val="sq-AL"/>
        </w:rPr>
      </w:pPr>
      <w:r>
        <w:rPr>
          <w:rFonts w:eastAsia="Times New Roman"/>
          <w:lang w:val="sq-AL"/>
        </w:rPr>
        <w:t>xix. statusin e regjistrimit, duke përfshirë të dhëna mbi fazën e shqyrtimit të aplikimit ose të ushtrimit të ekspertizës.</w:t>
      </w:r>
    </w:p>
    <w:p w:rsidR="00FD58F8" w:rsidRDefault="00FD58F8" w:rsidP="00FD58F8">
      <w:pPr>
        <w:pStyle w:val="Paragrafi"/>
        <w:rPr>
          <w:lang w:val="sq-AL"/>
        </w:rPr>
      </w:pPr>
      <w:r>
        <w:rPr>
          <w:rFonts w:eastAsia="Times New Roman"/>
          <w:lang w:val="sq-AL"/>
        </w:rPr>
        <w:t xml:space="preserve">4. </w:t>
      </w:r>
      <w:r>
        <w:rPr>
          <w:lang w:val="sq-AL"/>
        </w:rPr>
        <w:t xml:space="preserve">Në Regjistrin Elektronik të Ekspertëve regjistrohen ekspertët për të cilët ligji parashikon licencimin e tyre.  </w:t>
      </w:r>
    </w:p>
    <w:p w:rsidR="00FD58F8" w:rsidRDefault="00FD58F8" w:rsidP="00FD58F8">
      <w:pPr>
        <w:pStyle w:val="Paragrafi"/>
        <w:rPr>
          <w:lang w:val="sq-AL"/>
        </w:rPr>
      </w:pPr>
      <w:r>
        <w:rPr>
          <w:lang w:val="sq-AL"/>
        </w:rPr>
        <w:t xml:space="preserve">5. Në Regjistrin Elektronik të Ekspertëve regjistrohen ekspertët që përmbushin kriteret e mëposhtme: </w:t>
      </w:r>
    </w:p>
    <w:p w:rsidR="00FD58F8" w:rsidRDefault="00FD58F8" w:rsidP="00FD58F8">
      <w:pPr>
        <w:pStyle w:val="Paragrafi"/>
        <w:rPr>
          <w:lang w:val="sq-AL"/>
        </w:rPr>
      </w:pPr>
      <w:r>
        <w:rPr>
          <w:lang w:val="sq-AL"/>
        </w:rPr>
        <w:t>i. të ketë zotësi të plotë për të vepruar;</w:t>
      </w:r>
    </w:p>
    <w:p w:rsidR="00FD58F8" w:rsidRDefault="00FD58F8" w:rsidP="00FD58F8">
      <w:pPr>
        <w:pStyle w:val="Paragrafi"/>
        <w:rPr>
          <w:lang w:val="sq-AL"/>
        </w:rPr>
      </w:pPr>
      <w:r>
        <w:rPr>
          <w:lang w:val="sq-AL"/>
        </w:rPr>
        <w:t xml:space="preserve">ii. të ketë dhjetë vjet përvojë profesionale në fushën specifike apo të ngjashme ose pesë vjet përvojë profesionale e këtij lloji, nëse aplikanti ka përfunduar një trajnim profesional në fushën përkatëse; </w:t>
      </w:r>
    </w:p>
    <w:p w:rsidR="00FD58F8" w:rsidRDefault="00FD58F8" w:rsidP="00FD58F8">
      <w:pPr>
        <w:pStyle w:val="Paragrafi"/>
        <w:rPr>
          <w:lang w:val="sq-AL"/>
        </w:rPr>
      </w:pPr>
      <w:r>
        <w:rPr>
          <w:lang w:val="sq-AL"/>
        </w:rPr>
        <w:t>iii. të jetë i regjistruar dhe të ketë përmbushur në mënyrë të rregullt detyrimet në organet tatimore;</w:t>
      </w:r>
    </w:p>
    <w:p w:rsidR="00FD58F8" w:rsidRDefault="00FD58F8" w:rsidP="00FD58F8">
      <w:pPr>
        <w:pStyle w:val="Paragrafi"/>
        <w:rPr>
          <w:lang w:val="sq-AL"/>
        </w:rPr>
      </w:pPr>
      <w:r>
        <w:rPr>
          <w:lang w:val="sq-AL"/>
        </w:rPr>
        <w:t>iv. të mos jetë i dënuar me vendim gjyqësor të formës së prerë:</w:t>
      </w:r>
    </w:p>
    <w:p w:rsidR="00FD58F8" w:rsidRDefault="00FD58F8" w:rsidP="00FD58F8">
      <w:pPr>
        <w:pStyle w:val="Paragrafi"/>
        <w:rPr>
          <w:lang w:val="sq-AL"/>
        </w:rPr>
      </w:pPr>
      <w:r>
        <w:rPr>
          <w:lang w:val="sq-AL"/>
        </w:rPr>
        <w:t>a) Për një vepër penale të kryer me dashje, për të cilën nuk është rehabilituar;</w:t>
      </w:r>
    </w:p>
    <w:p w:rsidR="00FD58F8" w:rsidRDefault="00FD58F8" w:rsidP="00FD58F8">
      <w:pPr>
        <w:pStyle w:val="Paragrafi"/>
        <w:rPr>
          <w:lang w:val="sq-AL"/>
        </w:rPr>
      </w:pPr>
      <w:r>
        <w:rPr>
          <w:lang w:val="sq-AL"/>
        </w:rPr>
        <w:t>b) Për një vepër penale të kryer me pakujdesi, për të cilën nuk është rehabilituar dhe që cenon figurën dhe integritetin e profesionit të ekspertit, sipas përcaktimeve në legjislacionin në fuqi që normon ushtrimin e profesionit përkatës;</w:t>
      </w:r>
    </w:p>
    <w:p w:rsidR="00FD58F8" w:rsidRDefault="00FD58F8" w:rsidP="00FD58F8">
      <w:pPr>
        <w:pStyle w:val="Paragrafi"/>
        <w:rPr>
          <w:spacing w:val="-4"/>
          <w:lang w:val="sq-AL"/>
        </w:rPr>
      </w:pPr>
      <w:r>
        <w:rPr>
          <w:spacing w:val="-4"/>
          <w:lang w:val="sq-AL"/>
        </w:rPr>
        <w:t xml:space="preserve">c) Për një vepër penale të kryer me dashje, për të cilën është rehabilituar, kur vepra penale cenon figurën dhe integritetin e profesionit të ekspertit, sipas përcaktimeve në legjislacionin në fuqi që normon ushtrimin e profesionit përkatës. </w:t>
      </w:r>
    </w:p>
    <w:p w:rsidR="00FD58F8" w:rsidRDefault="00FD58F8" w:rsidP="00FD58F8">
      <w:pPr>
        <w:pStyle w:val="Paragrafi"/>
        <w:rPr>
          <w:rFonts w:eastAsia="Times New Roman"/>
          <w:spacing w:val="-4"/>
          <w:lang w:val="sq-AL"/>
        </w:rPr>
      </w:pPr>
      <w:r>
        <w:rPr>
          <w:rFonts w:eastAsia="Times New Roman"/>
          <w:spacing w:val="-4"/>
          <w:lang w:val="sq-AL"/>
        </w:rPr>
        <w:t xml:space="preserve">6. Regjistri Elektronik i Ekspertëve publikohet në faqen zyrtare elektronike të Ministrisë së Drejtësisë. </w:t>
      </w:r>
    </w:p>
    <w:p w:rsidR="00FD58F8" w:rsidRDefault="00FD58F8" w:rsidP="00FD58F8">
      <w:pPr>
        <w:pStyle w:val="Paragrafi"/>
        <w:rPr>
          <w:rFonts w:eastAsia="Times New Roman"/>
          <w:spacing w:val="-4"/>
          <w:lang w:val="sq-AL"/>
        </w:rPr>
      </w:pPr>
      <w:r>
        <w:rPr>
          <w:rFonts w:eastAsia="Times New Roman"/>
          <w:spacing w:val="-4"/>
          <w:lang w:val="sq-AL"/>
        </w:rPr>
        <w:t xml:space="preserve">7. Regjistri Elektronik i Ekspertëve plotësohet dhe përditësohet me të dhëna, në përputhje me legjislacionin në fuqi për mbrojtjen e të dhënave personale. </w:t>
      </w:r>
    </w:p>
    <w:p w:rsidR="00FD58F8" w:rsidRDefault="00FD58F8" w:rsidP="00FD58F8">
      <w:pPr>
        <w:pStyle w:val="Paragrafi"/>
        <w:rPr>
          <w:b/>
          <w:spacing w:val="-4"/>
          <w:lang w:val="sq-AL"/>
        </w:rPr>
      </w:pPr>
      <w:r>
        <w:rPr>
          <w:b/>
          <w:spacing w:val="-4"/>
          <w:lang w:val="sq-AL"/>
        </w:rPr>
        <w:lastRenderedPageBreak/>
        <w:t>II. Kërkesa për regjistrim</w:t>
      </w:r>
    </w:p>
    <w:p w:rsidR="00FD58F8" w:rsidRPr="00F05D15" w:rsidRDefault="00FD58F8" w:rsidP="00F05D15">
      <w:pPr>
        <w:pStyle w:val="Paragrafi"/>
        <w:rPr>
          <w:rFonts w:eastAsia="Times New Roman"/>
          <w:spacing w:val="-4"/>
          <w:lang w:val="sq-AL"/>
        </w:rPr>
      </w:pPr>
      <w:r>
        <w:rPr>
          <w:rFonts w:eastAsia="Times New Roman"/>
          <w:spacing w:val="-4"/>
          <w:lang w:val="sq-AL"/>
        </w:rPr>
        <w:t xml:space="preserve">8. Kërkesa për regjistrim në Regjistrin Elektronik të Ekspertëve bëhet pranë Ministrisë së Drejtësisë, në rrugë postare, në adresën: Ministria e Drejtësisë, bulevardi “Zogu I”, Tiranë ose në rrugë elektronike, në adresën e </w:t>
      </w:r>
      <w:r>
        <w:rPr>
          <w:rFonts w:eastAsia="Times New Roman"/>
          <w:i/>
          <w:spacing w:val="-4"/>
          <w:lang w:val="sq-AL"/>
        </w:rPr>
        <w:t>e-mail</w:t>
      </w:r>
      <w:r>
        <w:rPr>
          <w:rFonts w:eastAsia="Times New Roman"/>
          <w:spacing w:val="-4"/>
          <w:lang w:val="sq-AL"/>
        </w:rPr>
        <w:t xml:space="preserve">-it: </w:t>
      </w:r>
      <w:hyperlink r:id="rId7" w:history="1">
        <w:r>
          <w:rPr>
            <w:rStyle w:val="Hyperlink"/>
            <w:rFonts w:eastAsia="Times New Roman"/>
            <w:spacing w:val="-4"/>
            <w:szCs w:val="24"/>
            <w:lang w:val="sq-AL"/>
          </w:rPr>
          <w:t>ekspertet@drejtesia.gov.al</w:t>
        </w:r>
      </w:hyperlink>
    </w:p>
    <w:p w:rsidR="00FD58F8" w:rsidRDefault="00FD58F8" w:rsidP="00FD58F8">
      <w:pPr>
        <w:pStyle w:val="Paragrafi"/>
        <w:rPr>
          <w:rFonts w:eastAsia="Times New Roman"/>
          <w:b/>
          <w:spacing w:val="-4"/>
          <w:lang w:val="sq-AL"/>
        </w:rPr>
      </w:pPr>
      <w:r>
        <w:rPr>
          <w:rFonts w:eastAsia="Times New Roman"/>
          <w:b/>
          <w:spacing w:val="-4"/>
          <w:lang w:val="sq-AL"/>
        </w:rPr>
        <w:t>III. Procedura e aplikimit</w:t>
      </w:r>
    </w:p>
    <w:p w:rsidR="00FD58F8" w:rsidRDefault="00FD58F8" w:rsidP="00FD58F8">
      <w:pPr>
        <w:pStyle w:val="Paragrafi"/>
        <w:rPr>
          <w:rFonts w:eastAsia="Times New Roman"/>
          <w:spacing w:val="-4"/>
          <w:lang w:val="sq-AL"/>
        </w:rPr>
      </w:pPr>
      <w:r>
        <w:rPr>
          <w:rFonts w:eastAsia="Times New Roman"/>
          <w:spacing w:val="-4"/>
          <w:lang w:val="sq-AL"/>
        </w:rPr>
        <w:t>9. Aplikantët e interesuar për regjistrimin në Regjistrin Elektronik të Ekspertëve paraqesin  të plotësuar formularin e kërkesës, sipas modelit bashkëlidhur këtij udhëzimi, të shoqëruar me dokumentacionin e mëposhtëm:</w:t>
      </w:r>
    </w:p>
    <w:p w:rsidR="00FD58F8" w:rsidRDefault="00FD58F8" w:rsidP="00FD58F8">
      <w:pPr>
        <w:pStyle w:val="Paragrafi"/>
        <w:rPr>
          <w:spacing w:val="-4"/>
          <w:lang w:val="sq-AL"/>
        </w:rPr>
      </w:pPr>
      <w:r>
        <w:rPr>
          <w:spacing w:val="-4"/>
          <w:lang w:val="sq-AL"/>
        </w:rPr>
        <w:t>i. jetëshkrimin e plotësuar sipas formatit të përcaktuar në modelin bashkëlidhur këtij udhëzimi; </w:t>
      </w:r>
    </w:p>
    <w:p w:rsidR="00FD58F8" w:rsidRDefault="00FD58F8" w:rsidP="00FD58F8">
      <w:pPr>
        <w:pStyle w:val="Paragrafi"/>
        <w:rPr>
          <w:spacing w:val="-4"/>
          <w:lang w:val="sq-AL"/>
        </w:rPr>
      </w:pPr>
      <w:r>
        <w:rPr>
          <w:spacing w:val="-4"/>
          <w:lang w:val="sq-AL"/>
        </w:rPr>
        <w:t>ii. kopje të letërnjoftimit; </w:t>
      </w:r>
    </w:p>
    <w:p w:rsidR="00FD58F8" w:rsidRDefault="00FD58F8" w:rsidP="00FD58F8">
      <w:pPr>
        <w:pStyle w:val="Paragrafi"/>
        <w:rPr>
          <w:spacing w:val="-4"/>
          <w:lang w:val="sq-AL"/>
        </w:rPr>
      </w:pPr>
      <w:r>
        <w:rPr>
          <w:spacing w:val="-4"/>
          <w:lang w:val="sq-AL"/>
        </w:rPr>
        <w:t>iii. formularin e plotësuar të vetëdeklarimit të gjendjes gjyqësore; </w:t>
      </w:r>
    </w:p>
    <w:p w:rsidR="00FD58F8" w:rsidRDefault="00FD58F8" w:rsidP="00FD58F8">
      <w:pPr>
        <w:pStyle w:val="Paragrafi"/>
        <w:rPr>
          <w:spacing w:val="-4"/>
          <w:lang w:val="sq-AL"/>
        </w:rPr>
      </w:pPr>
      <w:r>
        <w:rPr>
          <w:spacing w:val="-4"/>
          <w:lang w:val="sq-AL"/>
        </w:rPr>
        <w:t>iv. vërtetimet e licencimit dhe të kualifikimit si ekspert në fushën përkatëse të ekspertizës;</w:t>
      </w:r>
    </w:p>
    <w:p w:rsidR="00FD58F8" w:rsidRDefault="00FD58F8" w:rsidP="00FD58F8">
      <w:pPr>
        <w:pStyle w:val="Paragrafi"/>
        <w:rPr>
          <w:spacing w:val="-4"/>
          <w:lang w:val="sq-AL"/>
        </w:rPr>
      </w:pPr>
      <w:r>
        <w:rPr>
          <w:spacing w:val="-4"/>
          <w:lang w:val="sq-AL"/>
        </w:rPr>
        <w:t>v. vërtetime mbi përvojën profesionale si ekspert në fushën specifike apo të ngjashme;</w:t>
      </w:r>
    </w:p>
    <w:p w:rsidR="00FD58F8" w:rsidRDefault="00FD58F8" w:rsidP="00FD58F8">
      <w:pPr>
        <w:pStyle w:val="Paragrafi"/>
        <w:rPr>
          <w:spacing w:val="-4"/>
          <w:lang w:val="sq-AL"/>
        </w:rPr>
      </w:pPr>
      <w:r>
        <w:rPr>
          <w:spacing w:val="-4"/>
          <w:lang w:val="sq-AL"/>
        </w:rPr>
        <w:t>vi. vërtetim mbi trajnimin profesional në fushën përkatëse;</w:t>
      </w:r>
    </w:p>
    <w:p w:rsidR="00FD58F8" w:rsidRDefault="00FD58F8" w:rsidP="00FD58F8">
      <w:pPr>
        <w:pStyle w:val="Paragrafi"/>
        <w:rPr>
          <w:spacing w:val="-4"/>
          <w:lang w:val="sq-AL"/>
        </w:rPr>
      </w:pPr>
      <w:r>
        <w:rPr>
          <w:spacing w:val="-4"/>
          <w:lang w:val="sq-AL"/>
        </w:rPr>
        <w:t>vii. vërtetim nga organet tatimore për përmbushjen e rregullt të detyrimeve;</w:t>
      </w:r>
    </w:p>
    <w:p w:rsidR="00FD58F8" w:rsidRDefault="00FD58F8" w:rsidP="00FD58F8">
      <w:pPr>
        <w:pStyle w:val="Paragrafi"/>
        <w:rPr>
          <w:spacing w:val="-4"/>
          <w:lang w:val="sq-AL"/>
        </w:rPr>
      </w:pPr>
      <w:r>
        <w:rPr>
          <w:spacing w:val="-4"/>
          <w:lang w:val="sq-AL"/>
        </w:rPr>
        <w:t>viii. librezën e punës apo librezën e sigurimeve shoqërore, ku të përfshihen të dhënat që vërtetojnë pagesën e kontributeve shoqërore.</w:t>
      </w:r>
    </w:p>
    <w:p w:rsidR="00FD58F8" w:rsidRDefault="00FD58F8" w:rsidP="00FD58F8">
      <w:pPr>
        <w:pStyle w:val="Paragrafi"/>
        <w:rPr>
          <w:spacing w:val="-4"/>
          <w:lang w:val="sq-AL"/>
        </w:rPr>
      </w:pPr>
      <w:r>
        <w:rPr>
          <w:spacing w:val="-4"/>
          <w:lang w:val="sq-AL"/>
        </w:rPr>
        <w:t>10. Në llogaritjen e përvojës profesionale merret në konsideratë e gjithë periudha e ushtrimit të përvojës profesionale edhe nëse ajo është ushtruar me ndërprerje.</w:t>
      </w:r>
    </w:p>
    <w:p w:rsidR="00FD58F8" w:rsidRDefault="00FD58F8" w:rsidP="00FD58F8">
      <w:pPr>
        <w:pStyle w:val="Paragrafi"/>
        <w:rPr>
          <w:rFonts w:eastAsia="Times New Roman"/>
          <w:spacing w:val="-4"/>
          <w:lang w:val="sq-AL"/>
        </w:rPr>
      </w:pPr>
      <w:r>
        <w:rPr>
          <w:rFonts w:eastAsia="Times New Roman"/>
          <w:color w:val="FF0000"/>
          <w:spacing w:val="-4"/>
          <w:lang w:val="sq-AL"/>
        </w:rPr>
        <w:t xml:space="preserve"> </w:t>
      </w:r>
      <w:r>
        <w:rPr>
          <w:rFonts w:eastAsia="Times New Roman"/>
          <w:spacing w:val="-4"/>
          <w:lang w:val="sq-AL"/>
        </w:rPr>
        <w:t xml:space="preserve">11. Dokumentet e lidhura me aplikimin duhet të jenë origjinale ose të njësuara me origjinalin dhe dërgohen së bashku me formularin e plotësuar të kërkesës për aplikim, në adresën postare ose në adresën elektronike, sipas përcaktimeve të pikës 8 të këtij udhëzimi. Kërkesa për regjistrim, së bashku me dokumentet e përcjella në rrugë elektronike, regjistrohen në regjistër të veçantë hyrës të Ministrisë së Drejtësisë. </w:t>
      </w:r>
    </w:p>
    <w:p w:rsidR="00FD58F8" w:rsidRDefault="00FD58F8" w:rsidP="00FD58F8">
      <w:pPr>
        <w:pStyle w:val="Paragrafi"/>
        <w:rPr>
          <w:rFonts w:eastAsia="Times New Roman"/>
          <w:spacing w:val="-4"/>
          <w:lang w:val="sq-AL"/>
        </w:rPr>
      </w:pPr>
      <w:r>
        <w:rPr>
          <w:rFonts w:eastAsia="Times New Roman"/>
          <w:spacing w:val="-4"/>
          <w:lang w:val="sq-AL"/>
        </w:rPr>
        <w:t>12. Për çdo aplikim të ardhur në rrugë elektronike krijohet dosje elektronike në të cilat ruhen dhe arkivohen kërkesa për aplikim, dokumentet shoqëruese dhe kartela e regjistrimit të Ministrisë së Drejtësisë. Në rast të aplikimit në rrugë postare, formulari i kërkesës, dokumentet dhe kartela shoqëruese skanohen, ruhen dhe arkivohen në dosje elektronike.</w:t>
      </w:r>
    </w:p>
    <w:p w:rsidR="00FD58F8" w:rsidRDefault="00FD58F8" w:rsidP="00FD58F8">
      <w:pPr>
        <w:pStyle w:val="Paragrafi"/>
        <w:rPr>
          <w:rFonts w:eastAsia="Times New Roman"/>
          <w:spacing w:val="-4"/>
          <w:lang w:val="sq-AL"/>
        </w:rPr>
      </w:pPr>
      <w:r>
        <w:rPr>
          <w:rFonts w:eastAsia="Times New Roman"/>
          <w:spacing w:val="-4"/>
          <w:lang w:val="sq-AL"/>
        </w:rPr>
        <w:t>13. Ministria e Drejtësisë njofton aplikuesin në postën elektronike ose në mungesë të saj në adresën e deklaruar në formularin e kërkesës mbi konfirmimin e marrjes së aplikimit për regjistrimin.</w:t>
      </w:r>
    </w:p>
    <w:p w:rsidR="00FD58F8" w:rsidRDefault="00FD58F8" w:rsidP="00FD58F8">
      <w:pPr>
        <w:pStyle w:val="Paragrafi"/>
        <w:rPr>
          <w:rFonts w:eastAsia="Times New Roman"/>
          <w:b/>
          <w:spacing w:val="-4"/>
          <w:lang w:val="sq-AL"/>
        </w:rPr>
      </w:pPr>
      <w:r>
        <w:rPr>
          <w:rFonts w:eastAsia="Times New Roman"/>
          <w:b/>
          <w:spacing w:val="-4"/>
          <w:lang w:val="sq-AL"/>
        </w:rPr>
        <w:t>IV. Procedura e vlerësimit të aplikimit</w:t>
      </w:r>
    </w:p>
    <w:p w:rsidR="00FD58F8" w:rsidRDefault="00FD58F8" w:rsidP="00FD58F8">
      <w:pPr>
        <w:pStyle w:val="Paragrafi"/>
        <w:rPr>
          <w:rFonts w:eastAsia="Times New Roman"/>
          <w:spacing w:val="-4"/>
          <w:lang w:val="sq-AL"/>
        </w:rPr>
      </w:pPr>
      <w:r>
        <w:rPr>
          <w:rFonts w:eastAsia="Times New Roman"/>
          <w:spacing w:val="-4"/>
          <w:lang w:val="sq-AL"/>
        </w:rPr>
        <w:t xml:space="preserve">14. Aplikimi dhe dokumentet shoqëruese të dërguara sipas rregullave të këtij udhëzimi merren në shqyrtim sipas radhës së regjistrimit të tyre në regjistrat hyrës të Ministrisë së Drejtësisë, brenda një kohe sa më të shpejtë, por në asnjë rast jo më vonë se 60 (gjashtëdhjetë) ditë nga marrja e kërkesës. </w:t>
      </w:r>
    </w:p>
    <w:p w:rsidR="00FD58F8" w:rsidRDefault="00FD58F8" w:rsidP="00FD58F8">
      <w:pPr>
        <w:pStyle w:val="Paragrafi"/>
        <w:rPr>
          <w:rFonts w:eastAsia="Times New Roman"/>
          <w:spacing w:val="-4"/>
          <w:lang w:val="sq-AL"/>
        </w:rPr>
      </w:pPr>
      <w:r>
        <w:rPr>
          <w:rFonts w:eastAsia="Times New Roman"/>
          <w:spacing w:val="-4"/>
          <w:lang w:val="sq-AL"/>
        </w:rPr>
        <w:t xml:space="preserve">15. Gjatë shqyrtimit të kërkesës për regjistrim, struktura përgjegjëse ka të drejtë të kërkojë informacion shtesë dhe verifikim të të dhënave nga institucioni që ka licencuar ekspertin. Në këtë rast, procedura e regjistrimit pezullohet deri në përcjelljen e të dhënave të kërkuara nga institucioni përkatës. </w:t>
      </w:r>
    </w:p>
    <w:p w:rsidR="00FD58F8" w:rsidRDefault="00FD58F8" w:rsidP="00FD58F8">
      <w:pPr>
        <w:pStyle w:val="Paragrafi"/>
        <w:rPr>
          <w:rFonts w:eastAsia="Times New Roman"/>
          <w:spacing w:val="-4"/>
          <w:lang w:val="sq-AL"/>
        </w:rPr>
      </w:pPr>
      <w:r>
        <w:rPr>
          <w:rFonts w:eastAsia="Times New Roman"/>
          <w:spacing w:val="-4"/>
          <w:lang w:val="sq-AL"/>
        </w:rPr>
        <w:t xml:space="preserve">16. Struktura përgjegjëse pas kryerjes së verifikimit përpilon një relacion shpjegues, ku përmbledh shkurtimisht të dhënat e dokumentacionit të paraqitur dhe informacionin mbi përmbushjen ose jo të kritereve ligjore. Relacioni shpjegues i paraqitet për miratim Sekretarit të Përgjithshëm. Kryerja e regjistrimit të ekspertit kryhet jo më vonë se 5 (pesë) ditë pune nga dhënia e miratimit. </w:t>
      </w:r>
    </w:p>
    <w:p w:rsidR="00FD58F8" w:rsidRDefault="00FD58F8" w:rsidP="00FD58F8">
      <w:pPr>
        <w:pStyle w:val="Paragrafi"/>
        <w:rPr>
          <w:rFonts w:eastAsia="Times New Roman"/>
          <w:spacing w:val="-4"/>
          <w:lang w:val="sq-AL"/>
        </w:rPr>
      </w:pPr>
      <w:r>
        <w:rPr>
          <w:rFonts w:eastAsia="Times New Roman"/>
          <w:spacing w:val="-4"/>
          <w:lang w:val="sq-AL"/>
        </w:rPr>
        <w:t xml:space="preserve">17. Kërkesa nuk pranohet kur aplikanti nuk plotëson kriteret ligjore. Në këtë rast, aplikanti njoftohet për shkaqet e mospranimit, brenda 5 (pesë) ditëve pune nga dhënia e vendimit. </w:t>
      </w:r>
    </w:p>
    <w:p w:rsidR="00FD58F8" w:rsidRDefault="00FD58F8" w:rsidP="00FD58F8">
      <w:pPr>
        <w:pStyle w:val="Paragrafi"/>
        <w:rPr>
          <w:rFonts w:eastAsia="Times New Roman"/>
          <w:spacing w:val="-4"/>
          <w:lang w:val="sq-AL"/>
        </w:rPr>
      </w:pPr>
      <w:r>
        <w:rPr>
          <w:rFonts w:eastAsia="Times New Roman"/>
          <w:spacing w:val="-4"/>
          <w:lang w:val="sq-AL"/>
        </w:rPr>
        <w:t>18. Aplikanti që pretendon se plotëson kriteret ligjore ka të drejtën e ankimit pranë ministrit të Drejtësisë, brenda 5 (pesë) ditëve nga marrja e njoftimit. Ministri shqyrton ankesën dhe njofton ankuesin lidhur me të brenda 5 (pesë) ditëve pune nga data e depozitimit.</w:t>
      </w:r>
    </w:p>
    <w:p w:rsidR="00FD58F8" w:rsidRDefault="00FD58F8" w:rsidP="00FD58F8">
      <w:pPr>
        <w:pStyle w:val="Paragrafi"/>
        <w:rPr>
          <w:rFonts w:eastAsia="Times New Roman"/>
          <w:spacing w:val="-4"/>
          <w:lang w:val="sq-AL"/>
        </w:rPr>
      </w:pPr>
      <w:r>
        <w:rPr>
          <w:rFonts w:eastAsia="Times New Roman"/>
          <w:spacing w:val="-4"/>
          <w:lang w:val="sq-AL"/>
        </w:rPr>
        <w:t xml:space="preserve">19. Në rastin kur, pas shqyrtimit të ankimit, Ministri i Drejtësisë vlerëson se eksperti duhet të regjistrohet, struktura përgjegjëse vijon procedurën e regjistrimit në Regjistrin Elektronik të Ekspertëve. </w:t>
      </w:r>
    </w:p>
    <w:p w:rsidR="00FD58F8" w:rsidRDefault="00FD58F8" w:rsidP="00FD58F8">
      <w:pPr>
        <w:pStyle w:val="Paragrafi"/>
        <w:rPr>
          <w:rFonts w:eastAsia="Times New Roman"/>
          <w:spacing w:val="-4"/>
          <w:lang w:val="sq-AL"/>
        </w:rPr>
      </w:pPr>
      <w:r>
        <w:rPr>
          <w:rFonts w:eastAsia="Times New Roman"/>
          <w:spacing w:val="-4"/>
          <w:lang w:val="sq-AL"/>
        </w:rPr>
        <w:t xml:space="preserve">20. Regjistrimi në Regjistrin Elektronik të Ekspertëve i njoftohet me shkrim ekspertit, në adresën e komunikimit të deklaruar në formularin e kërkesës, jo më vonë se 3 (tre) ditë pune nga dita e regjistrimit. </w:t>
      </w:r>
    </w:p>
    <w:p w:rsidR="00FD58F8" w:rsidRDefault="00FD58F8" w:rsidP="00FD58F8">
      <w:pPr>
        <w:pStyle w:val="Paragrafi"/>
        <w:rPr>
          <w:rFonts w:eastAsia="Times New Roman"/>
          <w:b/>
          <w:spacing w:val="-4"/>
          <w:lang w:val="sq-AL"/>
        </w:rPr>
      </w:pPr>
      <w:r>
        <w:rPr>
          <w:rFonts w:eastAsia="Times New Roman"/>
          <w:b/>
          <w:spacing w:val="-4"/>
          <w:lang w:val="sq-AL"/>
        </w:rPr>
        <w:t xml:space="preserve">V. Pezullimi/heqja e ekspertit nga regjistri </w:t>
      </w:r>
    </w:p>
    <w:p w:rsidR="00FD58F8" w:rsidRDefault="00FD58F8" w:rsidP="00FD58F8">
      <w:pPr>
        <w:pStyle w:val="Paragrafi"/>
        <w:rPr>
          <w:rFonts w:eastAsia="Times New Roman"/>
          <w:spacing w:val="-4"/>
          <w:lang w:val="sq-AL"/>
        </w:rPr>
      </w:pPr>
      <w:r>
        <w:rPr>
          <w:rFonts w:eastAsia="Times New Roman"/>
          <w:spacing w:val="-4"/>
          <w:lang w:val="sq-AL"/>
        </w:rPr>
        <w:t xml:space="preserve">21. Në rast se ndaj ekspertit të thirrur në gjykatë paraqiten ankesa lidhur me sjelljen deontologjike ndaj gjykatës apo palëve në proces, apo për mospërmbushjen e detyrimeve profesionale/ligjore nga ana e tij, Ministria e Drejtësisë kryen verifikimin e ankesës, duke marrë të dhëna nga gjykata mbi procesin gjyqësor në të cilin pretendohet se eksperti nuk ka përmbushur detyrimet ligjore dhe/ose nga çdo institucion tjetër që </w:t>
      </w:r>
      <w:r>
        <w:rPr>
          <w:rFonts w:eastAsia="Times New Roman"/>
          <w:spacing w:val="-4"/>
          <w:lang w:val="sq-AL"/>
        </w:rPr>
        <w:lastRenderedPageBreak/>
        <w:t xml:space="preserve">administron të dhëna mbi veprimtarinë e ekspertit. Ministria e Drejtësisë i kërkon ekspertit parashtrimet e tij në lidhje me faktet e konstatuara. Nëse vërtetohet mospërmbushja e detyrimeve ligjore, Ministria e Drejtësisë bën çregjistrimin e ekspertit nga Regjistri Elektronik i Ekspertëve dhe i njofton </w:t>
      </w:r>
      <w:r>
        <w:rPr>
          <w:spacing w:val="-4"/>
          <w:lang w:val="sq-AL"/>
        </w:rPr>
        <w:t>rezultatet e verifikimit institucionit përgjegjës që ka licencuar ekspertin.</w:t>
      </w:r>
    </w:p>
    <w:p w:rsidR="00FD58F8" w:rsidRDefault="00FD58F8" w:rsidP="00FD58F8">
      <w:pPr>
        <w:pStyle w:val="Paragrafi"/>
        <w:rPr>
          <w:rFonts w:eastAsia="Times New Roman"/>
          <w:spacing w:val="-4"/>
          <w:lang w:val="sq-AL"/>
        </w:rPr>
      </w:pPr>
      <w:r>
        <w:rPr>
          <w:rFonts w:eastAsia="Times New Roman"/>
          <w:spacing w:val="-4"/>
          <w:lang w:val="sq-AL"/>
        </w:rPr>
        <w:t xml:space="preserve">22. Nëse ndaj ekspertit caktohet masa ndaluese në kuptim të Kodit të Procedurës Penale apo kur eksperti merret i pandehur në një proces gjyqësor, struktura përkatëse bën shënimin: “I pezulluar”, në regjistër në rubrikën “Statusi”. Ky shënim ndryshon/hiqet në varësi të dispozitivit të vendimit të formës së prerë të dhënë nga tij. Kur eksperti vdes apo dënohet me vendim të formës së prerë për kryerjen e një krimi, ai çregjistrohet nga Regjistri Elektronik i Ekspertëve.  </w:t>
      </w:r>
    </w:p>
    <w:p w:rsidR="00FD58F8" w:rsidRDefault="00FD58F8" w:rsidP="00FD58F8">
      <w:pPr>
        <w:pStyle w:val="Paragrafi"/>
        <w:rPr>
          <w:rFonts w:eastAsia="Times New Roman"/>
          <w:spacing w:val="-4"/>
          <w:lang w:val="sq-AL"/>
        </w:rPr>
      </w:pPr>
      <w:r>
        <w:rPr>
          <w:rFonts w:eastAsia="Times New Roman"/>
          <w:spacing w:val="-4"/>
          <w:lang w:val="sq-AL"/>
        </w:rPr>
        <w:t xml:space="preserve"> 23. Nëse eksperti largohet nga Shqipëria apo vendos të mos e ushtrojë ekspertizën për një periudhë kohe të caktuar, ai njofton Ministrinë e Drejtësisë, duke kërkuar inaktivizimin e thirrjes së tij në gjykatë. Në këtë, struktura përkatëse bën shënimin: “Joaktiv”, në regjistër, në rubrikën “Status”.</w:t>
      </w:r>
    </w:p>
    <w:p w:rsidR="00FD58F8" w:rsidRDefault="00FD58F8" w:rsidP="00FD58F8">
      <w:pPr>
        <w:pStyle w:val="Paragrafi"/>
        <w:rPr>
          <w:rFonts w:eastAsia="Times New Roman"/>
          <w:spacing w:val="-4"/>
          <w:lang w:val="sq-AL"/>
        </w:rPr>
      </w:pPr>
      <w:r>
        <w:rPr>
          <w:rFonts w:eastAsia="Times New Roman"/>
          <w:spacing w:val="-4"/>
          <w:lang w:val="sq-AL"/>
        </w:rPr>
        <w:t>24. Në rast se Ministria e Drejtësisë vihet në dijeni të mungesës së një prej kritereve ligjore të përcaktuara në pikën 4 të këtij udhëzimi, vepron menjëherë, duke bërë çregjistrimin e ekspertit nga Regjistri Elektronik i Ekspertëve dhe për veprimin e kryer njoftohet eksperti dhe, sipas rastit, institucioni që e ka licencuar.</w:t>
      </w:r>
    </w:p>
    <w:p w:rsidR="00FD58F8" w:rsidRDefault="00FD58F8" w:rsidP="00FD58F8">
      <w:pPr>
        <w:pStyle w:val="Paragrafi"/>
        <w:rPr>
          <w:rFonts w:eastAsia="Times New Roman"/>
          <w:b/>
          <w:spacing w:val="-4"/>
          <w:lang w:val="sq-AL"/>
        </w:rPr>
      </w:pPr>
      <w:r>
        <w:rPr>
          <w:rFonts w:eastAsia="Times New Roman"/>
          <w:b/>
          <w:spacing w:val="-4"/>
          <w:lang w:val="sq-AL"/>
        </w:rPr>
        <w:t>VI. Procedura e korrigjimit të gabimeve</w:t>
      </w:r>
    </w:p>
    <w:p w:rsidR="00FD58F8" w:rsidRDefault="00FD58F8" w:rsidP="00FD58F8">
      <w:pPr>
        <w:pStyle w:val="Paragrafi"/>
        <w:rPr>
          <w:rFonts w:eastAsia="Times New Roman"/>
          <w:spacing w:val="-4"/>
          <w:lang w:val="sq-AL"/>
        </w:rPr>
      </w:pPr>
      <w:r>
        <w:rPr>
          <w:rFonts w:eastAsia="Times New Roman"/>
          <w:spacing w:val="-4"/>
          <w:lang w:val="sq-AL"/>
        </w:rPr>
        <w:t>25. Pasaktësitë, gabimet teknike ose gabimet e tjera të bëra gjatë regjistrimit, të cilat rezultojnë qartë nga dokumentacioni i depozituar dhe nuk cenojnë vlefshmërinë e regjistrimit, mund të korrigjohen, kryesisht apo me kërkesë të ekspertit.</w:t>
      </w:r>
    </w:p>
    <w:p w:rsidR="00FD58F8" w:rsidRDefault="00FD58F8" w:rsidP="00FD58F8">
      <w:pPr>
        <w:pStyle w:val="Paragrafi"/>
        <w:rPr>
          <w:rFonts w:eastAsia="Times New Roman"/>
          <w:spacing w:val="-4"/>
          <w:lang w:val="sq-AL"/>
        </w:rPr>
      </w:pPr>
      <w:r>
        <w:rPr>
          <w:rFonts w:eastAsia="Times New Roman"/>
          <w:spacing w:val="-4"/>
          <w:lang w:val="sq-AL"/>
        </w:rPr>
        <w:t>26. Kryerja e korrigjimit dhe të dhënat e korrigjuara publikohen në Regjistrin Elektronik të Ekspertëve dhe për këtë njoftohet eksperti me shkrim.</w:t>
      </w:r>
    </w:p>
    <w:p w:rsidR="00FD58F8" w:rsidRPr="00F05D15" w:rsidRDefault="00FD58F8" w:rsidP="00F05D15">
      <w:pPr>
        <w:pStyle w:val="Paragrafi"/>
        <w:rPr>
          <w:rFonts w:eastAsia="Times New Roman"/>
          <w:spacing w:val="-4"/>
          <w:lang w:val="sq-AL"/>
        </w:rPr>
      </w:pPr>
      <w:r>
        <w:rPr>
          <w:rFonts w:eastAsia="Times New Roman"/>
          <w:spacing w:val="-4"/>
          <w:lang w:val="sq-AL"/>
        </w:rPr>
        <w:t>27. Ndryshimi i të dhënave të pasakta, të cilat nuk rezultojnë qartë nga dokumentacioni i depozituar apo cenojnë vlefshmërinë e regjistrimit kryhet nëpërmjet një aplikimi të ri.</w:t>
      </w:r>
    </w:p>
    <w:p w:rsidR="00FD58F8" w:rsidRDefault="00FD58F8" w:rsidP="00FD58F8">
      <w:pPr>
        <w:pStyle w:val="Paragrafi"/>
        <w:rPr>
          <w:rFonts w:eastAsia="Times New Roman"/>
          <w:b/>
          <w:spacing w:val="-4"/>
          <w:lang w:val="sq-AL"/>
        </w:rPr>
      </w:pPr>
      <w:r>
        <w:rPr>
          <w:rFonts w:eastAsia="Times New Roman"/>
          <w:b/>
          <w:spacing w:val="-4"/>
          <w:lang w:val="sq-AL"/>
        </w:rPr>
        <w:t>VII. Procedura e përditësimit të të dhënave</w:t>
      </w:r>
    </w:p>
    <w:p w:rsidR="00FD58F8" w:rsidRDefault="00FD58F8" w:rsidP="00FD58F8">
      <w:pPr>
        <w:pStyle w:val="Paragrafi"/>
        <w:rPr>
          <w:rFonts w:eastAsia="Times New Roman"/>
          <w:spacing w:val="-4"/>
          <w:lang w:val="sq-AL"/>
        </w:rPr>
      </w:pPr>
      <w:r>
        <w:rPr>
          <w:rFonts w:eastAsia="Times New Roman"/>
          <w:spacing w:val="-4"/>
          <w:lang w:val="sq-AL"/>
        </w:rPr>
        <w:t xml:space="preserve">28. Ministria e Drejtësisë kryen të paktën 1 (një) herë në çdo dy vjet verifikimin e të dhënave për çdo ekspert, me qëllim çregjistrimin e ekspertëve të cilët nuk plotësojnë më kushtet ligjore ose për të cilët ka lindur një pengesë për vijimin e ushtrimit të profesionit. </w:t>
      </w:r>
    </w:p>
    <w:p w:rsidR="00FD58F8" w:rsidRDefault="00FD58F8" w:rsidP="00FD58F8">
      <w:pPr>
        <w:pStyle w:val="Paragrafi"/>
        <w:rPr>
          <w:rFonts w:eastAsia="Times New Roman"/>
          <w:b/>
          <w:spacing w:val="-4"/>
          <w:lang w:val="sq-AL"/>
        </w:rPr>
      </w:pPr>
      <w:r>
        <w:rPr>
          <w:rFonts w:eastAsia="Times New Roman"/>
          <w:b/>
          <w:spacing w:val="-4"/>
          <w:lang w:val="sq-AL"/>
        </w:rPr>
        <w:t>VIII. Sistemi i pikëzimit</w:t>
      </w:r>
    </w:p>
    <w:p w:rsidR="00FD58F8" w:rsidRDefault="00FD58F8" w:rsidP="00FD58F8">
      <w:pPr>
        <w:pStyle w:val="Paragrafi"/>
        <w:rPr>
          <w:color w:val="FF0000"/>
          <w:spacing w:val="-4"/>
          <w:lang w:val="sq-AL"/>
        </w:rPr>
      </w:pPr>
      <w:r>
        <w:rPr>
          <w:rFonts w:eastAsia="Times New Roman"/>
          <w:spacing w:val="-4"/>
          <w:lang w:val="sq-AL"/>
        </w:rPr>
        <w:t>29. R</w:t>
      </w:r>
      <w:r>
        <w:rPr>
          <w:spacing w:val="-4"/>
          <w:lang w:val="sq-AL"/>
        </w:rPr>
        <w:t xml:space="preserve">egjistri Elektronik i Ekspertëve parashikon sistemin e pikëzimit, ku palët e interesuara mund të vlerësojnë ekspertin në lidhje me ekspertizat e tij në të shkuarën. </w:t>
      </w:r>
    </w:p>
    <w:p w:rsidR="00FD58F8" w:rsidRDefault="00FD58F8" w:rsidP="00FD58F8">
      <w:pPr>
        <w:pStyle w:val="Paragrafi"/>
        <w:rPr>
          <w:rFonts w:eastAsia="Times New Roman"/>
          <w:spacing w:val="-4"/>
          <w:lang w:val="sq-AL"/>
        </w:rPr>
      </w:pPr>
      <w:r>
        <w:rPr>
          <w:spacing w:val="-4"/>
          <w:lang w:val="sq-AL"/>
        </w:rPr>
        <w:t>30. Sistemi i pikëzimit është i aksesueshëm në adresën zyrtare elektronike të Ministrisë së Drejtësisë</w:t>
      </w:r>
      <w:r>
        <w:rPr>
          <w:rFonts w:eastAsia="Times New Roman"/>
          <w:spacing w:val="-4"/>
          <w:lang w:val="sq-AL"/>
        </w:rPr>
        <w:t xml:space="preserve">. </w:t>
      </w:r>
    </w:p>
    <w:p w:rsidR="00FD58F8" w:rsidRDefault="00FD58F8" w:rsidP="00FD58F8">
      <w:pPr>
        <w:pStyle w:val="Paragrafi"/>
        <w:rPr>
          <w:rFonts w:eastAsia="Times New Roman"/>
          <w:spacing w:val="-4"/>
          <w:lang w:val="sq-AL"/>
        </w:rPr>
      </w:pPr>
      <w:r>
        <w:rPr>
          <w:spacing w:val="-4"/>
          <w:lang w:val="sq-AL"/>
        </w:rPr>
        <w:t>31</w:t>
      </w:r>
      <w:r>
        <w:rPr>
          <w:rFonts w:eastAsia="Times New Roman"/>
          <w:spacing w:val="-4"/>
          <w:lang w:val="sq-AL"/>
        </w:rPr>
        <w:t xml:space="preserve">. Palët e interesuara plotësojnë dhe dërgojnë </w:t>
      </w:r>
      <w:r>
        <w:rPr>
          <w:spacing w:val="-4"/>
          <w:lang w:val="sq-AL"/>
        </w:rPr>
        <w:t>formularin e vlerësimit, sipas modelit bashkëlidhur këtij udhëzimi,</w:t>
      </w:r>
      <w:r>
        <w:rPr>
          <w:rFonts w:eastAsia="Times New Roman"/>
          <w:spacing w:val="-4"/>
          <w:lang w:val="sq-AL"/>
        </w:rPr>
        <w:t xml:space="preserve"> me postë, pranë Ministrisë së Drejtësisë ose elektronikisht, në adresën: </w:t>
      </w:r>
      <w:hyperlink r:id="rId8" w:history="1">
        <w:r>
          <w:rPr>
            <w:rStyle w:val="Hyperlink"/>
            <w:rFonts w:eastAsia="Times New Roman"/>
            <w:spacing w:val="-4"/>
            <w:szCs w:val="24"/>
            <w:lang w:val="sq-AL"/>
          </w:rPr>
          <w:t>ekspertët@drejtesia.gov.al</w:t>
        </w:r>
      </w:hyperlink>
    </w:p>
    <w:p w:rsidR="00FD58F8" w:rsidRDefault="00FD58F8" w:rsidP="00FD58F8">
      <w:pPr>
        <w:pStyle w:val="Paragrafi"/>
        <w:rPr>
          <w:rFonts w:eastAsia="Times New Roman"/>
          <w:spacing w:val="-4"/>
          <w:lang w:val="sq-AL"/>
        </w:rPr>
      </w:pPr>
      <w:r>
        <w:rPr>
          <w:rFonts w:eastAsia="Times New Roman"/>
          <w:spacing w:val="-4"/>
          <w:lang w:val="sq-AL"/>
        </w:rPr>
        <w:t xml:space="preserve">32. Ministria e Drejtësisë harton të paktën 1 (një) herë në vit një raport analizë mbi të dhënat e sistemit të pikëzimit, duke evidentuar gjetjet dhe problematikat ndaj ekspertëve, bazuar në pikëzimet e bëra, si dhe duke rekomanduar adresimin e tyre. </w:t>
      </w:r>
    </w:p>
    <w:p w:rsidR="00FD58F8" w:rsidRDefault="00FD58F8" w:rsidP="00FD58F8">
      <w:pPr>
        <w:pStyle w:val="Paragrafi"/>
        <w:rPr>
          <w:rFonts w:eastAsia="Times New Roman"/>
          <w:b/>
          <w:spacing w:val="-4"/>
          <w:lang w:val="sq-AL"/>
        </w:rPr>
      </w:pPr>
      <w:r>
        <w:rPr>
          <w:rFonts w:eastAsia="Times New Roman"/>
          <w:b/>
          <w:spacing w:val="-4"/>
          <w:lang w:val="sq-AL"/>
        </w:rPr>
        <w:t>IX. Rregulla të fundit dhe tranzitore</w:t>
      </w:r>
    </w:p>
    <w:p w:rsidR="00FD58F8" w:rsidRDefault="00FD58F8" w:rsidP="00FD58F8">
      <w:pPr>
        <w:pStyle w:val="Paragrafi"/>
        <w:rPr>
          <w:rFonts w:eastAsia="Times New Roman"/>
          <w:spacing w:val="-4"/>
          <w:lang w:val="sq-AL"/>
        </w:rPr>
      </w:pPr>
      <w:r>
        <w:rPr>
          <w:rFonts w:eastAsia="Times New Roman"/>
          <w:spacing w:val="-4"/>
          <w:lang w:val="sq-AL"/>
        </w:rPr>
        <w:t>33. Ministri i Drejtësisë urdhëron ngritjen e një grupi pune, i cili do të kryejë shqyrtimin dhe verifikimin e plotësimit të kritereve ligjore të aplikimeve të paraqitura dhe të atyre që do të paraqiten pas publikimit të këtij udhëzimi. Grupi i punës mbështetet nga një sekretariat teknik, i cili administron aplikimet dhe kryen detyra të tjera për mbarëvajtjen administrative të procesit. Grupi i punës, së bashku me sekretariatin teknik, ndjekin procesin e përcaktuar në këtë udhëzim, për një afat 4 muaj nga hyrja në fuqi e këtij udhëzimi. Pas përfundimit të këtij afati, struktura përgjegjëse për shqyrtimin e aplikimeve dhe për zbatimin e këtij udhëzimi është Drejtoria e Përgjithshme Rregullatore për Çështjet e Drejtësisë.</w:t>
      </w:r>
    </w:p>
    <w:p w:rsidR="00FD58F8" w:rsidRDefault="00FD58F8" w:rsidP="00FD58F8">
      <w:pPr>
        <w:pStyle w:val="Paragrafi"/>
        <w:rPr>
          <w:rFonts w:eastAsia="Times New Roman"/>
          <w:spacing w:val="-4"/>
          <w:lang w:val="sq-AL"/>
        </w:rPr>
      </w:pPr>
      <w:r>
        <w:rPr>
          <w:rFonts w:eastAsia="Times New Roman"/>
          <w:spacing w:val="-4"/>
          <w:lang w:val="sq-AL"/>
        </w:rPr>
        <w:t xml:space="preserve">34. Ngarkohet Drejtoria e Përgjithshme Rregullatore për Çështjet e Drejtësisë për zbatimin e këtij udhëzimi. </w:t>
      </w:r>
    </w:p>
    <w:p w:rsidR="00FD58F8" w:rsidRDefault="00FD58F8" w:rsidP="00FD58F8">
      <w:pPr>
        <w:pStyle w:val="Paragrafi"/>
        <w:rPr>
          <w:rFonts w:eastAsia="Times New Roman"/>
          <w:spacing w:val="-4"/>
          <w:lang w:val="sq-AL"/>
        </w:rPr>
      </w:pPr>
      <w:r>
        <w:rPr>
          <w:rFonts w:eastAsia="Times New Roman"/>
          <w:spacing w:val="-4"/>
          <w:lang w:val="sq-AL"/>
        </w:rPr>
        <w:t>Ky udhëzim hyn në fuqi menjëherë dhe botohet në Fletoren Zyrtare.</w:t>
      </w:r>
    </w:p>
    <w:p w:rsidR="00FD58F8" w:rsidRDefault="00FD58F8" w:rsidP="00FD58F8">
      <w:pPr>
        <w:pStyle w:val="Paragrafi"/>
        <w:jc w:val="right"/>
        <w:rPr>
          <w:rFonts w:eastAsia="Times New Roman"/>
          <w:spacing w:val="-4"/>
          <w:sz w:val="14"/>
          <w:lang w:val="sq-AL"/>
        </w:rPr>
      </w:pPr>
    </w:p>
    <w:p w:rsidR="00FD58F8" w:rsidRDefault="00FD58F8" w:rsidP="00FD58F8">
      <w:pPr>
        <w:pStyle w:val="Paragrafi"/>
        <w:jc w:val="right"/>
        <w:rPr>
          <w:rFonts w:eastAsia="Times New Roman"/>
          <w:spacing w:val="-4"/>
          <w:lang w:val="sq-AL"/>
        </w:rPr>
      </w:pPr>
      <w:r>
        <w:rPr>
          <w:rFonts w:eastAsia="Times New Roman"/>
          <w:spacing w:val="-4"/>
          <w:lang w:val="sq-AL"/>
        </w:rPr>
        <w:t>MINISTRI I DREJTËSISË</w:t>
      </w:r>
    </w:p>
    <w:p w:rsidR="00FD58F8" w:rsidRDefault="00FD58F8" w:rsidP="00FD58F8">
      <w:pPr>
        <w:pStyle w:val="Paragrafi"/>
        <w:jc w:val="right"/>
        <w:rPr>
          <w:rFonts w:eastAsia="Times New Roman"/>
          <w:b/>
          <w:spacing w:val="-4"/>
          <w:lang w:val="sq-AL"/>
        </w:rPr>
      </w:pPr>
      <w:r>
        <w:rPr>
          <w:rFonts w:eastAsia="Times New Roman"/>
          <w:b/>
          <w:spacing w:val="-4"/>
          <w:lang w:val="sq-AL"/>
        </w:rPr>
        <w:t>Etilda Gjonaj (Saliu)</w:t>
      </w:r>
    </w:p>
    <w:p w:rsidR="00FD58F8" w:rsidRDefault="00FD58F8" w:rsidP="00FD58F8">
      <w:pPr>
        <w:spacing w:after="0" w:line="240" w:lineRule="auto"/>
        <w:ind w:firstLine="0"/>
        <w:jc w:val="left"/>
        <w:rPr>
          <w:rFonts w:ascii="Garamond" w:eastAsia="Times New Roman" w:hAnsi="Garamond" w:cs="CG Times"/>
          <w:b/>
          <w:spacing w:val="-4"/>
          <w:sz w:val="14"/>
          <w:lang w:val="sq-AL"/>
        </w:rPr>
        <w:sectPr w:rsidR="00FD58F8" w:rsidSect="00FD58F8">
          <w:pgSz w:w="11907" w:h="16840"/>
          <w:pgMar w:top="720" w:right="1134" w:bottom="720" w:left="1134" w:header="851" w:footer="851" w:gutter="0"/>
          <w:pgNumType w:start="10473"/>
          <w:cols w:space="454"/>
        </w:sectPr>
      </w:pPr>
    </w:p>
    <w:p w:rsidR="00FD58F8" w:rsidRDefault="00FD58F8" w:rsidP="00FD58F8">
      <w:pPr>
        <w:pStyle w:val="Paragrafi"/>
        <w:ind w:firstLine="0"/>
        <w:jc w:val="center"/>
        <w:rPr>
          <w:rFonts w:eastAsia="Times New Roman"/>
          <w:b/>
          <w:spacing w:val="-4"/>
          <w:lang w:val="sq-AL"/>
        </w:rPr>
      </w:pPr>
      <w:r>
        <w:rPr>
          <w:noProof/>
        </w:rPr>
        <w:lastRenderedPageBreak/>
        <w:drawing>
          <wp:inline distT="0" distB="0" distL="0" distR="0" wp14:anchorId="72EF0237" wp14:editId="5634DE2E">
            <wp:extent cx="5648325" cy="57626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l="13062" t="26041" r="52686" b="8403"/>
                    <a:stretch>
                      <a:fillRect/>
                    </a:stretch>
                  </pic:blipFill>
                  <pic:spPr bwMode="auto">
                    <a:xfrm>
                      <a:off x="0" y="0"/>
                      <a:ext cx="5648325" cy="5762625"/>
                    </a:xfrm>
                    <a:prstGeom prst="rect">
                      <a:avLst/>
                    </a:prstGeom>
                    <a:noFill/>
                    <a:ln>
                      <a:noFill/>
                    </a:ln>
                  </pic:spPr>
                </pic:pic>
              </a:graphicData>
            </a:graphic>
          </wp:inline>
        </w:drawing>
      </w:r>
    </w:p>
    <w:p w:rsidR="00FD58F8" w:rsidRDefault="00FD58F8" w:rsidP="00FD58F8">
      <w:pPr>
        <w:pStyle w:val="Paragrafi"/>
        <w:ind w:firstLine="0"/>
        <w:jc w:val="center"/>
        <w:rPr>
          <w:rFonts w:eastAsia="Times New Roman"/>
          <w:b/>
          <w:spacing w:val="-4"/>
          <w:lang w:val="sq-AL"/>
        </w:rPr>
      </w:pPr>
      <w:r>
        <w:rPr>
          <w:noProof/>
        </w:rPr>
        <w:drawing>
          <wp:inline distT="0" distB="0" distL="0" distR="0" wp14:anchorId="453C819F" wp14:editId="3D4594B7">
            <wp:extent cx="5762625" cy="5505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l="52353" t="19827" r="12515" b="20601"/>
                    <a:stretch>
                      <a:fillRect/>
                    </a:stretch>
                  </pic:blipFill>
                  <pic:spPr bwMode="auto">
                    <a:xfrm>
                      <a:off x="0" y="0"/>
                      <a:ext cx="5762625" cy="5505450"/>
                    </a:xfrm>
                    <a:prstGeom prst="rect">
                      <a:avLst/>
                    </a:prstGeom>
                    <a:noFill/>
                    <a:ln>
                      <a:noFill/>
                    </a:ln>
                  </pic:spPr>
                </pic:pic>
              </a:graphicData>
            </a:graphic>
          </wp:inline>
        </w:drawing>
      </w:r>
    </w:p>
    <w:p w:rsidR="00FD58F8" w:rsidRDefault="00FD58F8" w:rsidP="00FD58F8">
      <w:pPr>
        <w:pStyle w:val="Paragrafi"/>
        <w:jc w:val="right"/>
        <w:rPr>
          <w:rFonts w:eastAsia="Times New Roman"/>
          <w:b/>
          <w:spacing w:val="-4"/>
          <w:lang w:val="sq-AL"/>
        </w:rPr>
      </w:pPr>
    </w:p>
    <w:p w:rsidR="00FD58F8" w:rsidRDefault="00FD58F8" w:rsidP="00FD58F8">
      <w:pPr>
        <w:pStyle w:val="Paragrafi"/>
        <w:jc w:val="right"/>
        <w:rPr>
          <w:rFonts w:eastAsia="Times New Roman"/>
          <w:b/>
          <w:spacing w:val="-4"/>
          <w:lang w:val="sq-AL"/>
        </w:rPr>
      </w:pPr>
    </w:p>
    <w:p w:rsidR="00FD58F8" w:rsidRDefault="00FD58F8" w:rsidP="00FD58F8">
      <w:pPr>
        <w:spacing w:after="0" w:line="240" w:lineRule="auto"/>
        <w:ind w:firstLine="0"/>
        <w:jc w:val="center"/>
        <w:rPr>
          <w:lang w:val="sq-AL"/>
        </w:rPr>
      </w:pPr>
      <w:r>
        <w:rPr>
          <w:noProof/>
        </w:rPr>
        <w:drawing>
          <wp:inline distT="0" distB="0" distL="0" distR="0" wp14:anchorId="31671629" wp14:editId="5AC9E907">
            <wp:extent cx="6296025" cy="7734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6025" cy="7734300"/>
                    </a:xfrm>
                    <a:prstGeom prst="rect">
                      <a:avLst/>
                    </a:prstGeom>
                    <a:noFill/>
                    <a:ln>
                      <a:noFill/>
                    </a:ln>
                  </pic:spPr>
                </pic:pic>
              </a:graphicData>
            </a:graphic>
          </wp:inline>
        </w:drawing>
      </w:r>
    </w:p>
    <w:p w:rsidR="00FD58F8" w:rsidRDefault="00FD58F8" w:rsidP="00FD58F8">
      <w:pPr>
        <w:pStyle w:val="NeniTitull"/>
        <w:keepNext w:val="0"/>
        <w:rPr>
          <w:spacing w:val="-4"/>
          <w:lang w:val="sq-AL"/>
        </w:rPr>
      </w:pPr>
    </w:p>
    <w:p w:rsidR="00FD58F8" w:rsidRDefault="00FD58F8" w:rsidP="00FD58F8">
      <w:pPr>
        <w:pStyle w:val="NeniTitull"/>
        <w:keepNext w:val="0"/>
        <w:rPr>
          <w:spacing w:val="-4"/>
          <w:lang w:val="sq-AL"/>
        </w:rPr>
      </w:pPr>
    </w:p>
    <w:p w:rsidR="00FD58F8" w:rsidRDefault="00FD58F8" w:rsidP="00FD58F8">
      <w:pPr>
        <w:pStyle w:val="NeniTitull"/>
        <w:keepNext w:val="0"/>
        <w:rPr>
          <w:spacing w:val="-4"/>
          <w:lang w:val="sq-AL"/>
        </w:rPr>
      </w:pPr>
    </w:p>
    <w:p w:rsidR="00FD58F8" w:rsidRDefault="00FD58F8" w:rsidP="00FD58F8">
      <w:pPr>
        <w:pStyle w:val="NeniTitull"/>
        <w:keepNext w:val="0"/>
        <w:rPr>
          <w:spacing w:val="-4"/>
          <w:lang w:val="sq-AL"/>
        </w:rPr>
      </w:pPr>
    </w:p>
    <w:p w:rsidR="00FD58F8" w:rsidRDefault="00FD58F8" w:rsidP="00FD58F8">
      <w:pPr>
        <w:pStyle w:val="NeniTitull"/>
        <w:keepNext w:val="0"/>
        <w:rPr>
          <w:spacing w:val="-4"/>
          <w:lang w:val="sq-AL"/>
        </w:rPr>
      </w:pPr>
    </w:p>
    <w:p w:rsidR="00FD58F8" w:rsidRDefault="00FD58F8" w:rsidP="00FD58F8">
      <w:pPr>
        <w:pStyle w:val="NeniTitull"/>
        <w:keepNext w:val="0"/>
        <w:rPr>
          <w:spacing w:val="-4"/>
          <w:lang w:val="sq-AL"/>
        </w:rPr>
      </w:pPr>
      <w:r>
        <w:rPr>
          <w:noProof/>
          <w:lang w:val="en-US"/>
        </w:rPr>
        <w:drawing>
          <wp:inline distT="0" distB="0" distL="0" distR="0" wp14:anchorId="0EFD8BFC" wp14:editId="2FEFFF3D">
            <wp:extent cx="6124575" cy="835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4575" cy="8353425"/>
                    </a:xfrm>
                    <a:prstGeom prst="rect">
                      <a:avLst/>
                    </a:prstGeom>
                    <a:noFill/>
                    <a:ln>
                      <a:noFill/>
                    </a:ln>
                  </pic:spPr>
                </pic:pic>
              </a:graphicData>
            </a:graphic>
          </wp:inline>
        </w:drawing>
      </w:r>
    </w:p>
    <w:p w:rsidR="00FD58F8" w:rsidRDefault="00FD58F8" w:rsidP="00FD58F8">
      <w:pPr>
        <w:spacing w:after="0"/>
        <w:ind w:firstLine="0"/>
        <w:jc w:val="left"/>
        <w:rPr>
          <w:lang w:val="sq-AL"/>
        </w:rPr>
        <w:sectPr w:rsidR="00FD58F8" w:rsidSect="00FD58F8">
          <w:type w:val="continuous"/>
          <w:pgSz w:w="11907" w:h="16840"/>
          <w:pgMar w:top="720" w:right="1134" w:bottom="720" w:left="1134" w:header="851" w:footer="851" w:gutter="0"/>
          <w:cols w:space="720"/>
        </w:sectPr>
      </w:pPr>
    </w:p>
    <w:tbl>
      <w:tblPr>
        <w:tblW w:w="5000" w:type="pct"/>
        <w:jc w:val="center"/>
        <w:tblLook w:val="04A0" w:firstRow="1" w:lastRow="0" w:firstColumn="1" w:lastColumn="0" w:noHBand="0" w:noVBand="1"/>
      </w:tblPr>
      <w:tblGrid>
        <w:gridCol w:w="1377"/>
        <w:gridCol w:w="825"/>
        <w:gridCol w:w="834"/>
        <w:gridCol w:w="822"/>
        <w:gridCol w:w="1353"/>
        <w:gridCol w:w="1132"/>
        <w:gridCol w:w="1238"/>
        <w:gridCol w:w="1076"/>
        <w:gridCol w:w="1335"/>
        <w:gridCol w:w="1032"/>
        <w:gridCol w:w="1447"/>
        <w:gridCol w:w="1153"/>
        <w:gridCol w:w="1104"/>
        <w:gridCol w:w="888"/>
      </w:tblGrid>
      <w:tr w:rsidR="00FD58F8" w:rsidTr="00FD58F8">
        <w:trPr>
          <w:trHeight w:val="184"/>
          <w:jc w:val="center"/>
        </w:trPr>
        <w:tc>
          <w:tcPr>
            <w:tcW w:w="442"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Cilësia e palës në proces</w:t>
            </w:r>
          </w:p>
        </w:tc>
        <w:tc>
          <w:tcPr>
            <w:tcW w:w="796" w:type="pct"/>
            <w:gridSpan w:val="3"/>
            <w:vMerge w:val="restart"/>
            <w:tcBorders>
              <w:top w:val="single" w:sz="8" w:space="0" w:color="auto"/>
              <w:left w:val="single" w:sz="8" w:space="0" w:color="auto"/>
              <w:bottom w:val="single" w:sz="8" w:space="0" w:color="000000"/>
              <w:right w:val="single" w:sz="8" w:space="0" w:color="000000"/>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Të dhënat e palës në proces</w:t>
            </w:r>
          </w:p>
        </w:tc>
        <w:tc>
          <w:tcPr>
            <w:tcW w:w="434"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Pozicioni procedural</w:t>
            </w:r>
          </w:p>
        </w:tc>
        <w:tc>
          <w:tcPr>
            <w:tcW w:w="363"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Gjykata pranë së cilës eksperti ka dhënë ekspertizën</w:t>
            </w:r>
          </w:p>
        </w:tc>
        <w:tc>
          <w:tcPr>
            <w:tcW w:w="397"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Natyra e çështjes gjyqësore për të cilën eksperti ka dhënë ekspertizën</w:t>
            </w:r>
          </w:p>
        </w:tc>
        <w:tc>
          <w:tcPr>
            <w:tcW w:w="345"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Të dhënat e çështjes</w:t>
            </w:r>
          </w:p>
        </w:tc>
        <w:tc>
          <w:tcPr>
            <w:tcW w:w="428"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Të dhënat e vendimit gjyqësor</w:t>
            </w:r>
          </w:p>
        </w:tc>
        <w:tc>
          <w:tcPr>
            <w:tcW w:w="331"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Vlerësimi i aktit të ekspertimit</w:t>
            </w:r>
          </w:p>
        </w:tc>
        <w:tc>
          <w:tcPr>
            <w:tcW w:w="459"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Vlerësimi i disponueshmërisë së ekspertit</w:t>
            </w:r>
          </w:p>
        </w:tc>
        <w:tc>
          <w:tcPr>
            <w:tcW w:w="365"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Vlerësimi i paanshmërisë e ekspertit</w:t>
            </w:r>
          </w:p>
        </w:tc>
        <w:tc>
          <w:tcPr>
            <w:tcW w:w="354"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Vlerësimi i komunikimit  dhe i etikës së ekspertit</w:t>
            </w:r>
          </w:p>
        </w:tc>
        <w:tc>
          <w:tcPr>
            <w:tcW w:w="286" w:type="pct"/>
            <w:vMerge w:val="restart"/>
            <w:tcBorders>
              <w:top w:val="single" w:sz="8" w:space="0" w:color="auto"/>
              <w:left w:val="single" w:sz="8" w:space="0" w:color="auto"/>
              <w:bottom w:val="nil"/>
              <w:right w:val="single" w:sz="8" w:space="0" w:color="auto"/>
            </w:tcBorders>
            <w:shd w:val="clear" w:color="auto" w:fill="8497B0"/>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Total i vlerësimit</w:t>
            </w:r>
          </w:p>
        </w:tc>
      </w:tr>
      <w:tr w:rsidR="00FD58F8" w:rsidTr="00FD58F8">
        <w:trPr>
          <w:trHeight w:val="184"/>
          <w:jc w:val="center"/>
        </w:trPr>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r>
      <w:tr w:rsidR="00FD58F8" w:rsidTr="00FD58F8">
        <w:trPr>
          <w:trHeight w:val="139"/>
          <w:jc w:val="center"/>
        </w:trPr>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265" w:type="pct"/>
            <w:tcBorders>
              <w:top w:val="nil"/>
              <w:left w:val="nil"/>
              <w:bottom w:val="nil"/>
              <w:right w:val="single" w:sz="4" w:space="0" w:color="auto"/>
            </w:tcBorders>
            <w:shd w:val="clear" w:color="auto" w:fill="ACB9CA"/>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Emri</w:t>
            </w:r>
          </w:p>
        </w:tc>
        <w:tc>
          <w:tcPr>
            <w:tcW w:w="268" w:type="pct"/>
            <w:tcBorders>
              <w:top w:val="nil"/>
              <w:left w:val="nil"/>
              <w:bottom w:val="nil"/>
              <w:right w:val="single" w:sz="4" w:space="0" w:color="auto"/>
            </w:tcBorders>
            <w:shd w:val="clear" w:color="auto" w:fill="ACB9CA"/>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Mbiemri</w:t>
            </w:r>
          </w:p>
        </w:tc>
        <w:tc>
          <w:tcPr>
            <w:tcW w:w="264" w:type="pct"/>
            <w:tcBorders>
              <w:top w:val="nil"/>
              <w:left w:val="nil"/>
              <w:bottom w:val="nil"/>
              <w:right w:val="single" w:sz="8" w:space="0" w:color="auto"/>
            </w:tcBorders>
            <w:shd w:val="clear" w:color="auto" w:fill="ACB9CA"/>
            <w:vAlign w:val="center"/>
            <w:hideMark/>
          </w:tcPr>
          <w:p w:rsidR="00FD58F8" w:rsidRDefault="00FD58F8">
            <w:pPr>
              <w:spacing w:after="0" w:line="240" w:lineRule="auto"/>
              <w:ind w:firstLine="0"/>
              <w:jc w:val="center"/>
              <w:rPr>
                <w:rFonts w:ascii="Garamond" w:eastAsia="Times New Roman" w:hAnsi="Garamond"/>
                <w:b/>
                <w:bCs/>
                <w:color w:val="FFFFFF"/>
                <w:sz w:val="16"/>
                <w:szCs w:val="16"/>
                <w:lang w:val="sq-AL" w:eastAsia="sq-AL"/>
              </w:rPr>
            </w:pPr>
            <w:r>
              <w:rPr>
                <w:rFonts w:ascii="Garamond" w:eastAsia="Times New Roman" w:hAnsi="Garamond"/>
                <w:b/>
                <w:bCs/>
                <w:color w:val="FFFFFF"/>
                <w:sz w:val="16"/>
                <w:szCs w:val="16"/>
                <w:lang w:val="sq-AL" w:eastAsia="sq-AL"/>
              </w:rPr>
              <w:t>ID</w:t>
            </w: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c>
          <w:tcPr>
            <w:tcW w:w="0" w:type="auto"/>
            <w:vMerge/>
            <w:tcBorders>
              <w:top w:val="single" w:sz="8" w:space="0" w:color="auto"/>
              <w:left w:val="single" w:sz="8" w:space="0" w:color="auto"/>
              <w:bottom w:val="nil"/>
              <w:right w:val="single" w:sz="8" w:space="0" w:color="auto"/>
            </w:tcBorders>
            <w:vAlign w:val="center"/>
            <w:hideMark/>
          </w:tcPr>
          <w:p w:rsidR="00FD58F8" w:rsidRDefault="00FD58F8">
            <w:pPr>
              <w:spacing w:after="0" w:line="240" w:lineRule="auto"/>
              <w:ind w:firstLine="0"/>
              <w:jc w:val="left"/>
              <w:rPr>
                <w:rFonts w:ascii="Garamond" w:eastAsia="Times New Roman" w:hAnsi="Garamond"/>
                <w:b/>
                <w:bCs/>
                <w:color w:val="FFFFFF"/>
                <w:sz w:val="16"/>
                <w:szCs w:val="16"/>
                <w:lang w:val="sq-AL" w:eastAsia="sq-AL"/>
              </w:rPr>
            </w:pPr>
          </w:p>
        </w:tc>
      </w:tr>
      <w:tr w:rsidR="00FD58F8" w:rsidTr="00FD58F8">
        <w:trPr>
          <w:trHeight w:val="139"/>
          <w:jc w:val="center"/>
        </w:trPr>
        <w:tc>
          <w:tcPr>
            <w:tcW w:w="442" w:type="pct"/>
            <w:tcBorders>
              <w:top w:val="single" w:sz="4" w:space="0" w:color="auto"/>
              <w:left w:val="single" w:sz="8" w:space="0" w:color="auto"/>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265"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268"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264"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434"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363"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397"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345"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428"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331"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459"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365"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354"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c>
          <w:tcPr>
            <w:tcW w:w="286" w:type="pct"/>
            <w:tcBorders>
              <w:top w:val="single" w:sz="4" w:space="0" w:color="auto"/>
              <w:left w:val="nil"/>
              <w:bottom w:val="single" w:sz="4" w:space="0" w:color="auto"/>
              <w:right w:val="single" w:sz="4" w:space="0" w:color="auto"/>
            </w:tcBorders>
            <w:vAlign w:val="center"/>
            <w:hideMark/>
          </w:tcPr>
          <w:p w:rsidR="00FD58F8" w:rsidRDefault="00FD58F8">
            <w:pPr>
              <w:spacing w:after="0"/>
              <w:ind w:firstLine="0"/>
              <w:jc w:val="left"/>
              <w:rPr>
                <w:rFonts w:asciiTheme="minorHAnsi" w:eastAsiaTheme="minorHAnsi" w:hAnsiTheme="minorHAnsi" w:cstheme="minorBidi"/>
              </w:rPr>
            </w:pPr>
          </w:p>
        </w:tc>
      </w:tr>
      <w:tr w:rsidR="00FD58F8" w:rsidTr="00FD58F8">
        <w:trPr>
          <w:trHeight w:val="139"/>
          <w:jc w:val="center"/>
        </w:trPr>
        <w:tc>
          <w:tcPr>
            <w:tcW w:w="442" w:type="pct"/>
            <w:tcBorders>
              <w:top w:val="nil"/>
              <w:left w:val="single" w:sz="8"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8"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8"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8"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8"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8"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8"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8"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r w:rsidR="00FD58F8" w:rsidTr="00FD58F8">
        <w:trPr>
          <w:trHeight w:val="139"/>
          <w:jc w:val="center"/>
        </w:trPr>
        <w:tc>
          <w:tcPr>
            <w:tcW w:w="442" w:type="pct"/>
            <w:tcBorders>
              <w:top w:val="nil"/>
              <w:left w:val="single" w:sz="4" w:space="0" w:color="auto"/>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3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3"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97"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28"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31"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459"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65"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4" w:type="pct"/>
            <w:tcBorders>
              <w:top w:val="nil"/>
              <w:left w:val="nil"/>
              <w:bottom w:val="single" w:sz="4" w:space="0" w:color="auto"/>
              <w:right w:val="single" w:sz="4" w:space="0" w:color="auto"/>
            </w:tcBorders>
            <w:hideMark/>
          </w:tcPr>
          <w:p w:rsidR="00FD58F8" w:rsidRDefault="00FD58F8">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86" w:type="pct"/>
            <w:tcBorders>
              <w:top w:val="nil"/>
              <w:left w:val="nil"/>
              <w:bottom w:val="single" w:sz="4" w:space="0" w:color="auto"/>
              <w:right w:val="single" w:sz="4" w:space="0" w:color="auto"/>
            </w:tcBorders>
            <w:hideMark/>
          </w:tcPr>
          <w:p w:rsidR="00FD58F8" w:rsidRDefault="00FD58F8">
            <w:pPr>
              <w:spacing w:after="0" w:line="240" w:lineRule="auto"/>
              <w:ind w:firstLine="0"/>
              <w:jc w:val="righ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0</w:t>
            </w:r>
          </w:p>
        </w:tc>
      </w:tr>
    </w:tbl>
    <w:p w:rsidR="00FD58F8" w:rsidRDefault="00FD58F8" w:rsidP="00FD58F8">
      <w:pPr>
        <w:spacing w:after="0"/>
        <w:ind w:firstLine="0"/>
        <w:jc w:val="left"/>
        <w:rPr>
          <w:lang w:val="sq-AL"/>
        </w:rPr>
        <w:sectPr w:rsidR="00FD58F8" w:rsidSect="00FD58F8">
          <w:pgSz w:w="16840" w:h="11907" w:orient="landscape"/>
          <w:pgMar w:top="1134" w:right="720" w:bottom="1134" w:left="720" w:header="851" w:footer="851" w:gutter="0"/>
          <w:cols w:space="720"/>
        </w:sectPr>
      </w:pPr>
    </w:p>
    <w:p w:rsidR="00210FBD" w:rsidRPr="00FD58F8" w:rsidRDefault="00210FBD" w:rsidP="00F05D15">
      <w:bookmarkStart w:id="0" w:name="_GoBack"/>
      <w:bookmarkEnd w:id="0"/>
    </w:p>
    <w:sectPr w:rsidR="00210FBD" w:rsidRPr="00FD58F8" w:rsidSect="00FD58F8">
      <w:headerReference w:type="even"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8F8" w:rsidRDefault="00FD58F8" w:rsidP="00751074">
      <w:pPr>
        <w:spacing w:after="0" w:line="240" w:lineRule="auto"/>
      </w:pPr>
      <w:r>
        <w:separator/>
      </w:r>
    </w:p>
  </w:endnote>
  <w:endnote w:type="continuationSeparator" w:id="0">
    <w:p w:rsidR="00FD58F8" w:rsidRDefault="00FD58F8" w:rsidP="00751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0508258"/>
      <w:docPartObj>
        <w:docPartGallery w:val="Page Numbers (Bottom of Page)"/>
        <w:docPartUnique/>
      </w:docPartObj>
    </w:sdtPr>
    <w:sdtEndPr>
      <w:rPr>
        <w:rFonts w:ascii="Garamond" w:hAnsi="Garamond"/>
        <w:noProof/>
        <w:sz w:val="24"/>
        <w:szCs w:val="24"/>
      </w:rPr>
    </w:sdtEndPr>
    <w:sdtContent>
      <w:p w:rsidR="00FD58F8" w:rsidRPr="00B4283E" w:rsidRDefault="00FD58F8" w:rsidP="00FD58F8">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10492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8F8" w:rsidRPr="005B4361" w:rsidRDefault="00FD58F8" w:rsidP="00FD58F8">
    <w:pPr>
      <w:pStyle w:val="Footer"/>
      <w:ind w:firstLine="0"/>
      <w:jc w:val="right"/>
      <w:rPr>
        <w:rFonts w:ascii="Garamond" w:hAnsi="Garamond"/>
        <w:sz w:val="24"/>
        <w:szCs w:val="24"/>
      </w:rPr>
    </w:pPr>
  </w:p>
  <w:p w:rsidR="00FD58F8" w:rsidRDefault="00FD58F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35588658"/>
      <w:docPartObj>
        <w:docPartGallery w:val="Page Numbers (Bottom of Page)"/>
        <w:docPartUnique/>
      </w:docPartObj>
    </w:sdtPr>
    <w:sdtEndPr>
      <w:rPr>
        <w:noProof/>
        <w:sz w:val="24"/>
        <w:szCs w:val="24"/>
      </w:rPr>
    </w:sdtEndPr>
    <w:sdtContent>
      <w:p w:rsidR="00FD58F8" w:rsidRPr="00833610" w:rsidRDefault="00FD58F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D58F8" w:rsidRDefault="00FD58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8F8" w:rsidRDefault="00FD58F8" w:rsidP="00751074">
      <w:pPr>
        <w:spacing w:after="0" w:line="240" w:lineRule="auto"/>
      </w:pPr>
      <w:r>
        <w:separator/>
      </w:r>
    </w:p>
  </w:footnote>
  <w:footnote w:type="continuationSeparator" w:id="0">
    <w:p w:rsidR="00FD58F8" w:rsidRDefault="00FD58F8" w:rsidP="007510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66"/>
      <w:gridCol w:w="3748"/>
      <w:gridCol w:w="3162"/>
    </w:tblGrid>
    <w:tr w:rsidR="00FD58F8" w:rsidRPr="00EB260B" w:rsidTr="00FD58F8">
      <w:trPr>
        <w:trHeight w:val="936"/>
        <w:jc w:val="center"/>
      </w:trPr>
      <w:tc>
        <w:tcPr>
          <w:tcW w:w="1392" w:type="pct"/>
          <w:shd w:val="pct5" w:color="auto" w:fill="F2F2F2"/>
          <w:vAlign w:val="center"/>
        </w:tcPr>
        <w:p w:rsidR="00FD58F8" w:rsidRPr="00EB260B" w:rsidRDefault="00FD58F8" w:rsidP="00FD58F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D58F8" w:rsidRPr="00EB260B" w:rsidRDefault="00FD58F8" w:rsidP="00FD58F8">
          <w:pPr>
            <w:pStyle w:val="NoSpacing"/>
            <w:spacing w:before="100" w:after="100"/>
            <w:jc w:val="center"/>
            <w:rPr>
              <w:rFonts w:ascii="Garamond" w:hAnsi="Garamond"/>
              <w:b/>
              <w:sz w:val="28"/>
              <w:szCs w:val="28"/>
            </w:rPr>
          </w:pPr>
          <w:r>
            <w:rPr>
              <w:noProof/>
              <w:lang w:val="en-US"/>
            </w:rPr>
            <w:drawing>
              <wp:inline distT="0" distB="0" distL="0" distR="0" wp14:anchorId="6BF7E953" wp14:editId="20BEF92F">
                <wp:extent cx="304524" cy="427512"/>
                <wp:effectExtent l="0" t="0" r="635" b="0"/>
                <wp:docPr id="12" name="Picture 1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D58F8" w:rsidRPr="00EB260B" w:rsidRDefault="00FD58F8" w:rsidP="00FD58F8">
          <w:pPr>
            <w:pStyle w:val="NoSpacing"/>
            <w:spacing w:before="100" w:after="100"/>
            <w:jc w:val="center"/>
            <w:rPr>
              <w:rFonts w:ascii="Garamond" w:hAnsi="Garamond"/>
              <w:b/>
              <w:sz w:val="28"/>
              <w:szCs w:val="28"/>
            </w:rPr>
          </w:pPr>
          <w:r>
            <w:rPr>
              <w:rFonts w:ascii="Garamond" w:hAnsi="Garamond"/>
              <w:b/>
              <w:sz w:val="28"/>
              <w:szCs w:val="28"/>
            </w:rPr>
            <w:t xml:space="preserve"> Viti 2018 – Numri 160</w:t>
          </w:r>
        </w:p>
      </w:tc>
    </w:tr>
  </w:tbl>
  <w:p w:rsidR="00FD58F8" w:rsidRPr="00385E2C" w:rsidRDefault="00FD58F8" w:rsidP="00FD58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8F8" w:rsidRDefault="00FD58F8" w:rsidP="00FD58F8">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638"/>
    <w:rsid w:val="00210FBD"/>
    <w:rsid w:val="00695D1C"/>
    <w:rsid w:val="00751074"/>
    <w:rsid w:val="00BB4638"/>
    <w:rsid w:val="00F05D15"/>
    <w:rsid w:val="00FD5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2369EF-31EE-4227-810C-14C7527E0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074"/>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751074"/>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751074"/>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751074"/>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751074"/>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751074"/>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751074"/>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751074"/>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751074"/>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751074"/>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75107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751074"/>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75107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75107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75107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751074"/>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751074"/>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7510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751074"/>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75107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51074"/>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751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51074"/>
    <w:rPr>
      <w:rFonts w:ascii="Tahoma" w:eastAsia="Calibri" w:hAnsi="Tahoma" w:cs="Tahoma"/>
      <w:sz w:val="16"/>
      <w:szCs w:val="16"/>
    </w:rPr>
  </w:style>
  <w:style w:type="paragraph" w:styleId="Header">
    <w:name w:val="header"/>
    <w:basedOn w:val="Normal"/>
    <w:link w:val="HeaderChar"/>
    <w:uiPriority w:val="99"/>
    <w:unhideWhenUsed/>
    <w:rsid w:val="00751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074"/>
    <w:rPr>
      <w:rFonts w:ascii="Calibri" w:eastAsia="Calibri" w:hAnsi="Calibri" w:cs="Times New Roman"/>
    </w:rPr>
  </w:style>
  <w:style w:type="paragraph" w:styleId="Footer">
    <w:name w:val="footer"/>
    <w:basedOn w:val="Normal"/>
    <w:link w:val="FooterChar"/>
    <w:unhideWhenUsed/>
    <w:rsid w:val="00751074"/>
    <w:pPr>
      <w:tabs>
        <w:tab w:val="center" w:pos="4680"/>
        <w:tab w:val="right" w:pos="9360"/>
      </w:tabs>
      <w:spacing w:after="0" w:line="240" w:lineRule="auto"/>
    </w:pPr>
  </w:style>
  <w:style w:type="character" w:customStyle="1" w:styleId="FooterChar">
    <w:name w:val="Footer Char"/>
    <w:basedOn w:val="DefaultParagraphFont"/>
    <w:link w:val="Footer"/>
    <w:rsid w:val="00751074"/>
    <w:rPr>
      <w:rFonts w:ascii="Calibri" w:eastAsia="Calibri" w:hAnsi="Calibri" w:cs="Times New Roman"/>
    </w:rPr>
  </w:style>
  <w:style w:type="paragraph" w:customStyle="1" w:styleId="Akti">
    <w:name w:val="Akti"/>
    <w:link w:val="AktiChar"/>
    <w:rsid w:val="0075107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5107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51074"/>
    <w:rPr>
      <w:rFonts w:ascii="Garamond" w:eastAsia="MS Mincho" w:hAnsi="Garamond" w:cs="CG Times"/>
      <w:b/>
      <w:bCs/>
      <w:sz w:val="24"/>
      <w:lang w:val="en-GB"/>
    </w:rPr>
  </w:style>
  <w:style w:type="paragraph" w:customStyle="1" w:styleId="Paragrafi">
    <w:name w:val="Paragrafi"/>
    <w:link w:val="ParagrafiChar"/>
    <w:rsid w:val="0075107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51074"/>
    <w:rPr>
      <w:rFonts w:ascii="Garamond" w:eastAsia="MS Mincho" w:hAnsi="Garamond" w:cs="CG Times"/>
      <w:sz w:val="24"/>
    </w:rPr>
  </w:style>
  <w:style w:type="paragraph" w:customStyle="1" w:styleId="Titulli">
    <w:name w:val="Titulli"/>
    <w:next w:val="Normal"/>
    <w:link w:val="TitulliChar"/>
    <w:rsid w:val="0075107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51074"/>
    <w:rPr>
      <w:rFonts w:ascii="Garamond" w:eastAsia="MS Mincho" w:hAnsi="Garamond" w:cs="CG Times"/>
      <w:b/>
      <w:bCs/>
      <w:caps/>
      <w:sz w:val="24"/>
      <w:lang w:val="en-GB"/>
    </w:rPr>
  </w:style>
  <w:style w:type="character" w:customStyle="1" w:styleId="AktiChar">
    <w:name w:val="Akti Char"/>
    <w:basedOn w:val="DefaultParagraphFont"/>
    <w:link w:val="Akti"/>
    <w:rsid w:val="00751074"/>
    <w:rPr>
      <w:rFonts w:ascii="Garamond" w:eastAsia="MS Mincho" w:hAnsi="Garamond" w:cs="CG Times"/>
      <w:b/>
      <w:bCs/>
      <w:caps/>
      <w:color w:val="000000"/>
      <w:sz w:val="24"/>
      <w:lang w:val="en-GB"/>
    </w:rPr>
  </w:style>
  <w:style w:type="paragraph" w:customStyle="1" w:styleId="NeniNr">
    <w:name w:val="Neni_Nr"/>
    <w:next w:val="Normal"/>
    <w:link w:val="NeniNrChar"/>
    <w:rsid w:val="0075107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75107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51074"/>
    <w:rPr>
      <w:rFonts w:ascii="Garamond" w:eastAsia="MS Mincho" w:hAnsi="Garamond" w:cs="CG Times"/>
      <w:sz w:val="24"/>
      <w:lang w:val="en-GB"/>
    </w:rPr>
  </w:style>
  <w:style w:type="paragraph" w:customStyle="1" w:styleId="Autoriteti">
    <w:name w:val="Autoriteti"/>
    <w:next w:val="Normal"/>
    <w:link w:val="AutoritetiChar"/>
    <w:rsid w:val="0075107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5107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51074"/>
    <w:rPr>
      <w:rFonts w:ascii="Garamond" w:eastAsia="MS Mincho" w:hAnsi="Garamond" w:cs="CG Times"/>
      <w:caps/>
      <w:sz w:val="24"/>
      <w:lang w:val="en-GB"/>
    </w:rPr>
  </w:style>
  <w:style w:type="character" w:customStyle="1" w:styleId="AutoritetiEmerChar">
    <w:name w:val="Autoriteti_Emer Char"/>
    <w:link w:val="AutoritetiEmer"/>
    <w:locked/>
    <w:rsid w:val="00751074"/>
    <w:rPr>
      <w:rFonts w:ascii="Garamond" w:eastAsia="MS Mincho" w:hAnsi="Garamond" w:cs="Times New Roman"/>
      <w:b/>
      <w:bCs/>
      <w:sz w:val="24"/>
      <w:lang w:val="en-GB"/>
    </w:rPr>
  </w:style>
  <w:style w:type="paragraph" w:customStyle="1" w:styleId="Titull-Titull">
    <w:name w:val="Titull-Titull"/>
    <w:basedOn w:val="Paragrafi"/>
    <w:qFormat/>
    <w:rsid w:val="00751074"/>
    <w:pPr>
      <w:ind w:firstLine="0"/>
      <w:jc w:val="center"/>
    </w:pPr>
    <w:rPr>
      <w:caps/>
      <w:szCs w:val="24"/>
    </w:rPr>
  </w:style>
  <w:style w:type="paragraph" w:customStyle="1" w:styleId="Vendosi">
    <w:name w:val="Vendosi"/>
    <w:basedOn w:val="Titull-Titull"/>
    <w:qFormat/>
    <w:rsid w:val="00751074"/>
  </w:style>
  <w:style w:type="paragraph" w:customStyle="1" w:styleId="Hapesira7">
    <w:name w:val="Hapesira 7"/>
    <w:basedOn w:val="Paragrafi"/>
    <w:qFormat/>
    <w:rsid w:val="00751074"/>
    <w:rPr>
      <w:sz w:val="14"/>
      <w:szCs w:val="24"/>
    </w:rPr>
  </w:style>
  <w:style w:type="paragraph" w:styleId="ListParagraph">
    <w:name w:val="List Paragraph"/>
    <w:aliases w:val="List Paragraph2"/>
    <w:basedOn w:val="Normal"/>
    <w:link w:val="ListParagraphChar"/>
    <w:uiPriority w:val="34"/>
    <w:qFormat/>
    <w:rsid w:val="00751074"/>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751074"/>
    <w:rPr>
      <w:rFonts w:ascii="Calibri" w:eastAsia="Times New Roman" w:hAnsi="Calibri" w:cs="Times New Roman"/>
      <w:lang w:val="x-none" w:eastAsia="x-none"/>
    </w:rPr>
  </w:style>
  <w:style w:type="paragraph" w:customStyle="1" w:styleId="Style1">
    <w:name w:val="Style1"/>
    <w:basedOn w:val="Akti"/>
    <w:qFormat/>
    <w:rsid w:val="00751074"/>
    <w:rPr>
      <w:rFonts w:ascii="CG Times" w:hAnsi="CG Times"/>
      <w:sz w:val="21"/>
    </w:rPr>
  </w:style>
  <w:style w:type="character" w:customStyle="1" w:styleId="Heading2Char1">
    <w:name w:val="Heading 2 Char1"/>
    <w:link w:val="Heading2"/>
    <w:uiPriority w:val="1"/>
    <w:locked/>
    <w:rsid w:val="00751074"/>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751074"/>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75107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51074"/>
    <w:pPr>
      <w:spacing w:after="0" w:line="240" w:lineRule="auto"/>
      <w:jc w:val="both"/>
    </w:pPr>
    <w:rPr>
      <w:rFonts w:ascii="CG Times" w:eastAsia="MS Mincho" w:hAnsi="CG Times" w:cs="CG Times"/>
      <w:sz w:val="21"/>
      <w:lang w:val="en-GB"/>
    </w:rPr>
  </w:style>
  <w:style w:type="paragraph" w:customStyle="1" w:styleId="AneksiNr">
    <w:name w:val="Aneksi_Nr"/>
    <w:next w:val="Normal"/>
    <w:rsid w:val="0075107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5107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75107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751074"/>
    <w:rPr>
      <w:rFonts w:ascii="Arial" w:eastAsia="Times New Roman" w:hAnsi="Arial" w:cs="Arial"/>
      <w:color w:val="000000"/>
      <w:sz w:val="24"/>
      <w:szCs w:val="24"/>
    </w:rPr>
  </w:style>
  <w:style w:type="paragraph" w:customStyle="1" w:styleId="BazLigjPropozues">
    <w:name w:val="Baz_Ligj_Propozues"/>
    <w:rsid w:val="0075107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5107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51074"/>
    <w:rPr>
      <w:rFonts w:ascii="Times New Roman" w:eastAsia="Times New Roman" w:hAnsi="Times New Roman" w:cs="Times New Roman"/>
      <w:caps/>
      <w:sz w:val="26"/>
      <w:szCs w:val="26"/>
      <w:lang w:val="en-GB"/>
    </w:rPr>
  </w:style>
  <w:style w:type="character" w:customStyle="1" w:styleId="apple-converted-space">
    <w:name w:val="apple-converted-space"/>
    <w:rsid w:val="00751074"/>
  </w:style>
  <w:style w:type="character" w:styleId="Hyperlink">
    <w:name w:val="Hyperlink"/>
    <w:uiPriority w:val="99"/>
    <w:unhideWhenUsed/>
    <w:rsid w:val="00751074"/>
    <w:rPr>
      <w:color w:val="0000FF"/>
      <w:u w:val="single"/>
    </w:rPr>
  </w:style>
  <w:style w:type="character" w:styleId="FollowedHyperlink">
    <w:name w:val="FollowedHyperlink"/>
    <w:uiPriority w:val="99"/>
    <w:unhideWhenUsed/>
    <w:rsid w:val="00751074"/>
    <w:rPr>
      <w:color w:val="800080"/>
      <w:u w:val="single"/>
    </w:rPr>
  </w:style>
  <w:style w:type="paragraph" w:customStyle="1" w:styleId="font5">
    <w:name w:val="font5"/>
    <w:basedOn w:val="Normal"/>
    <w:rsid w:val="0075107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5107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5107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5107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5107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5107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5107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5107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5107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5107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5107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5107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51074"/>
    <w:pPr>
      <w:pageBreakBefore/>
      <w:spacing w:after="0" w:line="240" w:lineRule="auto"/>
      <w:jc w:val="both"/>
    </w:pPr>
    <w:rPr>
      <w:rFonts w:ascii="CG Times" w:eastAsia="MS Mincho" w:hAnsi="CG Times" w:cs="CG Times"/>
      <w:b/>
      <w:bCs/>
      <w:sz w:val="21"/>
    </w:rPr>
  </w:style>
  <w:style w:type="paragraph" w:customStyle="1" w:styleId="KapitulliNr">
    <w:name w:val="Kapitulli_Nr"/>
    <w:rsid w:val="0075107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5107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5107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5107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5107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5107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5107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5107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5107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5107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5107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5107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5107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5107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5107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5107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5107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5107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5107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5107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5107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5107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5107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5107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51074"/>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75107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5107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5107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5107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5107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5107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5107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5107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5107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5107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5107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5107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5107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5107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5107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5107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5107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5107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5107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5107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5107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510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510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510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510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5107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5107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51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51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51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51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510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51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51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5107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5107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5107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510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510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510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510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5107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75107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51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510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510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51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51074"/>
    <w:rPr>
      <w:b/>
      <w:bCs/>
    </w:rPr>
  </w:style>
  <w:style w:type="paragraph" w:customStyle="1" w:styleId="xl136">
    <w:name w:val="xl136"/>
    <w:basedOn w:val="Normal"/>
    <w:rsid w:val="007510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510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5107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5107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510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5107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5107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510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510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5107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510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5107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51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5107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5107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5107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510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510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5107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5107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5107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51074"/>
  </w:style>
  <w:style w:type="paragraph" w:styleId="Title">
    <w:name w:val="Title"/>
    <w:basedOn w:val="Heading1"/>
    <w:next w:val="Normal"/>
    <w:link w:val="TitleChar"/>
    <w:qFormat/>
    <w:rsid w:val="00751074"/>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75107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51074"/>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75107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5107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5107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51074"/>
    <w:pPr>
      <w:spacing w:after="100"/>
      <w:ind w:left="660" w:firstLine="0"/>
      <w:jc w:val="left"/>
    </w:pPr>
    <w:rPr>
      <w:rFonts w:eastAsia="Times New Roman"/>
    </w:rPr>
  </w:style>
  <w:style w:type="paragraph" w:styleId="TOC5">
    <w:name w:val="toc 5"/>
    <w:basedOn w:val="Normal"/>
    <w:next w:val="Normal"/>
    <w:autoRedefine/>
    <w:unhideWhenUsed/>
    <w:rsid w:val="00751074"/>
    <w:pPr>
      <w:spacing w:after="100"/>
      <w:ind w:left="880" w:firstLine="0"/>
      <w:jc w:val="left"/>
    </w:pPr>
    <w:rPr>
      <w:rFonts w:eastAsia="Times New Roman"/>
    </w:rPr>
  </w:style>
  <w:style w:type="paragraph" w:styleId="TOC6">
    <w:name w:val="toc 6"/>
    <w:basedOn w:val="Normal"/>
    <w:next w:val="Normal"/>
    <w:autoRedefine/>
    <w:unhideWhenUsed/>
    <w:rsid w:val="00751074"/>
    <w:pPr>
      <w:spacing w:after="100"/>
      <w:ind w:left="1100" w:firstLine="0"/>
      <w:jc w:val="left"/>
    </w:pPr>
    <w:rPr>
      <w:rFonts w:eastAsia="Times New Roman"/>
    </w:rPr>
  </w:style>
  <w:style w:type="paragraph" w:styleId="TOC7">
    <w:name w:val="toc 7"/>
    <w:basedOn w:val="Normal"/>
    <w:next w:val="Normal"/>
    <w:autoRedefine/>
    <w:unhideWhenUsed/>
    <w:rsid w:val="00751074"/>
    <w:pPr>
      <w:spacing w:after="100"/>
      <w:ind w:left="1320" w:firstLine="0"/>
      <w:jc w:val="left"/>
    </w:pPr>
    <w:rPr>
      <w:rFonts w:eastAsia="Times New Roman"/>
    </w:rPr>
  </w:style>
  <w:style w:type="paragraph" w:styleId="TOC8">
    <w:name w:val="toc 8"/>
    <w:basedOn w:val="Normal"/>
    <w:next w:val="Normal"/>
    <w:autoRedefine/>
    <w:unhideWhenUsed/>
    <w:rsid w:val="00751074"/>
    <w:pPr>
      <w:spacing w:after="100"/>
      <w:ind w:left="1540" w:firstLine="0"/>
      <w:jc w:val="left"/>
    </w:pPr>
    <w:rPr>
      <w:rFonts w:eastAsia="Times New Roman"/>
    </w:rPr>
  </w:style>
  <w:style w:type="paragraph" w:styleId="TOC9">
    <w:name w:val="toc 9"/>
    <w:basedOn w:val="Normal"/>
    <w:next w:val="Normal"/>
    <w:autoRedefine/>
    <w:unhideWhenUsed/>
    <w:rsid w:val="00751074"/>
    <w:pPr>
      <w:spacing w:after="100"/>
      <w:ind w:left="1760" w:firstLine="0"/>
      <w:jc w:val="left"/>
    </w:pPr>
    <w:rPr>
      <w:rFonts w:eastAsia="Times New Roman"/>
    </w:rPr>
  </w:style>
  <w:style w:type="paragraph" w:styleId="BodyTextIndent">
    <w:name w:val="Body Text Indent"/>
    <w:basedOn w:val="Normal"/>
    <w:link w:val="BodyTextIndentChar"/>
    <w:unhideWhenUsed/>
    <w:rsid w:val="00751074"/>
    <w:pPr>
      <w:spacing w:after="120"/>
      <w:ind w:left="360"/>
    </w:pPr>
  </w:style>
  <w:style w:type="character" w:customStyle="1" w:styleId="BodyTextIndentChar">
    <w:name w:val="Body Text Indent Char"/>
    <w:basedOn w:val="DefaultParagraphFont"/>
    <w:link w:val="BodyTextIndent"/>
    <w:rsid w:val="00751074"/>
    <w:rPr>
      <w:rFonts w:ascii="Calibri" w:eastAsia="Calibri" w:hAnsi="Calibri" w:cs="Times New Roman"/>
    </w:rPr>
  </w:style>
  <w:style w:type="paragraph" w:customStyle="1" w:styleId="numridata0">
    <w:name w:val="numridata"/>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5107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5107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51074"/>
    <w:rPr>
      <w:rFonts w:ascii="Times New Roman" w:eastAsia="Times New Roman" w:hAnsi="Times New Roman" w:cs="Times New Roman"/>
      <w:sz w:val="16"/>
      <w:szCs w:val="16"/>
    </w:rPr>
  </w:style>
  <w:style w:type="paragraph" w:customStyle="1" w:styleId="s32b251d">
    <w:name w:val="s32b251d"/>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51074"/>
  </w:style>
  <w:style w:type="paragraph" w:customStyle="1" w:styleId="s30eec3f8">
    <w:name w:val="s30eec3f8"/>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51074"/>
    <w:rPr>
      <w:sz w:val="24"/>
      <w:lang w:val="en-GB" w:eastAsia="fr-FR"/>
    </w:rPr>
  </w:style>
  <w:style w:type="paragraph" w:customStyle="1" w:styleId="JuPara">
    <w:name w:val="Ju_Para"/>
    <w:basedOn w:val="Normal"/>
    <w:link w:val="JuParaCar"/>
    <w:rsid w:val="0075107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5107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5107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5107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5107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751074"/>
    <w:rPr>
      <w:vertAlign w:val="superscript"/>
    </w:rPr>
  </w:style>
  <w:style w:type="paragraph" w:customStyle="1" w:styleId="ju-005fpara">
    <w:name w:val="ju-005fpara"/>
    <w:basedOn w:val="Normal"/>
    <w:rsid w:val="0075107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51074"/>
  </w:style>
  <w:style w:type="character" w:customStyle="1" w:styleId="s7d2086b4">
    <w:name w:val="s7d2086b4"/>
    <w:basedOn w:val="DefaultParagraphFont"/>
    <w:uiPriority w:val="99"/>
    <w:rsid w:val="00751074"/>
  </w:style>
  <w:style w:type="character" w:customStyle="1" w:styleId="hps">
    <w:name w:val="hps"/>
    <w:basedOn w:val="DefaultParagraphFont"/>
    <w:rsid w:val="00751074"/>
  </w:style>
  <w:style w:type="paragraph" w:customStyle="1" w:styleId="paragrafi0">
    <w:name w:val="paragrafi"/>
    <w:basedOn w:val="Normal"/>
    <w:rsid w:val="0075107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5107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51074"/>
    <w:rPr>
      <w:rFonts w:cs="Times New Roman"/>
    </w:rPr>
  </w:style>
  <w:style w:type="paragraph" w:customStyle="1" w:styleId="titulli0">
    <w:name w:val="titulli"/>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51074"/>
  </w:style>
  <w:style w:type="paragraph" w:customStyle="1" w:styleId="akti0">
    <w:name w:val="akti"/>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5107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51074"/>
  </w:style>
  <w:style w:type="paragraph" w:customStyle="1" w:styleId="CM49">
    <w:name w:val="CM49"/>
    <w:basedOn w:val="Normal"/>
    <w:next w:val="Normal"/>
    <w:rsid w:val="0075107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5107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5107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51074"/>
    <w:pPr>
      <w:widowControl w:val="0"/>
    </w:pPr>
    <w:rPr>
      <w:rFonts w:ascii="Helvetica" w:eastAsia="Times New Roman" w:hAnsi="Helvetica" w:cs="Helvetica"/>
      <w:lang w:val="sq-AL"/>
    </w:rPr>
  </w:style>
  <w:style w:type="paragraph" w:customStyle="1" w:styleId="CM57">
    <w:name w:val="CM57"/>
    <w:basedOn w:val="Normal"/>
    <w:next w:val="Normal"/>
    <w:rsid w:val="0075107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5107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5107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510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5107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51074"/>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751074"/>
    <w:rPr>
      <w:rFonts w:ascii="Cambria" w:eastAsia="MS Mincho" w:hAnsi="Cambria" w:cs="Cambria"/>
      <w:b/>
      <w:bCs/>
      <w:i/>
      <w:iCs/>
      <w:color w:val="7F7F7F"/>
      <w:sz w:val="24"/>
      <w:szCs w:val="24"/>
    </w:rPr>
  </w:style>
  <w:style w:type="paragraph" w:customStyle="1" w:styleId="tableheaders">
    <w:name w:val="table headers"/>
    <w:rsid w:val="0075107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51074"/>
    <w:rPr>
      <w:b w:val="0"/>
    </w:rPr>
  </w:style>
  <w:style w:type="paragraph" w:styleId="PlainText">
    <w:name w:val="Plain Text"/>
    <w:basedOn w:val="Normal"/>
    <w:link w:val="PlainTextChar"/>
    <w:uiPriority w:val="99"/>
    <w:unhideWhenUsed/>
    <w:rsid w:val="00751074"/>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751074"/>
    <w:rPr>
      <w:rFonts w:ascii="Consolas" w:eastAsia="Calibri" w:hAnsi="Consolas" w:cs="Times New Roman"/>
      <w:sz w:val="21"/>
      <w:szCs w:val="21"/>
      <w:lang w:val="sq-AL" w:eastAsia="x-none"/>
    </w:rPr>
  </w:style>
  <w:style w:type="paragraph" w:customStyle="1" w:styleId="StyleStyle1Bold">
    <w:name w:val="Style Style1 + Bold"/>
    <w:basedOn w:val="Style1"/>
    <w:rsid w:val="0075107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751074"/>
    <w:rPr>
      <w:rFonts w:ascii="EUAlbertina" w:hAnsi="EUAlbertina"/>
      <w:color w:val="auto"/>
    </w:rPr>
  </w:style>
  <w:style w:type="paragraph" w:customStyle="1" w:styleId="CM4">
    <w:name w:val="CM4"/>
    <w:basedOn w:val="Normal"/>
    <w:next w:val="Normal"/>
    <w:rsid w:val="0075107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5107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51074"/>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751074"/>
    <w:rPr>
      <w:rFonts w:ascii="Tahoma" w:eastAsia="Times New Roman" w:hAnsi="Tahoma" w:cs="Times New Roman"/>
      <w:sz w:val="16"/>
      <w:szCs w:val="16"/>
      <w:lang w:val="sq-AL" w:eastAsia="x-none"/>
    </w:rPr>
  </w:style>
  <w:style w:type="numbering" w:customStyle="1" w:styleId="NoList3">
    <w:name w:val="No List3"/>
    <w:next w:val="NoList"/>
    <w:semiHidden/>
    <w:rsid w:val="00751074"/>
  </w:style>
  <w:style w:type="numbering" w:customStyle="1" w:styleId="NoList4">
    <w:name w:val="No List4"/>
    <w:next w:val="NoList"/>
    <w:semiHidden/>
    <w:rsid w:val="00751074"/>
  </w:style>
  <w:style w:type="paragraph" w:customStyle="1" w:styleId="Point1">
    <w:name w:val="Point 1"/>
    <w:basedOn w:val="Normal"/>
    <w:link w:val="Point1Char"/>
    <w:rsid w:val="0075107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51074"/>
    <w:rPr>
      <w:rFonts w:ascii="Calibri" w:eastAsia="Times New Roman" w:hAnsi="Calibri" w:cs="Times New Roman"/>
      <w:sz w:val="24"/>
      <w:szCs w:val="24"/>
      <w:lang w:val="en-GB" w:eastAsia="en-GB"/>
    </w:rPr>
  </w:style>
  <w:style w:type="character" w:customStyle="1" w:styleId="longtext">
    <w:name w:val="long_text"/>
    <w:rsid w:val="00751074"/>
    <w:rPr>
      <w:rFonts w:ascii="Comic Sans MS" w:hAnsi="Comic Sans MS"/>
      <w:b/>
      <w:sz w:val="96"/>
      <w:szCs w:val="24"/>
      <w:lang w:val="pl-PL" w:eastAsia="pl-PL" w:bidi="ar-SA"/>
    </w:rPr>
  </w:style>
  <w:style w:type="paragraph" w:customStyle="1" w:styleId="Text1">
    <w:name w:val="Text 1"/>
    <w:basedOn w:val="Normal"/>
    <w:link w:val="Text1Char"/>
    <w:rsid w:val="0075107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5107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5107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5107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5107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51074"/>
  </w:style>
  <w:style w:type="character" w:customStyle="1" w:styleId="SectionTitleCharCharChar">
    <w:name w:val="SectionTitle Char Char Char"/>
    <w:link w:val="SectionTitleCharChar"/>
    <w:rsid w:val="0075107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51074"/>
    <w:rPr>
      <w:rFonts w:ascii="Calibri" w:eastAsia="Times New Roman" w:hAnsi="Calibri" w:cs="Times New Roman"/>
      <w:b/>
      <w:bCs/>
      <w:smallCaps/>
      <w:sz w:val="28"/>
      <w:szCs w:val="28"/>
      <w:lang w:val="en-GB" w:eastAsia="en-GB"/>
    </w:rPr>
  </w:style>
  <w:style w:type="character" w:customStyle="1" w:styleId="Text1Char">
    <w:name w:val="Text 1 Char"/>
    <w:link w:val="Text1"/>
    <w:rsid w:val="00751074"/>
    <w:rPr>
      <w:rFonts w:ascii="Calibri" w:eastAsia="Times New Roman" w:hAnsi="Calibri" w:cs="Times New Roman"/>
      <w:sz w:val="24"/>
      <w:szCs w:val="24"/>
      <w:lang w:val="en-GB" w:eastAsia="en-GB"/>
    </w:rPr>
  </w:style>
  <w:style w:type="character" w:customStyle="1" w:styleId="Point1CharChar">
    <w:name w:val="Point 1 Char Char"/>
    <w:rsid w:val="00751074"/>
    <w:rPr>
      <w:sz w:val="24"/>
      <w:szCs w:val="24"/>
      <w:lang w:val="en-GB" w:eastAsia="en-GB" w:bidi="ar-SA"/>
    </w:rPr>
  </w:style>
  <w:style w:type="paragraph" w:customStyle="1" w:styleId="Point0">
    <w:name w:val="Point 0"/>
    <w:basedOn w:val="Normal"/>
    <w:rsid w:val="0075107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5107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5107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5107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5107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5107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5107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5107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5107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51074"/>
    <w:rPr>
      <w:rFonts w:ascii="CG Times" w:hAnsi="CG Times"/>
      <w:sz w:val="22"/>
      <w:lang w:val="en-US" w:eastAsia="en-US" w:bidi="ar-SA"/>
    </w:rPr>
  </w:style>
  <w:style w:type="paragraph" w:customStyle="1" w:styleId="SectionTitle">
    <w:name w:val="SectionTitle"/>
    <w:basedOn w:val="Normal"/>
    <w:next w:val="Heading1"/>
    <w:rsid w:val="0075107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51074"/>
  </w:style>
  <w:style w:type="paragraph" w:styleId="TableofFigures">
    <w:name w:val="table of figures"/>
    <w:basedOn w:val="Normal"/>
    <w:next w:val="Normal"/>
    <w:rsid w:val="0075107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5107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5107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5107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5107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5107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5107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5107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5107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5107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5107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5107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5107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5107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5107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5107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51074"/>
    <w:pPr>
      <w:spacing w:after="0" w:line="360" w:lineRule="auto"/>
      <w:ind w:firstLine="0"/>
      <w:jc w:val="left"/>
    </w:pPr>
    <w:rPr>
      <w:rFonts w:ascii="Tahoma" w:eastAsia="Times New Roman" w:hAnsi="Tahoma"/>
      <w:lang w:val="de-AT" w:eastAsia="de-DE"/>
    </w:rPr>
  </w:style>
  <w:style w:type="paragraph" w:styleId="List">
    <w:name w:val="List"/>
    <w:basedOn w:val="Normal"/>
    <w:rsid w:val="0075107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5107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5107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5107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5107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5107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5107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5107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5107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5107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5107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5107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51074"/>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51074"/>
    <w:rPr>
      <w:sz w:val="16"/>
      <w:szCs w:val="16"/>
    </w:rPr>
  </w:style>
  <w:style w:type="paragraph" w:styleId="CommentText">
    <w:name w:val="annotation text"/>
    <w:aliases w:val=" Char"/>
    <w:basedOn w:val="Normal"/>
    <w:link w:val="CommentTextChar"/>
    <w:unhideWhenUsed/>
    <w:rsid w:val="00751074"/>
    <w:rPr>
      <w:rFonts w:eastAsia="MS Mincho"/>
      <w:sz w:val="20"/>
      <w:szCs w:val="20"/>
      <w:lang w:val="sq-AL"/>
    </w:rPr>
  </w:style>
  <w:style w:type="character" w:customStyle="1" w:styleId="CommentTextChar">
    <w:name w:val="Comment Text Char"/>
    <w:aliases w:val=" Char Char1"/>
    <w:basedOn w:val="DefaultParagraphFont"/>
    <w:link w:val="CommentText"/>
    <w:rsid w:val="0075107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751074"/>
    <w:rPr>
      <w:b/>
      <w:bCs/>
    </w:rPr>
  </w:style>
  <w:style w:type="character" w:customStyle="1" w:styleId="CommentSubjectChar">
    <w:name w:val="Comment Subject Char"/>
    <w:basedOn w:val="CommentTextChar"/>
    <w:link w:val="CommentSubject"/>
    <w:rsid w:val="00751074"/>
    <w:rPr>
      <w:rFonts w:ascii="Calibri" w:eastAsia="MS Mincho" w:hAnsi="Calibri" w:cs="Times New Roman"/>
      <w:b/>
      <w:bCs/>
      <w:sz w:val="20"/>
      <w:szCs w:val="20"/>
      <w:lang w:val="sq-AL"/>
    </w:rPr>
  </w:style>
  <w:style w:type="paragraph" w:styleId="ListNumber4">
    <w:name w:val="List Number 4"/>
    <w:basedOn w:val="Normal"/>
    <w:rsid w:val="0075107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51074"/>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751074"/>
  </w:style>
  <w:style w:type="paragraph" w:styleId="MacroText">
    <w:name w:val="macro"/>
    <w:link w:val="MacroTextChar"/>
    <w:semiHidden/>
    <w:rsid w:val="0075107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51074"/>
    <w:rPr>
      <w:rFonts w:ascii="Courier New" w:eastAsia="Times New Roman" w:hAnsi="Courier New" w:cs="Times New Roman"/>
      <w:lang w:val="de-DE" w:eastAsia="de-DE"/>
    </w:rPr>
  </w:style>
  <w:style w:type="paragraph" w:styleId="NormalIndent">
    <w:name w:val="Normal Indent"/>
    <w:basedOn w:val="Normal"/>
    <w:link w:val="NormalIndentChar"/>
    <w:rsid w:val="0075107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5107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5107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51074"/>
    <w:rPr>
      <w:rFonts w:ascii="Tahoma" w:hAnsi="Tahoma"/>
      <w:sz w:val="22"/>
    </w:rPr>
  </w:style>
  <w:style w:type="paragraph" w:styleId="BlockText">
    <w:name w:val="Block Text"/>
    <w:basedOn w:val="Normal"/>
    <w:rsid w:val="0075107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5107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51074"/>
    <w:rPr>
      <w:rFonts w:ascii="Tahoma" w:eastAsia="Times New Roman" w:hAnsi="Tahoma" w:cs="Times New Roman"/>
      <w:lang w:val="de-AT" w:eastAsia="de-DE"/>
    </w:rPr>
  </w:style>
  <w:style w:type="character" w:customStyle="1" w:styleId="Emphasis1">
    <w:name w:val="Emphasis1"/>
    <w:semiHidden/>
    <w:rsid w:val="00751074"/>
  </w:style>
  <w:style w:type="paragraph" w:styleId="NoteHeading">
    <w:name w:val="Note Heading"/>
    <w:basedOn w:val="Normal"/>
    <w:next w:val="Normal"/>
    <w:link w:val="NoteHeadingChar"/>
    <w:rsid w:val="0075107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51074"/>
    <w:rPr>
      <w:rFonts w:ascii="Tahoma" w:eastAsia="Times New Roman" w:hAnsi="Tahoma" w:cs="Times New Roman"/>
      <w:lang w:val="de-AT" w:eastAsia="de-DE"/>
    </w:rPr>
  </w:style>
  <w:style w:type="paragraph" w:styleId="MessageHeader">
    <w:name w:val="Message Header"/>
    <w:basedOn w:val="Normal"/>
    <w:link w:val="MessageHeaderChar"/>
    <w:semiHidden/>
    <w:rsid w:val="0075107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5107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5107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5107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51074"/>
    <w:rPr>
      <w:rFonts w:ascii="Tahoma" w:eastAsia="Times New Roman" w:hAnsi="Tahoma" w:cs="Times New Roman"/>
      <w:sz w:val="20"/>
      <w:szCs w:val="20"/>
    </w:rPr>
  </w:style>
  <w:style w:type="character" w:styleId="EndnoteReference">
    <w:name w:val="endnote reference"/>
    <w:uiPriority w:val="99"/>
    <w:semiHidden/>
    <w:unhideWhenUsed/>
    <w:rsid w:val="00751074"/>
    <w:rPr>
      <w:vertAlign w:val="superscript"/>
    </w:rPr>
  </w:style>
  <w:style w:type="paragraph" w:styleId="BodyTextFirstIndent2">
    <w:name w:val="Body Text First Indent 2"/>
    <w:basedOn w:val="BodyTextIndent"/>
    <w:link w:val="BodyTextFirstIndent2Char"/>
    <w:semiHidden/>
    <w:rsid w:val="0075107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51074"/>
    <w:rPr>
      <w:rFonts w:ascii="Tahoma" w:eastAsia="Times New Roman" w:hAnsi="Tahoma" w:cs="Times New Roman"/>
      <w:lang w:val="de-AT" w:eastAsia="de-DE"/>
    </w:rPr>
  </w:style>
  <w:style w:type="numbering" w:styleId="111111">
    <w:name w:val="Outline List 2"/>
    <w:basedOn w:val="NoList"/>
    <w:semiHidden/>
    <w:rsid w:val="00751074"/>
    <w:pPr>
      <w:numPr>
        <w:numId w:val="14"/>
      </w:numPr>
    </w:pPr>
  </w:style>
  <w:style w:type="paragraph" w:customStyle="1" w:styleId="Zusatz2">
    <w:name w:val="Zusatz 2"/>
    <w:basedOn w:val="Normal"/>
    <w:next w:val="Normal"/>
    <w:semiHidden/>
    <w:rsid w:val="0075107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5107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51074"/>
    <w:pPr>
      <w:numPr>
        <w:numId w:val="15"/>
      </w:numPr>
    </w:pPr>
  </w:style>
  <w:style w:type="paragraph" w:styleId="Salutation">
    <w:name w:val="Salutation"/>
    <w:basedOn w:val="Normal"/>
    <w:next w:val="Normal"/>
    <w:link w:val="SalutationChar"/>
    <w:semiHidden/>
    <w:rsid w:val="0075107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51074"/>
    <w:rPr>
      <w:rFonts w:ascii="Tahoma" w:eastAsia="Times New Roman" w:hAnsi="Tahoma" w:cs="Times New Roman"/>
      <w:lang w:val="de-AT" w:eastAsia="de-DE"/>
    </w:rPr>
  </w:style>
  <w:style w:type="numbering" w:styleId="ArticleSection">
    <w:name w:val="Outline List 3"/>
    <w:basedOn w:val="NoList"/>
    <w:semiHidden/>
    <w:rsid w:val="00751074"/>
    <w:pPr>
      <w:numPr>
        <w:numId w:val="16"/>
      </w:numPr>
    </w:pPr>
  </w:style>
  <w:style w:type="paragraph" w:styleId="Closing">
    <w:name w:val="Closing"/>
    <w:basedOn w:val="Normal"/>
    <w:link w:val="ClosingChar"/>
    <w:semiHidden/>
    <w:rsid w:val="0075107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51074"/>
    <w:rPr>
      <w:rFonts w:ascii="Tahoma" w:eastAsia="Times New Roman" w:hAnsi="Tahoma" w:cs="Times New Roman"/>
      <w:lang w:val="de-AT" w:eastAsia="de-DE"/>
    </w:rPr>
  </w:style>
  <w:style w:type="character" w:styleId="Emphasis">
    <w:name w:val="Emphasis"/>
    <w:uiPriority w:val="20"/>
    <w:qFormat/>
    <w:rsid w:val="00751074"/>
    <w:rPr>
      <w:i/>
      <w:iCs/>
    </w:rPr>
  </w:style>
  <w:style w:type="paragraph" w:styleId="HTMLAddress">
    <w:name w:val="HTML Address"/>
    <w:basedOn w:val="Normal"/>
    <w:link w:val="HTMLAddressChar"/>
    <w:semiHidden/>
    <w:rsid w:val="0075107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51074"/>
    <w:rPr>
      <w:rFonts w:ascii="Tahoma" w:eastAsia="Times New Roman" w:hAnsi="Tahoma" w:cs="Times New Roman"/>
      <w:i/>
      <w:iCs/>
      <w:lang w:val="de-AT" w:eastAsia="de-DE"/>
    </w:rPr>
  </w:style>
  <w:style w:type="character" w:styleId="HTMLAcronym">
    <w:name w:val="HTML Acronym"/>
    <w:semiHidden/>
    <w:rsid w:val="00751074"/>
  </w:style>
  <w:style w:type="character" w:styleId="HTMLSample">
    <w:name w:val="HTML Sample"/>
    <w:semiHidden/>
    <w:rsid w:val="00751074"/>
    <w:rPr>
      <w:rFonts w:ascii="Courier New" w:hAnsi="Courier New" w:cs="Courier New"/>
    </w:rPr>
  </w:style>
  <w:style w:type="character" w:styleId="HTMLCode">
    <w:name w:val="HTML Code"/>
    <w:semiHidden/>
    <w:rsid w:val="00751074"/>
    <w:rPr>
      <w:rFonts w:ascii="Courier New" w:hAnsi="Courier New" w:cs="Courier New"/>
      <w:sz w:val="20"/>
      <w:szCs w:val="20"/>
    </w:rPr>
  </w:style>
  <w:style w:type="character" w:styleId="HTMLDefinition">
    <w:name w:val="HTML Definition"/>
    <w:semiHidden/>
    <w:rsid w:val="00751074"/>
    <w:rPr>
      <w:i/>
      <w:iCs/>
    </w:rPr>
  </w:style>
  <w:style w:type="character" w:styleId="HTMLTypewriter">
    <w:name w:val="HTML Typewriter"/>
    <w:semiHidden/>
    <w:rsid w:val="00751074"/>
    <w:rPr>
      <w:rFonts w:ascii="Courier New" w:hAnsi="Courier New" w:cs="Courier New"/>
      <w:sz w:val="20"/>
      <w:szCs w:val="20"/>
    </w:rPr>
  </w:style>
  <w:style w:type="character" w:styleId="HTMLKeyboard">
    <w:name w:val="HTML Keyboard"/>
    <w:semiHidden/>
    <w:rsid w:val="00751074"/>
    <w:rPr>
      <w:rFonts w:ascii="Courier New" w:hAnsi="Courier New" w:cs="Courier New"/>
      <w:sz w:val="20"/>
      <w:szCs w:val="20"/>
    </w:rPr>
  </w:style>
  <w:style w:type="character" w:styleId="HTMLVariable">
    <w:name w:val="HTML Variable"/>
    <w:semiHidden/>
    <w:rsid w:val="00751074"/>
    <w:rPr>
      <w:i/>
      <w:iCs/>
    </w:rPr>
  </w:style>
  <w:style w:type="paragraph" w:styleId="HTMLPreformatted">
    <w:name w:val="HTML Preformatted"/>
    <w:basedOn w:val="Normal"/>
    <w:link w:val="HTMLPreformattedChar"/>
    <w:semiHidden/>
    <w:rsid w:val="0075107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51074"/>
    <w:rPr>
      <w:rFonts w:ascii="Courier New" w:eastAsia="Times New Roman" w:hAnsi="Courier New" w:cs="Times New Roman"/>
      <w:sz w:val="20"/>
      <w:lang w:val="de-AT" w:eastAsia="de-DE"/>
    </w:rPr>
  </w:style>
  <w:style w:type="character" w:styleId="HTMLCite">
    <w:name w:val="HTML Cite"/>
    <w:semiHidden/>
    <w:rsid w:val="00751074"/>
    <w:rPr>
      <w:i/>
      <w:iCs/>
    </w:rPr>
  </w:style>
  <w:style w:type="table" w:styleId="Table3Deffects1">
    <w:name w:val="Table 3D effects 1"/>
    <w:basedOn w:val="TableNormal"/>
    <w:semiHidden/>
    <w:rsid w:val="00751074"/>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51074"/>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51074"/>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51074"/>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51074"/>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51074"/>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510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51074"/>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51074"/>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51074"/>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51074"/>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5107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5107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51074"/>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51074"/>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5107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51074"/>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51074"/>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5107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510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5107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5107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51074"/>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5107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5107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5107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51074"/>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51074"/>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51074"/>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510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510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51074"/>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51074"/>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51074"/>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51074"/>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51074"/>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51074"/>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51074"/>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51074"/>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51074"/>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51074"/>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51074"/>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51074"/>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51074"/>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5107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5107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51074"/>
    <w:rPr>
      <w:rFonts w:ascii="Tahoma" w:eastAsia="Times New Roman" w:hAnsi="Tahoma" w:cs="Times New Roman"/>
      <w:lang w:val="de-AT" w:eastAsia="de-DE"/>
    </w:rPr>
  </w:style>
  <w:style w:type="paragraph" w:styleId="E-mailSignature">
    <w:name w:val="E-mail Signature"/>
    <w:basedOn w:val="Normal"/>
    <w:link w:val="E-mailSignatureChar"/>
    <w:rsid w:val="0075107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51074"/>
    <w:rPr>
      <w:rFonts w:ascii="Tahoma" w:eastAsia="Times New Roman" w:hAnsi="Tahoma" w:cs="Times New Roman"/>
      <w:lang w:val="de-AT" w:eastAsia="de-DE"/>
    </w:rPr>
  </w:style>
  <w:style w:type="paragraph" w:styleId="BodyText2">
    <w:name w:val="Body Text 2"/>
    <w:basedOn w:val="Normal"/>
    <w:link w:val="BodyText2Char"/>
    <w:rsid w:val="0075107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51074"/>
    <w:rPr>
      <w:rFonts w:ascii="Tahoma" w:eastAsia="Times New Roman" w:hAnsi="Tahoma" w:cs="Times New Roman"/>
      <w:lang w:val="de-AT" w:eastAsia="de-DE"/>
    </w:rPr>
  </w:style>
  <w:style w:type="paragraph" w:styleId="BodyTextIndent2">
    <w:name w:val="Body Text Indent 2"/>
    <w:basedOn w:val="Normal"/>
    <w:link w:val="BodyTextIndent2Char"/>
    <w:rsid w:val="0075107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51074"/>
    <w:rPr>
      <w:rFonts w:ascii="Tahoma" w:eastAsia="Times New Roman" w:hAnsi="Tahoma" w:cs="Times New Roman"/>
      <w:lang w:val="de-AT" w:eastAsia="de-DE"/>
    </w:rPr>
  </w:style>
  <w:style w:type="paragraph" w:styleId="BodyTextIndent3">
    <w:name w:val="Body Text Indent 3"/>
    <w:basedOn w:val="Normal"/>
    <w:link w:val="BodyTextIndent3Char"/>
    <w:rsid w:val="0075107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5107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5107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5107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5107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5107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51074"/>
    <w:rPr>
      <w:rFonts w:ascii="CG Times" w:eastAsia="Times New Roman" w:hAnsi="CG Times" w:cs="Times New Roman"/>
      <w:b/>
      <w:szCs w:val="24"/>
    </w:rPr>
  </w:style>
  <w:style w:type="character" w:customStyle="1" w:styleId="SubtitleChar1">
    <w:name w:val="Subtitle Char1"/>
    <w:locked/>
    <w:rsid w:val="00751074"/>
    <w:rPr>
      <w:rFonts w:ascii="Cambria" w:hAnsi="Cambria"/>
      <w:sz w:val="24"/>
      <w:szCs w:val="24"/>
    </w:rPr>
  </w:style>
  <w:style w:type="paragraph" w:customStyle="1" w:styleId="Char1">
    <w:name w:val="Char1"/>
    <w:basedOn w:val="Normal"/>
    <w:rsid w:val="0075107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51074"/>
    <w:rPr>
      <w:rFonts w:ascii="Tahoma" w:hAnsi="Tahoma" w:cs="Tahoma"/>
      <w:i/>
      <w:iCs/>
      <w:sz w:val="22"/>
      <w:szCs w:val="22"/>
      <w:lang w:val="de-AT" w:eastAsia="de-DE" w:bidi="ar-SA"/>
    </w:rPr>
  </w:style>
  <w:style w:type="character" w:customStyle="1" w:styleId="CharChar36">
    <w:name w:val="Char Char36"/>
    <w:locked/>
    <w:rsid w:val="00751074"/>
    <w:rPr>
      <w:rFonts w:ascii="Arial" w:hAnsi="Arial" w:cs="Arial"/>
      <w:b/>
      <w:bCs/>
      <w:kern w:val="32"/>
      <w:sz w:val="32"/>
      <w:szCs w:val="32"/>
      <w:lang w:val="sq-AL" w:eastAsia="en-US" w:bidi="ar-SA"/>
    </w:rPr>
  </w:style>
  <w:style w:type="character" w:customStyle="1" w:styleId="CharChar35">
    <w:name w:val="Char Char35"/>
    <w:locked/>
    <w:rsid w:val="00751074"/>
    <w:rPr>
      <w:rFonts w:ascii="Arial" w:hAnsi="Arial" w:cs="Arial"/>
      <w:b/>
      <w:bCs/>
      <w:i/>
      <w:iCs/>
      <w:sz w:val="28"/>
      <w:szCs w:val="28"/>
      <w:lang w:val="sq-AL" w:eastAsia="en-US" w:bidi="ar-SA"/>
    </w:rPr>
  </w:style>
  <w:style w:type="character" w:customStyle="1" w:styleId="CharChar34">
    <w:name w:val="Char Char34"/>
    <w:locked/>
    <w:rsid w:val="00751074"/>
    <w:rPr>
      <w:rFonts w:ascii="Tahoma" w:hAnsi="Tahoma"/>
      <w:b/>
      <w:kern w:val="28"/>
      <w:sz w:val="24"/>
      <w:szCs w:val="28"/>
      <w:lang w:val="de-AT" w:eastAsia="de-DE" w:bidi="ar-SA"/>
    </w:rPr>
  </w:style>
  <w:style w:type="character" w:customStyle="1" w:styleId="CharChar33">
    <w:name w:val="Char Char33"/>
    <w:locked/>
    <w:rsid w:val="00751074"/>
    <w:rPr>
      <w:rFonts w:ascii="Tahoma" w:hAnsi="Tahoma"/>
      <w:b/>
      <w:i/>
      <w:kern w:val="28"/>
      <w:sz w:val="22"/>
      <w:szCs w:val="22"/>
      <w:lang w:val="de-AT" w:eastAsia="de-DE" w:bidi="ar-SA"/>
    </w:rPr>
  </w:style>
  <w:style w:type="character" w:customStyle="1" w:styleId="CharChar32">
    <w:name w:val="Char Char32"/>
    <w:locked/>
    <w:rsid w:val="00751074"/>
    <w:rPr>
      <w:rFonts w:ascii="Tahoma" w:hAnsi="Tahoma"/>
      <w:b/>
      <w:i/>
      <w:kern w:val="28"/>
      <w:sz w:val="22"/>
      <w:szCs w:val="22"/>
      <w:lang w:val="de-AT" w:eastAsia="de-DE" w:bidi="ar-SA"/>
    </w:rPr>
  </w:style>
  <w:style w:type="character" w:customStyle="1" w:styleId="CharChar31">
    <w:name w:val="Char Char31"/>
    <w:locked/>
    <w:rsid w:val="00751074"/>
    <w:rPr>
      <w:rFonts w:ascii="Tahoma" w:hAnsi="Tahoma"/>
      <w:b/>
      <w:i/>
      <w:kern w:val="28"/>
      <w:sz w:val="22"/>
      <w:szCs w:val="22"/>
      <w:lang w:val="de-AT" w:eastAsia="de-DE" w:bidi="ar-SA"/>
    </w:rPr>
  </w:style>
  <w:style w:type="character" w:customStyle="1" w:styleId="CharChar10">
    <w:name w:val="Char Char10"/>
    <w:semiHidden/>
    <w:locked/>
    <w:rsid w:val="00751074"/>
    <w:rPr>
      <w:rFonts w:ascii="Courier New" w:hAnsi="Courier New" w:cs="Courier New"/>
      <w:szCs w:val="22"/>
      <w:lang w:val="de-AT" w:eastAsia="de-DE" w:bidi="ar-SA"/>
    </w:rPr>
  </w:style>
  <w:style w:type="character" w:customStyle="1" w:styleId="CharChar30">
    <w:name w:val="Char Char30"/>
    <w:locked/>
    <w:rsid w:val="00751074"/>
    <w:rPr>
      <w:rFonts w:ascii="Tahoma" w:hAnsi="Tahoma"/>
      <w:b/>
      <w:i/>
      <w:kern w:val="28"/>
      <w:sz w:val="22"/>
      <w:szCs w:val="22"/>
      <w:lang w:val="de-AT" w:eastAsia="de-DE" w:bidi="ar-SA"/>
    </w:rPr>
  </w:style>
  <w:style w:type="character" w:customStyle="1" w:styleId="CharChar29">
    <w:name w:val="Char Char29"/>
    <w:locked/>
    <w:rsid w:val="00751074"/>
    <w:rPr>
      <w:rFonts w:ascii="Tahoma" w:hAnsi="Tahoma"/>
      <w:b/>
      <w:i/>
      <w:kern w:val="28"/>
      <w:sz w:val="22"/>
      <w:szCs w:val="22"/>
      <w:lang w:val="de-AT" w:eastAsia="de-DE" w:bidi="ar-SA"/>
    </w:rPr>
  </w:style>
  <w:style w:type="character" w:customStyle="1" w:styleId="CharChar28">
    <w:name w:val="Char Char28"/>
    <w:locked/>
    <w:rsid w:val="00751074"/>
    <w:rPr>
      <w:rFonts w:ascii="Tahoma" w:hAnsi="Tahoma"/>
      <w:b/>
      <w:i/>
      <w:kern w:val="28"/>
      <w:sz w:val="22"/>
      <w:szCs w:val="22"/>
      <w:lang w:val="de-AT" w:eastAsia="de-DE" w:bidi="ar-SA"/>
    </w:rPr>
  </w:style>
  <w:style w:type="character" w:customStyle="1" w:styleId="CharChar27">
    <w:name w:val="Char Char27"/>
    <w:locked/>
    <w:rsid w:val="00751074"/>
    <w:rPr>
      <w:rFonts w:ascii="Calibri" w:eastAsia="Calibri" w:hAnsi="Calibri"/>
      <w:lang w:val="sq-AL" w:eastAsia="en-US" w:bidi="ar-SA"/>
    </w:rPr>
  </w:style>
  <w:style w:type="character" w:customStyle="1" w:styleId="CharChar24">
    <w:name w:val="Char Char24"/>
    <w:locked/>
    <w:rsid w:val="00751074"/>
    <w:rPr>
      <w:rFonts w:ascii="Tahoma" w:hAnsi="Tahoma" w:cs="Tahoma"/>
      <w:sz w:val="22"/>
      <w:szCs w:val="22"/>
      <w:lang w:val="de-AT" w:eastAsia="de-DE" w:bidi="ar-SA"/>
    </w:rPr>
  </w:style>
  <w:style w:type="character" w:customStyle="1" w:styleId="CharChar23">
    <w:name w:val="Char Char23"/>
    <w:locked/>
    <w:rsid w:val="00751074"/>
    <w:rPr>
      <w:rFonts w:ascii="Tahoma" w:hAnsi="Tahoma" w:cs="Tahoma"/>
      <w:sz w:val="22"/>
      <w:szCs w:val="22"/>
      <w:lang w:val="de-AT" w:eastAsia="de-DE" w:bidi="ar-SA"/>
    </w:rPr>
  </w:style>
  <w:style w:type="character" w:customStyle="1" w:styleId="CharChar22">
    <w:name w:val="Char Char22"/>
    <w:semiHidden/>
    <w:locked/>
    <w:rsid w:val="00751074"/>
    <w:rPr>
      <w:rFonts w:ascii="Courier New" w:hAnsi="Courier New" w:cs="Courier New"/>
      <w:sz w:val="22"/>
      <w:szCs w:val="22"/>
      <w:lang w:val="de-DE" w:eastAsia="de-DE" w:bidi="ar-SA"/>
    </w:rPr>
  </w:style>
  <w:style w:type="character" w:customStyle="1" w:styleId="CharChar21">
    <w:name w:val="Char Char21"/>
    <w:locked/>
    <w:rsid w:val="00751074"/>
    <w:rPr>
      <w:rFonts w:ascii="Tahoma" w:hAnsi="Tahoma" w:cs="Tahoma"/>
      <w:b/>
      <w:kern w:val="28"/>
      <w:sz w:val="36"/>
      <w:szCs w:val="36"/>
      <w:lang w:val="de-AT" w:eastAsia="de-DE" w:bidi="ar-SA"/>
    </w:rPr>
  </w:style>
  <w:style w:type="character" w:customStyle="1" w:styleId="CharChar12">
    <w:name w:val="Char Char12"/>
    <w:semiHidden/>
    <w:locked/>
    <w:rsid w:val="00751074"/>
    <w:rPr>
      <w:rFonts w:ascii="Tahoma" w:hAnsi="Tahoma" w:cs="Tahoma"/>
      <w:sz w:val="22"/>
      <w:szCs w:val="22"/>
      <w:lang w:val="de-AT" w:eastAsia="de-DE" w:bidi="ar-SA"/>
    </w:rPr>
  </w:style>
  <w:style w:type="character" w:customStyle="1" w:styleId="CharChar9">
    <w:name w:val="Char Char9"/>
    <w:semiHidden/>
    <w:locked/>
    <w:rsid w:val="00751074"/>
    <w:rPr>
      <w:rFonts w:ascii="Tahoma" w:hAnsi="Tahoma" w:cs="Tahoma"/>
      <w:sz w:val="22"/>
      <w:szCs w:val="22"/>
      <w:lang w:val="de-AT" w:eastAsia="de-DE" w:bidi="ar-SA"/>
    </w:rPr>
  </w:style>
  <w:style w:type="character" w:customStyle="1" w:styleId="CharChar25">
    <w:name w:val="Char Char25"/>
    <w:semiHidden/>
    <w:locked/>
    <w:rsid w:val="00751074"/>
    <w:rPr>
      <w:rFonts w:ascii="Tahoma" w:hAnsi="Tahoma" w:cs="Tahoma"/>
      <w:sz w:val="22"/>
      <w:szCs w:val="22"/>
      <w:lang w:val="de-AT" w:eastAsia="de-DE" w:bidi="ar-SA"/>
    </w:rPr>
  </w:style>
  <w:style w:type="character" w:customStyle="1" w:styleId="CharChar15">
    <w:name w:val="Char Char15"/>
    <w:semiHidden/>
    <w:locked/>
    <w:rsid w:val="00751074"/>
    <w:rPr>
      <w:rFonts w:ascii="Tahoma" w:hAnsi="Tahoma" w:cs="Tahoma"/>
      <w:sz w:val="22"/>
      <w:szCs w:val="22"/>
      <w:lang w:val="de-AT" w:eastAsia="de-DE" w:bidi="ar-SA"/>
    </w:rPr>
  </w:style>
  <w:style w:type="character" w:customStyle="1" w:styleId="CharChar16">
    <w:name w:val="Char Char16"/>
    <w:semiHidden/>
    <w:locked/>
    <w:rsid w:val="00751074"/>
    <w:rPr>
      <w:rFonts w:ascii="Tahoma" w:hAnsi="Tahoma" w:cs="Arial"/>
      <w:sz w:val="24"/>
      <w:szCs w:val="24"/>
      <w:lang w:val="de-AT" w:eastAsia="de-DE" w:bidi="ar-SA"/>
    </w:rPr>
  </w:style>
  <w:style w:type="character" w:customStyle="1" w:styleId="CharChar20">
    <w:name w:val="Char Char20"/>
    <w:locked/>
    <w:rsid w:val="00751074"/>
    <w:rPr>
      <w:rFonts w:ascii="Tahoma" w:hAnsi="Tahoma" w:cs="Tahoma"/>
      <w:b/>
      <w:kern w:val="28"/>
      <w:sz w:val="32"/>
      <w:szCs w:val="36"/>
      <w:lang w:val="de-AT" w:eastAsia="de-DE" w:bidi="ar-SA"/>
    </w:rPr>
  </w:style>
  <w:style w:type="character" w:customStyle="1" w:styleId="CharChar13">
    <w:name w:val="Char Char13"/>
    <w:semiHidden/>
    <w:locked/>
    <w:rsid w:val="00751074"/>
    <w:rPr>
      <w:rFonts w:ascii="Tahoma" w:hAnsi="Tahoma" w:cs="Tahoma"/>
      <w:sz w:val="22"/>
      <w:szCs w:val="22"/>
      <w:lang w:val="de-AT" w:eastAsia="de-DE" w:bidi="ar-SA"/>
    </w:rPr>
  </w:style>
  <w:style w:type="character" w:customStyle="1" w:styleId="CharChar19">
    <w:name w:val="Char Char19"/>
    <w:semiHidden/>
    <w:locked/>
    <w:rsid w:val="00751074"/>
    <w:rPr>
      <w:rFonts w:ascii="Tahoma" w:hAnsi="Tahoma" w:cs="Tahoma"/>
      <w:sz w:val="22"/>
      <w:szCs w:val="22"/>
      <w:lang w:val="de-AT" w:eastAsia="de-DE" w:bidi="ar-SA"/>
    </w:rPr>
  </w:style>
  <w:style w:type="character" w:customStyle="1" w:styleId="CharChar3">
    <w:name w:val="Char Char3"/>
    <w:semiHidden/>
    <w:locked/>
    <w:rsid w:val="00751074"/>
  </w:style>
  <w:style w:type="character" w:customStyle="1" w:styleId="CharChar14">
    <w:name w:val="Char Char14"/>
    <w:semiHidden/>
    <w:locked/>
    <w:rsid w:val="00751074"/>
  </w:style>
  <w:style w:type="character" w:customStyle="1" w:styleId="CharChar17">
    <w:name w:val="Char Char17"/>
    <w:locked/>
    <w:rsid w:val="00751074"/>
    <w:rPr>
      <w:rFonts w:ascii="Tahoma" w:hAnsi="Tahoma" w:cs="Tahoma"/>
      <w:sz w:val="22"/>
      <w:szCs w:val="22"/>
      <w:lang w:val="de-AT" w:eastAsia="de-DE" w:bidi="ar-SA"/>
    </w:rPr>
  </w:style>
  <w:style w:type="character" w:customStyle="1" w:styleId="CharChar7">
    <w:name w:val="Char Char7"/>
    <w:semiHidden/>
    <w:locked/>
    <w:rsid w:val="00751074"/>
    <w:rPr>
      <w:rFonts w:ascii="Tahoma" w:hAnsi="Tahoma" w:cs="Tahoma"/>
      <w:sz w:val="22"/>
      <w:szCs w:val="22"/>
      <w:lang w:val="de-AT" w:eastAsia="de-DE" w:bidi="ar-SA"/>
    </w:rPr>
  </w:style>
  <w:style w:type="character" w:customStyle="1" w:styleId="CharChar6">
    <w:name w:val="Char Char6"/>
    <w:semiHidden/>
    <w:locked/>
    <w:rsid w:val="00751074"/>
    <w:rPr>
      <w:rFonts w:ascii="Tahoma" w:hAnsi="Tahoma" w:cs="Tahoma"/>
      <w:sz w:val="16"/>
      <w:szCs w:val="16"/>
      <w:lang w:val="de-AT" w:eastAsia="de-DE" w:bidi="ar-SA"/>
    </w:rPr>
  </w:style>
  <w:style w:type="character" w:customStyle="1" w:styleId="CharChar5">
    <w:name w:val="Char Char5"/>
    <w:semiHidden/>
    <w:locked/>
    <w:rsid w:val="00751074"/>
    <w:rPr>
      <w:rFonts w:ascii="Tahoma" w:hAnsi="Tahoma" w:cs="Tahoma"/>
      <w:sz w:val="22"/>
      <w:szCs w:val="22"/>
      <w:lang w:val="de-AT" w:eastAsia="de-DE" w:bidi="ar-SA"/>
    </w:rPr>
  </w:style>
  <w:style w:type="character" w:customStyle="1" w:styleId="CharChar4">
    <w:name w:val="Char Char4"/>
    <w:semiHidden/>
    <w:locked/>
    <w:rsid w:val="00751074"/>
    <w:rPr>
      <w:rFonts w:ascii="Tahoma" w:hAnsi="Tahoma" w:cs="Tahoma"/>
      <w:sz w:val="16"/>
      <w:szCs w:val="16"/>
      <w:lang w:val="de-AT" w:eastAsia="de-DE" w:bidi="ar-SA"/>
    </w:rPr>
  </w:style>
  <w:style w:type="character" w:customStyle="1" w:styleId="CharChar18">
    <w:name w:val="Char Char18"/>
    <w:semiHidden/>
    <w:locked/>
    <w:rsid w:val="00751074"/>
    <w:rPr>
      <w:rFonts w:ascii="Tahoma" w:hAnsi="Tahoma" w:cs="Tahoma"/>
      <w:sz w:val="22"/>
      <w:szCs w:val="22"/>
      <w:lang w:val="de-AT" w:eastAsia="de-DE" w:bidi="ar-SA"/>
    </w:rPr>
  </w:style>
  <w:style w:type="character" w:customStyle="1" w:styleId="CharChar8">
    <w:name w:val="Char Char8"/>
    <w:locked/>
    <w:rsid w:val="00751074"/>
    <w:rPr>
      <w:rFonts w:ascii="Tahoma" w:hAnsi="Tahoma" w:cs="Tahoma"/>
      <w:sz w:val="22"/>
      <w:szCs w:val="22"/>
      <w:lang w:val="de-AT" w:eastAsia="de-DE" w:bidi="ar-SA"/>
    </w:rPr>
  </w:style>
  <w:style w:type="character" w:customStyle="1" w:styleId="CharChar2">
    <w:name w:val="Char Char2"/>
    <w:locked/>
    <w:rsid w:val="00751074"/>
    <w:rPr>
      <w:rFonts w:ascii="Calibri" w:eastAsia="Calibri" w:hAnsi="Calibri" w:cs="Times New Roman"/>
      <w:b/>
      <w:bCs/>
      <w:sz w:val="20"/>
      <w:szCs w:val="20"/>
      <w:lang w:val="sq-AL" w:eastAsia="en-US" w:bidi="ar-SA"/>
    </w:rPr>
  </w:style>
  <w:style w:type="character" w:customStyle="1" w:styleId="CharChar26">
    <w:name w:val="Char Char26"/>
    <w:semiHidden/>
    <w:locked/>
    <w:rsid w:val="00751074"/>
    <w:rPr>
      <w:rFonts w:ascii="Tahoma" w:hAnsi="Tahoma" w:cs="Tahoma"/>
      <w:sz w:val="16"/>
      <w:szCs w:val="16"/>
      <w:lang w:val="sq-AL" w:eastAsia="en-US" w:bidi="ar-SA"/>
    </w:rPr>
  </w:style>
  <w:style w:type="character" w:customStyle="1" w:styleId="CommentTextChar11">
    <w:name w:val="Comment Text Char11"/>
    <w:aliases w:val="Char Char37"/>
    <w:semiHidden/>
    <w:rsid w:val="00751074"/>
    <w:rPr>
      <w:rFonts w:ascii="Calibri" w:hAnsi="Calibri" w:hint="default"/>
      <w:lang w:val="sq-AL"/>
    </w:rPr>
  </w:style>
  <w:style w:type="character" w:customStyle="1" w:styleId="NormalIndentChar">
    <w:name w:val="Normal Indent Char"/>
    <w:link w:val="NormalIndent"/>
    <w:rsid w:val="0075107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5107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51074"/>
    <w:pPr>
      <w:tabs>
        <w:tab w:val="num" w:pos="360"/>
        <w:tab w:val="num" w:pos="1935"/>
        <w:tab w:val="num" w:pos="2563"/>
        <w:tab w:val="num" w:pos="3474"/>
      </w:tabs>
      <w:ind w:left="1935" w:hanging="360"/>
      <w:outlineLvl w:val="6"/>
    </w:pPr>
  </w:style>
  <w:style w:type="character" w:customStyle="1" w:styleId="AODefHeadChar">
    <w:name w:val="AODefHead Char"/>
    <w:link w:val="AODefHead"/>
    <w:rsid w:val="00751074"/>
    <w:rPr>
      <w:rFonts w:ascii="Times New Roman" w:eastAsia="Times New Roman" w:hAnsi="Times New Roman" w:cs="Times New Roman"/>
      <w:szCs w:val="20"/>
      <w:lang w:val="sq-AL" w:eastAsia="sq-AL" w:bidi="sq-AL"/>
    </w:rPr>
  </w:style>
  <w:style w:type="paragraph" w:customStyle="1" w:styleId="PARA">
    <w:name w:val="PARA"/>
    <w:basedOn w:val="Normal"/>
    <w:locked/>
    <w:rsid w:val="0075107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5107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5107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5107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5107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51074"/>
    <w:rPr>
      <w:color w:val="0000FF"/>
      <w:spacing w:val="0"/>
      <w:u w:val="double"/>
    </w:rPr>
  </w:style>
  <w:style w:type="paragraph" w:customStyle="1" w:styleId="dia">
    <w:name w:val="di(a)"/>
    <w:basedOn w:val="Normal"/>
    <w:rsid w:val="0075107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5107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5107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51074"/>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751074"/>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751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51074"/>
    <w:rPr>
      <w:rFonts w:cs="Times New Roman"/>
      <w:color w:val="808080"/>
    </w:rPr>
  </w:style>
  <w:style w:type="character" w:customStyle="1" w:styleId="az12">
    <w:name w:val="az12"/>
    <w:uiPriority w:val="99"/>
    <w:rsid w:val="0075107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5107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51074"/>
    <w:rPr>
      <w:rFonts w:ascii="Calibri" w:eastAsia="Times New Roman" w:hAnsi="Calibri" w:cs="Times New Roman"/>
      <w:sz w:val="24"/>
      <w:szCs w:val="24"/>
      <w:lang w:val="en-GB" w:eastAsia="en-GB"/>
    </w:rPr>
  </w:style>
  <w:style w:type="paragraph" w:customStyle="1" w:styleId="Paragraf02">
    <w:name w:val="Paragraf 0.2"/>
    <w:basedOn w:val="Paragrafi"/>
    <w:qFormat/>
    <w:rsid w:val="00751074"/>
    <w:pPr>
      <w:tabs>
        <w:tab w:val="left" w:pos="6575"/>
      </w:tabs>
    </w:pPr>
    <w:rPr>
      <w:spacing w:val="-4"/>
    </w:rPr>
  </w:style>
  <w:style w:type="table" w:customStyle="1" w:styleId="TableGrid30">
    <w:name w:val="Table Grid3"/>
    <w:basedOn w:val="TableNormal"/>
    <w:next w:val="TableGrid"/>
    <w:uiPriority w:val="59"/>
    <w:rsid w:val="00751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51074"/>
  </w:style>
  <w:style w:type="character" w:styleId="BookTitle">
    <w:name w:val="Book Title"/>
    <w:uiPriority w:val="33"/>
    <w:qFormat/>
    <w:rsid w:val="00751074"/>
    <w:rPr>
      <w:b/>
      <w:bCs/>
      <w:smallCaps/>
      <w:spacing w:val="5"/>
    </w:rPr>
  </w:style>
  <w:style w:type="paragraph" w:customStyle="1" w:styleId="Cover1">
    <w:name w:val="Cover1"/>
    <w:basedOn w:val="Normal"/>
    <w:next w:val="Normal"/>
    <w:rsid w:val="0075107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5107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5107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5107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51074"/>
    <w:rPr>
      <w:rFonts w:ascii="Times New Roman" w:eastAsia="Times New Roman" w:hAnsi="Times New Roman" w:cs="Times New Roman"/>
      <w:szCs w:val="20"/>
      <w:lang w:val="sq-AL"/>
    </w:rPr>
  </w:style>
  <w:style w:type="character" w:customStyle="1" w:styleId="Bodytext0">
    <w:name w:val="Body text_"/>
    <w:link w:val="BodyText1"/>
    <w:rsid w:val="00751074"/>
    <w:rPr>
      <w:rFonts w:ascii="Times New Roman" w:hAnsi="Times New Roman"/>
      <w:sz w:val="21"/>
      <w:szCs w:val="21"/>
      <w:shd w:val="clear" w:color="auto" w:fill="FFFFFF"/>
    </w:rPr>
  </w:style>
  <w:style w:type="paragraph" w:customStyle="1" w:styleId="BodyText1">
    <w:name w:val="Body Text1"/>
    <w:basedOn w:val="Normal"/>
    <w:link w:val="Bodytext0"/>
    <w:rsid w:val="00751074"/>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5107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5107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5107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5107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5107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5107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5107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5107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51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51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68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kspert&#235;t@drejtesia.gov.a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kspertet@drejtesia.gov.al"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9</Pages>
  <Words>2054</Words>
  <Characters>11712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Jetmir Ruci</dc:creator>
  <cp:lastModifiedBy>bruna aliaj</cp:lastModifiedBy>
  <cp:revision>4</cp:revision>
  <cp:lastPrinted>2018-11-14T08:46:00Z</cp:lastPrinted>
  <dcterms:created xsi:type="dcterms:W3CDTF">2018-11-13T14:12:00Z</dcterms:created>
  <dcterms:modified xsi:type="dcterms:W3CDTF">2018-11-14T09:46:00Z</dcterms:modified>
</cp:coreProperties>
</file>