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9471E" w14:textId="77777777" w:rsidR="00F50D5E" w:rsidRPr="001A3820" w:rsidRDefault="00F50D5E" w:rsidP="00F50D5E">
      <w:pPr>
        <w:ind w:firstLine="284"/>
        <w:jc w:val="center"/>
        <w:rPr>
          <w:rFonts w:ascii="Garamond" w:hAnsi="Garamond"/>
          <w:b/>
        </w:rPr>
      </w:pPr>
      <w:r w:rsidRPr="001A3820">
        <w:rPr>
          <w:rFonts w:ascii="Garamond" w:hAnsi="Garamond"/>
          <w:b/>
        </w:rPr>
        <w:t>UDHËZIM I PËRBASHKËT</w:t>
      </w:r>
    </w:p>
    <w:p w14:paraId="30AC1F86" w14:textId="58091F84" w:rsidR="00F50D5E" w:rsidRPr="001A3820" w:rsidRDefault="00F50D5E" w:rsidP="00F50D5E">
      <w:pPr>
        <w:ind w:firstLine="284"/>
        <w:jc w:val="center"/>
        <w:rPr>
          <w:rFonts w:ascii="Garamond" w:hAnsi="Garamond"/>
          <w:b/>
          <w:caps/>
        </w:rPr>
      </w:pPr>
      <w:r w:rsidRPr="001A3820">
        <w:rPr>
          <w:rFonts w:ascii="Garamond" w:hAnsi="Garamond"/>
          <w:b/>
        </w:rPr>
        <w:t>Nr.</w:t>
      </w:r>
      <w:r w:rsidR="0004238E" w:rsidRPr="001A3820">
        <w:rPr>
          <w:rFonts w:ascii="Garamond" w:hAnsi="Garamond"/>
          <w:b/>
        </w:rPr>
        <w:t xml:space="preserve"> </w:t>
      </w:r>
      <w:r w:rsidRPr="001A3820">
        <w:rPr>
          <w:rFonts w:ascii="Garamond" w:hAnsi="Garamond"/>
          <w:b/>
        </w:rPr>
        <w:t>29</w:t>
      </w:r>
      <w:r w:rsidR="000A1B03" w:rsidRPr="001A3820">
        <w:rPr>
          <w:rFonts w:ascii="Garamond" w:hAnsi="Garamond"/>
          <w:b/>
        </w:rPr>
        <w:t>,</w:t>
      </w:r>
      <w:r w:rsidRPr="001A3820">
        <w:rPr>
          <w:rFonts w:ascii="Garamond" w:hAnsi="Garamond"/>
          <w:b/>
        </w:rPr>
        <w:t xml:space="preserve"> datë 25.2.2022</w:t>
      </w:r>
    </w:p>
    <w:p w14:paraId="56422A79" w14:textId="77777777" w:rsidR="00F50D5E" w:rsidRPr="001A3820" w:rsidRDefault="00F50D5E" w:rsidP="00F50D5E">
      <w:pPr>
        <w:ind w:firstLine="284"/>
        <w:rPr>
          <w:rFonts w:ascii="Garamond" w:hAnsi="Garamond"/>
        </w:rPr>
      </w:pPr>
    </w:p>
    <w:p w14:paraId="2A5C2ABF" w14:textId="3E54D8AC" w:rsidR="00F50D5E" w:rsidRPr="001A3820" w:rsidRDefault="00F50D5E" w:rsidP="00F50D5E">
      <w:pPr>
        <w:ind w:firstLine="284"/>
        <w:jc w:val="center"/>
        <w:rPr>
          <w:rFonts w:ascii="Garamond" w:hAnsi="Garamond"/>
          <w:b/>
          <w:bCs/>
        </w:rPr>
      </w:pPr>
      <w:r w:rsidRPr="001A3820">
        <w:rPr>
          <w:rFonts w:ascii="Garamond" w:hAnsi="Garamond"/>
          <w:b/>
          <w:bCs/>
        </w:rPr>
        <w:t xml:space="preserve">PËR PËRCAKTIMIN E RASTEVE, KUSHTEVE DHE MËNYRËS SË MBROJTJES SË VEÇANTË PËR PUNONJËSIT E POLICISË SË BURGJEVE DHE DREJTUESIT E INSTITUCIONEVE TË </w:t>
      </w:r>
      <w:r w:rsidR="000A1B03" w:rsidRPr="001A3820">
        <w:rPr>
          <w:rFonts w:ascii="Garamond" w:hAnsi="Garamond"/>
          <w:b/>
          <w:bCs/>
        </w:rPr>
        <w:t>EKZEKUTIMIT TË VENDIMEVE PENALE</w:t>
      </w:r>
    </w:p>
    <w:p w14:paraId="2CE0A7AC" w14:textId="77777777" w:rsidR="00F50D5E" w:rsidRPr="001A3820" w:rsidRDefault="00F50D5E" w:rsidP="00F50D5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18D337F" w14:textId="1ED4C97F" w:rsidR="00F50D5E" w:rsidRPr="001A3820" w:rsidRDefault="00F50D5E" w:rsidP="00F50D5E">
      <w:pPr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 xml:space="preserve">Në mbështetje të nenit 102, pika 4, të Kushtetutës së Republikës së Shqipërisë dhe </w:t>
      </w:r>
      <w:r w:rsidR="006120BD" w:rsidRPr="001A3820">
        <w:rPr>
          <w:rFonts w:ascii="Garamond" w:hAnsi="Garamond"/>
        </w:rPr>
        <w:t xml:space="preserve">të </w:t>
      </w:r>
      <w:r w:rsidRPr="001A3820">
        <w:rPr>
          <w:rFonts w:ascii="Garamond" w:hAnsi="Garamond"/>
        </w:rPr>
        <w:t>nenit 20, pika 3, të ligjit nr. 80/2020, “Për Policinë e Burgjeve”,</w:t>
      </w:r>
    </w:p>
    <w:p w14:paraId="60FD69F3" w14:textId="77777777" w:rsidR="00F50D5E" w:rsidRPr="001A3820" w:rsidRDefault="00F50D5E" w:rsidP="00F50D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D66ECF" w14:textId="77777777" w:rsidR="00F50D5E" w:rsidRPr="001A3820" w:rsidRDefault="00F50D5E" w:rsidP="00F50D5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A3820">
        <w:rPr>
          <w:rFonts w:ascii="Garamond" w:hAnsi="Garamond"/>
          <w:bCs/>
          <w:sz w:val="24"/>
          <w:szCs w:val="24"/>
          <w:lang w:val="sq-AL"/>
        </w:rPr>
        <w:t>UDHËZOJNË:</w:t>
      </w:r>
    </w:p>
    <w:p w14:paraId="6165EBBD" w14:textId="77777777" w:rsidR="00F50D5E" w:rsidRPr="001A3820" w:rsidRDefault="00F50D5E" w:rsidP="00F50D5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E11AB45" w14:textId="294AB4A5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 xml:space="preserve">1. Përcaktimin e rasteve, kushteve dhe mënyrën e mbrojtjes së veçantë për punonjësit e Policisë së Burgjeve, drejtuesit e </w:t>
      </w:r>
      <w:r w:rsidR="001A3820" w:rsidRPr="001A3820">
        <w:rPr>
          <w:rFonts w:ascii="Garamond" w:hAnsi="Garamond"/>
        </w:rPr>
        <w:t>institucioneve të ekzekutimit të v</w:t>
      </w:r>
      <w:bookmarkStart w:id="0" w:name="_GoBack"/>
      <w:bookmarkEnd w:id="0"/>
      <w:r w:rsidR="001A3820" w:rsidRPr="001A3820">
        <w:rPr>
          <w:rFonts w:ascii="Garamond" w:hAnsi="Garamond"/>
        </w:rPr>
        <w:t xml:space="preserve">endimeve penale </w:t>
      </w:r>
      <w:r w:rsidRPr="001A3820">
        <w:rPr>
          <w:rFonts w:ascii="Garamond" w:hAnsi="Garamond"/>
        </w:rPr>
        <w:t>(këtu e në vijim, “Institucioneve”) dhe familjen apo pronën e tyre</w:t>
      </w:r>
      <w:r w:rsidR="006120BD" w:rsidRPr="001A3820">
        <w:rPr>
          <w:rFonts w:ascii="Garamond" w:hAnsi="Garamond"/>
        </w:rPr>
        <w:t>,</w:t>
      </w:r>
      <w:r w:rsidRPr="001A3820">
        <w:rPr>
          <w:rFonts w:ascii="Garamond" w:hAnsi="Garamond"/>
        </w:rPr>
        <w:t xml:space="preserve"> për shkak të detyrës që mbajnë apo që kanë kryer. </w:t>
      </w:r>
    </w:p>
    <w:p w14:paraId="26E44857" w14:textId="65CA97E4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 xml:space="preserve">2. Punonjësit të Policisë së Burgjeve dhe drejtuesit të </w:t>
      </w:r>
      <w:r w:rsidR="001A3820" w:rsidRPr="001A3820">
        <w:rPr>
          <w:rFonts w:ascii="Garamond" w:hAnsi="Garamond"/>
        </w:rPr>
        <w:t xml:space="preserve">Institucionit </w:t>
      </w:r>
      <w:r w:rsidRPr="001A3820">
        <w:rPr>
          <w:rFonts w:ascii="Garamond" w:hAnsi="Garamond"/>
        </w:rPr>
        <w:t>i sigurohet mbrojtje e veçantë personale, e familjes dhe e pronës, sipas parashikimeve të këtij udhëzimi</w:t>
      </w:r>
      <w:r w:rsidR="006120BD" w:rsidRPr="001A3820">
        <w:rPr>
          <w:rFonts w:ascii="Garamond" w:hAnsi="Garamond"/>
        </w:rPr>
        <w:t>,</w:t>
      </w:r>
      <w:r w:rsidRPr="001A3820">
        <w:rPr>
          <w:rFonts w:ascii="Garamond" w:hAnsi="Garamond"/>
        </w:rPr>
        <w:t xml:space="preserve"> kur, gjatë ushtrimit të detyrës ose për shkak të saj, i rrezikohet jeta, shëndeti i tij dhe/ose i familjes ose prona. Mbrojtje e veçantë i sigurohet edhe punonjësit që nuk e ushtron më detyrën, në rast se e kërkon, në rast cenimi për shkak të ushtrimit të mëparshëm të detyrës.</w:t>
      </w:r>
    </w:p>
    <w:p w14:paraId="1EB7F604" w14:textId="220FD33A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 xml:space="preserve">3. Me mbrojtje të veçantë personale, të familjes dhe të pronës, sipas këtij udhëzimi, do të kuptohen masat me karakter organizativ e profesional, për sigurimin dhe ruajtjen e veçantë fizike, mbrojtjen e familjes e të pronës së punonjësit të Policisë së Burgjeve dhe drejtuesit të </w:t>
      </w:r>
      <w:r w:rsidR="001A3820" w:rsidRPr="001A3820">
        <w:rPr>
          <w:rFonts w:ascii="Garamond" w:hAnsi="Garamond"/>
        </w:rPr>
        <w:t>Institucionit</w:t>
      </w:r>
      <w:r w:rsidRPr="001A3820">
        <w:rPr>
          <w:rFonts w:ascii="Garamond" w:hAnsi="Garamond"/>
        </w:rPr>
        <w:t>, si dhe masat e tjera, që lidhen me këtë mbrojtje.</w:t>
      </w:r>
    </w:p>
    <w:p w14:paraId="1265CB14" w14:textId="48CCCA86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>4. Kushtet për të përfituar mbrojtje të veçantë janë</w:t>
      </w:r>
      <w:r w:rsidR="00E8762C" w:rsidRPr="001A3820">
        <w:rPr>
          <w:rFonts w:ascii="Garamond" w:hAnsi="Garamond"/>
        </w:rPr>
        <w:t>,</w:t>
      </w:r>
      <w:r w:rsidRPr="001A3820">
        <w:rPr>
          <w:rFonts w:ascii="Garamond" w:hAnsi="Garamond"/>
        </w:rPr>
        <w:t xml:space="preserve"> si më poshtë vijon:</w:t>
      </w:r>
    </w:p>
    <w:p w14:paraId="662C66A6" w14:textId="77777777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>a) ekzistenca e dyshimit të arsyeshëm, i bazuar në prova për rrethana serioze, që rrezikojnë jetën, familjen ose pasurinë;</w:t>
      </w:r>
    </w:p>
    <w:p w14:paraId="506AEAD6" w14:textId="77777777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>b) prania e lidhjes shkakësore ndërmjet rrethanave serioze dhe ushtrimit të detyrës ose ushtrimit të mëparshëm të detyrës.</w:t>
      </w:r>
    </w:p>
    <w:p w14:paraId="30BFE93D" w14:textId="7BF808BD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5. Pavarësisht mungesës së lidhjes shkakësore të përcaktuar në shkronjën “b”, të pikës 4, të</w:t>
      </w:r>
      <w:r w:rsidRPr="001A3820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1A3820">
        <w:rPr>
          <w:rFonts w:ascii="Garamond" w:hAnsi="Garamond"/>
          <w:sz w:val="24"/>
          <w:szCs w:val="24"/>
          <w:lang w:val="sq-AL"/>
        </w:rPr>
        <w:t xml:space="preserve">këtij udhëzimi, punonjësit të Policisë së Burgjeve apo drejtuesit të </w:t>
      </w:r>
      <w:r w:rsidR="001A3820" w:rsidRPr="001A3820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1A3820">
        <w:rPr>
          <w:rFonts w:ascii="Garamond" w:hAnsi="Garamond"/>
          <w:sz w:val="24"/>
          <w:szCs w:val="24"/>
          <w:lang w:val="sq-AL"/>
        </w:rPr>
        <w:t>i sigurohet mbrojtje e veçantë edhe në rast të pranisë së rrethanave serioze që rrezikojnë jetën, familjen ose pronën gjatë kohës së ushtrimit të detyrës.</w:t>
      </w:r>
    </w:p>
    <w:p w14:paraId="4D63864D" w14:textId="078A1C08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6. Kërkesa për mbrojtje të veçantë i paraqitet komisionit përkatës me shkrim nga punonjësi i Policisë së Burgjeve, ministri i Drejtësisë, drejtuesi i 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1A3820">
        <w:rPr>
          <w:rFonts w:ascii="Garamond" w:hAnsi="Garamond"/>
          <w:sz w:val="24"/>
          <w:szCs w:val="24"/>
          <w:lang w:val="sq-AL"/>
        </w:rPr>
        <w:t xml:space="preserve">i Burgjeve, drejtuesi i 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1A3820">
        <w:rPr>
          <w:rFonts w:ascii="Garamond" w:hAnsi="Garamond"/>
          <w:sz w:val="24"/>
          <w:szCs w:val="24"/>
          <w:lang w:val="sq-AL"/>
        </w:rPr>
        <w:t xml:space="preserve">i Policisë së Shtetit, drejtuesi i </w:t>
      </w:r>
      <w:r w:rsidR="001A3820" w:rsidRPr="001A3820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1A3820">
        <w:rPr>
          <w:rFonts w:ascii="Garamond" w:hAnsi="Garamond"/>
          <w:sz w:val="24"/>
          <w:szCs w:val="24"/>
          <w:lang w:val="sq-AL"/>
        </w:rPr>
        <w:t>ku punonjësi ushtron detyrën, si dhe çdo organ tjetër publik që, për shkak të funksionit, merr dijeni për praninë e rrethanave serioze që rrezikojnë jetën, familjen ose pronën e tij.</w:t>
      </w:r>
    </w:p>
    <w:p w14:paraId="7E241A33" w14:textId="5054583C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7. Kërkesa për mbrojtje të veçantë përmban:</w:t>
      </w:r>
    </w:p>
    <w:p w14:paraId="4A0E1BC0" w14:textId="024B4A05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a) gjeneralitetet e plota të kërkuesit;</w:t>
      </w:r>
    </w:p>
    <w:p w14:paraId="1A4B6D18" w14:textId="047BCA91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b) një përmbledhje të fakteve e të rrethanave, që përbëjnë rrezik serioz për punonjësin, të cilat detyrojnë të sigurohet mbrojtje e veçantë;</w:t>
      </w:r>
    </w:p>
    <w:p w14:paraId="5AA4EB1D" w14:textId="309B6C98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c) burimin e provave, ku bazohen ato;</w:t>
      </w:r>
    </w:p>
    <w:p w14:paraId="03DC96A0" w14:textId="3B2956F6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ç) llojin e masave që kërkohen dhe kohëzgjatjen e tyre.</w:t>
      </w:r>
    </w:p>
    <w:p w14:paraId="408B187F" w14:textId="47287719" w:rsidR="00F50D5E" w:rsidRPr="001A3820" w:rsidRDefault="00F50D5E" w:rsidP="00F50D5E">
      <w:pPr>
        <w:pStyle w:val="ListParagraph"/>
        <w:tabs>
          <w:tab w:val="left" w:pos="720"/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8. Kërkesa për mbrojtje i paraqitet komisionit, sipas rastit, nga subjektet e përcaktuara në pikën 6, të këtij udhëzimi, kur ka të dhëna të besueshme që provojnë se punonjësit së Policisë së Burgjeve apo drejtuesit të </w:t>
      </w:r>
      <w:r w:rsidR="001A3820" w:rsidRPr="001A3820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1A3820">
        <w:rPr>
          <w:rFonts w:ascii="Garamond" w:hAnsi="Garamond"/>
          <w:sz w:val="24"/>
          <w:szCs w:val="24"/>
          <w:lang w:val="sq-AL"/>
        </w:rPr>
        <w:t>i rrezikohet jeta, familja ose prona.</w:t>
      </w:r>
    </w:p>
    <w:p w14:paraId="33378599" w14:textId="6FBB0725" w:rsidR="00F50D5E" w:rsidRPr="001A3820" w:rsidRDefault="00F50D5E" w:rsidP="00F50D5E">
      <w:pPr>
        <w:pStyle w:val="ListParagraph"/>
        <w:tabs>
          <w:tab w:val="left" w:pos="720"/>
          <w:tab w:val="left" w:pos="800"/>
          <w:tab w:val="left" w:pos="11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lastRenderedPageBreak/>
        <w:t xml:space="preserve">9. Kur rreziku është serioz dhe i çastit, drejtori i 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1A3820">
        <w:rPr>
          <w:rFonts w:ascii="Garamond" w:hAnsi="Garamond"/>
          <w:sz w:val="24"/>
          <w:szCs w:val="24"/>
          <w:lang w:val="sq-AL"/>
        </w:rPr>
        <w:t xml:space="preserve">i Policisë së Shtetit urdhëron strukturat e Policisë së Shtetit të marrin masa paraprake të menjëhershme për të garantuar jetën, familjen ose pronën e punonjësit të Policisë së Burgjeve apo drejtuesit të </w:t>
      </w:r>
      <w:r w:rsidR="001A3820" w:rsidRPr="001A3820">
        <w:rPr>
          <w:rFonts w:ascii="Garamond" w:hAnsi="Garamond"/>
          <w:sz w:val="24"/>
          <w:szCs w:val="24"/>
          <w:lang w:val="sq-AL"/>
        </w:rPr>
        <w:t>Institucionit</w:t>
      </w:r>
      <w:r w:rsidRPr="001A3820">
        <w:rPr>
          <w:rFonts w:ascii="Garamond" w:hAnsi="Garamond"/>
          <w:sz w:val="24"/>
          <w:szCs w:val="24"/>
          <w:lang w:val="sq-AL"/>
        </w:rPr>
        <w:t>, deri në mbledhjen e komisionit. Komisioni, pas shqyrtimit të kërkesës, vlerëson masat e marra nga strukturat e Policisë së Shtetit dhe vendos, kur është rasti, për vazhdimin e mëtejshëm të tyre.</w:t>
      </w:r>
    </w:p>
    <w:p w14:paraId="740D00AA" w14:textId="0BE44741" w:rsidR="00F50D5E" w:rsidRPr="001A3820" w:rsidRDefault="00F50D5E" w:rsidP="00F50D5E">
      <w:pPr>
        <w:pStyle w:val="ListParagraph"/>
        <w:tabs>
          <w:tab w:val="left" w:pos="720"/>
          <w:tab w:val="left" w:pos="80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10. Kërkesat për sigurimin e m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brojtjes së veçantë shqyrtohen, </w:t>
      </w:r>
      <w:r w:rsidRPr="001A3820">
        <w:rPr>
          <w:rFonts w:ascii="Garamond" w:hAnsi="Garamond"/>
          <w:sz w:val="24"/>
          <w:szCs w:val="24"/>
          <w:lang w:val="sq-AL"/>
        </w:rPr>
        <w:t>sipas rastit, nga Komisioni për Mbrojtjen e Veçantë (në vijim “Komisioni”), i cili ngrihet dhe funksionon pranë Ministrisë së Drejtësisë, me përbërje si më poshtë vijon:</w:t>
      </w:r>
    </w:p>
    <w:p w14:paraId="31DF81E7" w14:textId="77777777" w:rsidR="00F50D5E" w:rsidRPr="001A3820" w:rsidRDefault="00F50D5E" w:rsidP="00F50D5E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a) 1 (një) përfaqësues i Ministrisë së Drejtësisë, i caktuar nga ministri, i cili është njëkohësisht edhe kryetar i komisionit;</w:t>
      </w:r>
    </w:p>
    <w:p w14:paraId="66875667" w14:textId="77777777" w:rsidR="00F50D5E" w:rsidRPr="001A3820" w:rsidRDefault="00F50D5E" w:rsidP="00F50D5E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>b) 1 (një) përfaqësues i Ministrisë së Brendshme, i caktuar nga ministri;</w:t>
      </w:r>
    </w:p>
    <w:p w14:paraId="710AA54D" w14:textId="35C7B64B" w:rsidR="00F50D5E" w:rsidRPr="001A3820" w:rsidRDefault="00F50D5E" w:rsidP="00F50D5E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c) 1 (një) përfaqësues i Drejtorisë së Përgjithshme të Burgjeve, i caktuar nga drejtuesi i 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1A3820">
        <w:rPr>
          <w:rFonts w:ascii="Garamond" w:hAnsi="Garamond"/>
          <w:sz w:val="24"/>
          <w:szCs w:val="24"/>
          <w:lang w:val="sq-AL"/>
        </w:rPr>
        <w:t>i Burgjeve;</w:t>
      </w:r>
    </w:p>
    <w:p w14:paraId="40746CCA" w14:textId="5C192E8F" w:rsidR="00F50D5E" w:rsidRPr="001A3820" w:rsidRDefault="00F50D5E" w:rsidP="00F50D5E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ç) 1 (një) përfaqësues i Drejtorisë së Përgjithshme të Policisë së Shtetit, i caktuar nga drejtuesi i 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1A3820">
        <w:rPr>
          <w:rFonts w:ascii="Garamond" w:hAnsi="Garamond"/>
          <w:sz w:val="24"/>
          <w:szCs w:val="24"/>
          <w:lang w:val="sq-AL"/>
        </w:rPr>
        <w:t>i Policisë së Shtetit.</w:t>
      </w:r>
    </w:p>
    <w:p w14:paraId="4D7E57ED" w14:textId="290A425C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11. Anëtarët e Komisionit kanë mandat 2</w:t>
      </w:r>
      <w:r w:rsidR="0075701B" w:rsidRPr="001A3820">
        <w:rPr>
          <w:rFonts w:ascii="Garamond" w:hAnsi="Garamond"/>
          <w:sz w:val="24"/>
          <w:szCs w:val="24"/>
          <w:lang w:val="sq-AL"/>
        </w:rPr>
        <w:t>-</w:t>
      </w:r>
      <w:r w:rsidR="0075701B" w:rsidRPr="001A3820">
        <w:rPr>
          <w:rFonts w:ascii="Garamond" w:hAnsi="Garamond"/>
          <w:sz w:val="24"/>
          <w:szCs w:val="24"/>
          <w:lang w:val="sq-AL"/>
        </w:rPr>
        <w:t>vjeçar</w:t>
      </w:r>
      <w:r w:rsidR="0075701B" w:rsidRPr="001A3820">
        <w:rPr>
          <w:rFonts w:ascii="Garamond" w:hAnsi="Garamond"/>
          <w:sz w:val="24"/>
          <w:szCs w:val="24"/>
          <w:lang w:val="sq-AL"/>
        </w:rPr>
        <w:t xml:space="preserve"> </w:t>
      </w:r>
      <w:r w:rsidRPr="001A3820">
        <w:rPr>
          <w:rFonts w:ascii="Garamond" w:hAnsi="Garamond"/>
          <w:sz w:val="24"/>
          <w:szCs w:val="24"/>
          <w:lang w:val="sq-AL"/>
        </w:rPr>
        <w:t>(dy</w:t>
      </w:r>
      <w:r w:rsidR="0075701B" w:rsidRPr="001A3820">
        <w:rPr>
          <w:rFonts w:ascii="Garamond" w:hAnsi="Garamond"/>
          <w:sz w:val="24"/>
          <w:szCs w:val="24"/>
          <w:lang w:val="sq-AL"/>
        </w:rPr>
        <w:t>vjeçar</w:t>
      </w:r>
      <w:r w:rsidRPr="001A3820">
        <w:rPr>
          <w:rFonts w:ascii="Garamond" w:hAnsi="Garamond"/>
          <w:sz w:val="24"/>
          <w:szCs w:val="24"/>
          <w:lang w:val="sq-AL"/>
        </w:rPr>
        <w:t xml:space="preserve">). </w:t>
      </w:r>
    </w:p>
    <w:p w14:paraId="02FFF113" w14:textId="08CE195A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12. Institucionet e përcaktuara në pikën 10 të këtij udhëzimi, caktojnë edhe nga 1 (një) përfaqësues zëvendësues, për të garantuar funksionimin e Komisionit në situata të veçanta. </w:t>
      </w:r>
    </w:p>
    <w:p w14:paraId="2FD00E71" w14:textId="572EA9BD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13. Ministria e Drejtësisë, Ministria e Brendshme, Drejtoria e Përgjithshme e Burgjeve dhe Drejtoria e Përgjithshme e Policisë së Shtetit</w:t>
      </w:r>
      <w:r w:rsidR="003379E0" w:rsidRPr="001A3820">
        <w:rPr>
          <w:rFonts w:ascii="Garamond" w:hAnsi="Garamond"/>
          <w:sz w:val="24"/>
          <w:szCs w:val="24"/>
          <w:lang w:val="sq-AL"/>
        </w:rPr>
        <w:t>,</w:t>
      </w:r>
      <w:r w:rsidRPr="001A3820">
        <w:rPr>
          <w:rFonts w:ascii="Garamond" w:hAnsi="Garamond"/>
          <w:sz w:val="24"/>
          <w:szCs w:val="24"/>
          <w:lang w:val="sq-AL"/>
        </w:rPr>
        <w:t xml:space="preserve"> brenda 15 (pesëmbëdhjetë) ditëve nga hyrja në fuqi e këtij udhëzimi caktojnë përfaqësuesit e Komisionit.</w:t>
      </w:r>
    </w:p>
    <w:p w14:paraId="5BC6C2CB" w14:textId="0C6E4828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14. Kryetari i Komisionit ushtron këto funksione:</w:t>
      </w:r>
    </w:p>
    <w:p w14:paraId="732BC9FF" w14:textId="1B30A55A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a) përgatit, thërret dhe drejton mbledhjet e Komisionit;</w:t>
      </w:r>
    </w:p>
    <w:p w14:paraId="71F13D2F" w14:textId="36F84CCB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b) përfaqëson Komisionin në marrëdhëniet me të tretët;</w:t>
      </w:r>
    </w:p>
    <w:p w14:paraId="4EC53686" w14:textId="104EEA04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c) siguron mbështetjen administrative dhe organizative për funksionimin e Komisionit;</w:t>
      </w:r>
    </w:p>
    <w:p w14:paraId="7EC995A8" w14:textId="1AAD3762" w:rsidR="00F50D5E" w:rsidRPr="001A3820" w:rsidRDefault="00F50D5E" w:rsidP="00F50D5E">
      <w:pPr>
        <w:pStyle w:val="ListParagraph"/>
        <w:tabs>
          <w:tab w:val="left" w:pos="72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ç)</w:t>
      </w:r>
      <w:r w:rsidR="006120BD" w:rsidRPr="001A3820">
        <w:rPr>
          <w:rFonts w:ascii="Garamond" w:hAnsi="Garamond"/>
          <w:sz w:val="24"/>
          <w:szCs w:val="24"/>
          <w:lang w:val="sq-AL"/>
        </w:rPr>
        <w:t xml:space="preserve"> </w:t>
      </w:r>
      <w:r w:rsidRPr="001A3820">
        <w:rPr>
          <w:rFonts w:ascii="Garamond" w:hAnsi="Garamond"/>
          <w:sz w:val="24"/>
          <w:szCs w:val="24"/>
          <w:lang w:val="sq-AL"/>
        </w:rPr>
        <w:t>siguron dokumentimin e mbledhjes së Komisionit dhe mbajtjen e dokumentacionit, në përputhje me legjislacionin për arkivat.</w:t>
      </w:r>
    </w:p>
    <w:p w14:paraId="167F4C37" w14:textId="7EED67AC" w:rsidR="00F50D5E" w:rsidRPr="001A3820" w:rsidRDefault="00F50D5E" w:rsidP="00F50D5E">
      <w:pPr>
        <w:pStyle w:val="ListParagraph"/>
        <w:tabs>
          <w:tab w:val="left" w:pos="720"/>
          <w:tab w:val="left" w:pos="980"/>
          <w:tab w:val="left" w:pos="11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15. Kryetari, menjëherë pas marrjes së kërkesës për mbrojtje, njofton anëtarët e Komisionit për mbajtjen e mbledhjes. Komisioni duhet të mblidhet menjëherë dhe jo më vonë se 48 (dyzet e tetë) orë nga paraqitja e kërkesës.</w:t>
      </w:r>
    </w:p>
    <w:p w14:paraId="2C9B88F6" w14:textId="700292A2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16. Ministria e Drejtësisë siguron mbështetjen e nevojshme organizative e administrative për realizimin e funksionit dhe të detyrave të Komisionit. </w:t>
      </w:r>
    </w:p>
    <w:p w14:paraId="65E21AEF" w14:textId="34328C1B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17. Mbledhjet e Komisionit janë të vlefshme</w:t>
      </w:r>
      <w:r w:rsidR="003379E0" w:rsidRPr="001A3820">
        <w:rPr>
          <w:rFonts w:ascii="Garamond" w:hAnsi="Garamond"/>
          <w:sz w:val="24"/>
          <w:szCs w:val="24"/>
          <w:lang w:val="sq-AL"/>
        </w:rPr>
        <w:t>,</w:t>
      </w:r>
      <w:r w:rsidRPr="001A3820">
        <w:rPr>
          <w:rFonts w:ascii="Garamond" w:hAnsi="Garamond"/>
          <w:sz w:val="24"/>
          <w:szCs w:val="24"/>
          <w:lang w:val="sq-AL"/>
        </w:rPr>
        <w:t xml:space="preserve"> kur në të janë të pranishëm të gjithë anëtarët e tij. Vendimet janë të vlefshme kur miratohen të paktën nga 3 (tre) anëtarë të pranishëm në mbledhje. </w:t>
      </w:r>
    </w:p>
    <w:p w14:paraId="2E302D4C" w14:textId="1235B67D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18. Komisioni e ushtron veprimtarinë e tij në mënyrë kolegjiale, sipas rregullave dhe procedurave të parashikuara në këtë udhëzim</w:t>
      </w:r>
      <w:r w:rsidR="003379E0" w:rsidRPr="001A3820">
        <w:rPr>
          <w:rFonts w:ascii="Garamond" w:hAnsi="Garamond"/>
          <w:sz w:val="24"/>
          <w:szCs w:val="24"/>
          <w:lang w:val="sq-AL"/>
        </w:rPr>
        <w:t>,</w:t>
      </w:r>
      <w:r w:rsidRPr="001A3820">
        <w:rPr>
          <w:rFonts w:ascii="Garamond" w:hAnsi="Garamond"/>
          <w:sz w:val="24"/>
          <w:szCs w:val="24"/>
          <w:lang w:val="sq-AL"/>
        </w:rPr>
        <w:t xml:space="preserve"> si dhe rregullat e parashikuara në legjislacionin në fuqi për organizimin e funksionimin e organeve kolegjiale. </w:t>
      </w:r>
    </w:p>
    <w:p w14:paraId="09469AB9" w14:textId="7354D8CF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19. Pjesëmarrja në mbledhjet e Komisionit është e detyrueshme. Kryetari i komisionit, në bashkëpunim më Sekretarin e Përgjithshëm të Ministrisë së Drejtësisë, cakton një sekretar, nga radhët e nëpunësve të Ministrisë, i cili mban procesverbalin e zhvillimit të mbledhjes.</w:t>
      </w:r>
    </w:p>
    <w:p w14:paraId="74AA6413" w14:textId="5CF61E44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20. Komisioni, në procesin e shqyrtimit të kërkesave për mbrojtje të veçantë të familjes e të pronës, sipas këtij udhëzimi, mund të kërkojë informacione nga institucione të tjera.</w:t>
      </w:r>
    </w:p>
    <w:p w14:paraId="47CE27EF" w14:textId="73066327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21. Komisioni merr në shqyrtim kërkesën e paraqitur dhe, kur bindet për nevojën e sigurimit të mbrojtjes, shprehet me vendim për të.</w:t>
      </w:r>
    </w:p>
    <w:p w14:paraId="4ADEDF8E" w14:textId="28EB05A2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22. Vendimi përmban masat konkrete të mbrojtjes së veçantë, numrin e shoqëruesve personal</w:t>
      </w:r>
      <w:r w:rsidR="003379E0" w:rsidRPr="001A3820">
        <w:rPr>
          <w:rFonts w:ascii="Garamond" w:hAnsi="Garamond"/>
          <w:sz w:val="24"/>
          <w:szCs w:val="24"/>
          <w:lang w:val="sq-AL"/>
        </w:rPr>
        <w:t>ë</w:t>
      </w:r>
      <w:r w:rsidRPr="001A3820">
        <w:rPr>
          <w:rFonts w:ascii="Garamond" w:hAnsi="Garamond"/>
          <w:sz w:val="24"/>
          <w:szCs w:val="24"/>
          <w:lang w:val="sq-AL"/>
        </w:rPr>
        <w:t xml:space="preserve">, kur është rasti, afatin, brenda të cilit sigurohet mbrojtja, si dhe masa të tjera, që lidhen me këtë mbrojtje. </w:t>
      </w:r>
    </w:p>
    <w:p w14:paraId="63331B5B" w14:textId="3493B736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lastRenderedPageBreak/>
        <w:t xml:space="preserve">23. Vendimi i Komisionit i njoftohet punonjësit së Policisë së Burgjeve nëpërmjet drejtuesit të Institucionit ku ushtron detyrën. Përfaqësuesi i Drejtorisë së Përgjithshme të Policisë së Shtetit njofton strukturat përgjegjëse për mbrojtjen. Punonjësit të Policisë së Burgjeve apo drejtuesit të </w:t>
      </w:r>
      <w:r w:rsidR="001A3820" w:rsidRPr="001A3820">
        <w:rPr>
          <w:rFonts w:ascii="Garamond" w:hAnsi="Garamond"/>
          <w:sz w:val="24"/>
          <w:szCs w:val="24"/>
          <w:lang w:val="sq-AL"/>
        </w:rPr>
        <w:t>Institucionit</w:t>
      </w:r>
      <w:r w:rsidR="003379E0" w:rsidRPr="001A3820">
        <w:rPr>
          <w:rFonts w:ascii="Garamond" w:hAnsi="Garamond"/>
          <w:sz w:val="24"/>
          <w:szCs w:val="24"/>
          <w:lang w:val="sq-AL"/>
        </w:rPr>
        <w:t xml:space="preserve">, </w:t>
      </w:r>
      <w:r w:rsidRPr="001A3820">
        <w:rPr>
          <w:rFonts w:ascii="Garamond" w:hAnsi="Garamond"/>
          <w:sz w:val="24"/>
          <w:szCs w:val="24"/>
          <w:lang w:val="sq-AL"/>
        </w:rPr>
        <w:t>që nuk e ushtron më detyrën ose që ka dalë në pension, i njoftohet vendimi i Komisionit pranë vendbanimit ose vendqëndrimit të tij.</w:t>
      </w:r>
    </w:p>
    <w:p w14:paraId="3AAD6AEB" w14:textId="6C7E9735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24. Komisioni, me kërkesë të subjekteve të përcaktuara në pikën 6 të këtij udhëzimi, kur ka të dhëna të besueshme që provojnë se një punonjësi të Policisë së Burgjeve apo drejtuesit të </w:t>
      </w:r>
      <w:r w:rsidR="001A3820" w:rsidRPr="001A3820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1A3820">
        <w:rPr>
          <w:rFonts w:ascii="Garamond" w:hAnsi="Garamond"/>
          <w:sz w:val="24"/>
          <w:szCs w:val="24"/>
          <w:lang w:val="sq-AL"/>
        </w:rPr>
        <w:t xml:space="preserve">i rrezikohet jeta, familja ose prona, mund të vendosë zgjatjen e afatit të masave të mbrojtjes, nëse rrethanat, për të cilat është siguruar më parë mbrojtja, vazhdojnë të ekzistojnë edhe pas përfundimit të afatit fillestar. </w:t>
      </w:r>
    </w:p>
    <w:p w14:paraId="29EB92B0" w14:textId="0C7CBA70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25. Në rast se rreziku ndaj jetës, familjes ose pronës pushon së ekzistuari përpara përfundimit të afatit të mbrojtjes, sipas përcaktimit në vendimin e Komisionit, me kërkesën e çdo subjekti të përcaktuar në pikën 6 të këtij udhëzimi, Komisioni mund të vendosë të ndërpresë mbrojtjen e veçantë.</w:t>
      </w:r>
    </w:p>
    <w:p w14:paraId="4D673132" w14:textId="5A7F4056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 xml:space="preserve">26. Në rast se punonjësit të Policisë së Burgjeve apo drejtuesit të </w:t>
      </w:r>
      <w:r w:rsidR="001A3820" w:rsidRPr="001A3820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1A3820">
        <w:rPr>
          <w:rFonts w:ascii="Garamond" w:hAnsi="Garamond"/>
          <w:sz w:val="24"/>
          <w:szCs w:val="24"/>
          <w:lang w:val="sq-AL"/>
        </w:rPr>
        <w:t>i shkaktohen dëme për jetën, shëndetin, pronën e tij ose familjes së tij, gjatë ushtrimit të funksionit ose për shkak të tij, dëmet shpërblehen nga shteti, në përputhje me legjislacionin në fuqi.</w:t>
      </w:r>
    </w:p>
    <w:p w14:paraId="0AD71B0B" w14:textId="07AD3E47" w:rsidR="00F50D5E" w:rsidRPr="001A3820" w:rsidRDefault="00F50D5E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27. Ngarkohen Komisioni, Drejtoria e Përgjithshme e Burgjeve dhe Drejtoria e Përgjithshme e Policisë së Shtetit për zbatimin e këtij udhëzimi.</w:t>
      </w:r>
    </w:p>
    <w:p w14:paraId="79351A3B" w14:textId="3C9DD6E8" w:rsidR="00F50D5E" w:rsidRPr="001A3820" w:rsidRDefault="003379E0" w:rsidP="00F50D5E">
      <w:pPr>
        <w:pStyle w:val="ListParagraph"/>
        <w:tabs>
          <w:tab w:val="left" w:pos="720"/>
          <w:tab w:val="left" w:pos="9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sz w:val="24"/>
          <w:szCs w:val="24"/>
          <w:lang w:val="sq-AL"/>
        </w:rPr>
        <w:t>28. Ngarkohet Sektori i Arkiv-</w:t>
      </w:r>
      <w:r w:rsidR="00F50D5E" w:rsidRPr="001A3820">
        <w:rPr>
          <w:rFonts w:ascii="Garamond" w:hAnsi="Garamond"/>
          <w:sz w:val="24"/>
          <w:szCs w:val="24"/>
          <w:lang w:val="sq-AL"/>
        </w:rPr>
        <w:t>Protokollit për marrjen e masave për njoftimin e këtij udhëzimi.</w:t>
      </w:r>
    </w:p>
    <w:p w14:paraId="053C5434" w14:textId="77777777" w:rsidR="00F50D5E" w:rsidRPr="001A3820" w:rsidRDefault="00F50D5E" w:rsidP="00F50D5E">
      <w:pPr>
        <w:ind w:firstLine="284"/>
        <w:jc w:val="both"/>
        <w:rPr>
          <w:rFonts w:ascii="Garamond" w:hAnsi="Garamond"/>
        </w:rPr>
      </w:pPr>
      <w:r w:rsidRPr="001A3820">
        <w:rPr>
          <w:rFonts w:ascii="Garamond" w:hAnsi="Garamond"/>
        </w:rPr>
        <w:t>Ky udhëzim hyn në fuqi pas botimit në Fletoren Zyrtare.</w:t>
      </w:r>
    </w:p>
    <w:p w14:paraId="767711A6" w14:textId="77777777" w:rsidR="00F50D5E" w:rsidRPr="001A3820" w:rsidRDefault="00F50D5E" w:rsidP="00F50D5E">
      <w:pPr>
        <w:tabs>
          <w:tab w:val="left" w:pos="360"/>
        </w:tabs>
        <w:ind w:firstLine="284"/>
        <w:jc w:val="right"/>
        <w:rPr>
          <w:rFonts w:ascii="Garamond" w:hAnsi="Garamond"/>
        </w:rPr>
      </w:pPr>
    </w:p>
    <w:p w14:paraId="30433086" w14:textId="220772B7" w:rsidR="00F50D5E" w:rsidRPr="001A3820" w:rsidRDefault="00F50D5E" w:rsidP="00F50D5E">
      <w:pPr>
        <w:tabs>
          <w:tab w:val="left" w:pos="440"/>
          <w:tab w:val="left" w:pos="2400"/>
        </w:tabs>
        <w:ind w:firstLine="284"/>
        <w:jc w:val="right"/>
        <w:rPr>
          <w:rFonts w:ascii="Garamond" w:hAnsi="Garamond"/>
          <w:bCs/>
        </w:rPr>
      </w:pPr>
      <w:r w:rsidRPr="001A3820">
        <w:rPr>
          <w:rFonts w:ascii="Garamond" w:hAnsi="Garamond"/>
          <w:bCs/>
        </w:rPr>
        <w:t>MINIST</w:t>
      </w:r>
      <w:r w:rsidR="0087703B" w:rsidRPr="001A3820">
        <w:rPr>
          <w:rFonts w:ascii="Garamond" w:hAnsi="Garamond"/>
          <w:bCs/>
        </w:rPr>
        <w:t>ËR</w:t>
      </w:r>
      <w:r w:rsidRPr="001A3820">
        <w:rPr>
          <w:rFonts w:ascii="Garamond" w:hAnsi="Garamond"/>
          <w:bCs/>
        </w:rPr>
        <w:t xml:space="preserve"> I DREJTËSISË </w:t>
      </w:r>
    </w:p>
    <w:p w14:paraId="1B63A8A5" w14:textId="75F03016" w:rsidR="00F50D5E" w:rsidRPr="001A3820" w:rsidRDefault="00F50D5E" w:rsidP="00F50D5E">
      <w:pPr>
        <w:pStyle w:val="ListParagraph"/>
        <w:tabs>
          <w:tab w:val="left" w:pos="2400"/>
        </w:tabs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A3820">
        <w:rPr>
          <w:rFonts w:ascii="Garamond" w:hAnsi="Garamond"/>
          <w:b/>
          <w:bCs/>
          <w:sz w:val="24"/>
          <w:szCs w:val="24"/>
          <w:lang w:val="sq-AL"/>
        </w:rPr>
        <w:t>Ulsi Manja</w:t>
      </w:r>
    </w:p>
    <w:p w14:paraId="1A71B827" w14:textId="77777777" w:rsidR="00F50D5E" w:rsidRPr="001A3820" w:rsidRDefault="00F50D5E" w:rsidP="00F50D5E">
      <w:pPr>
        <w:pStyle w:val="ListParagraph"/>
        <w:tabs>
          <w:tab w:val="left" w:pos="2400"/>
        </w:tabs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257331DF" w14:textId="5B3F5619" w:rsidR="00F50D5E" w:rsidRPr="001A3820" w:rsidRDefault="0087703B" w:rsidP="00F50D5E">
      <w:pPr>
        <w:tabs>
          <w:tab w:val="left" w:pos="440"/>
          <w:tab w:val="left" w:pos="2400"/>
        </w:tabs>
        <w:ind w:firstLine="284"/>
        <w:jc w:val="right"/>
        <w:rPr>
          <w:rFonts w:ascii="Garamond" w:hAnsi="Garamond"/>
          <w:bCs/>
        </w:rPr>
      </w:pPr>
      <w:r w:rsidRPr="001A3820">
        <w:rPr>
          <w:rFonts w:ascii="Garamond" w:hAnsi="Garamond"/>
          <w:bCs/>
        </w:rPr>
        <w:t>MINISTËR</w:t>
      </w:r>
      <w:r w:rsidR="00F50D5E" w:rsidRPr="001A3820">
        <w:rPr>
          <w:rFonts w:ascii="Garamond" w:hAnsi="Garamond"/>
          <w:bCs/>
        </w:rPr>
        <w:t xml:space="preserve"> I BRENDSHËM</w:t>
      </w:r>
    </w:p>
    <w:p w14:paraId="21401F5A" w14:textId="1CAFB29B" w:rsidR="00F50D5E" w:rsidRPr="001A3820" w:rsidRDefault="00F50D5E" w:rsidP="00F50D5E">
      <w:pPr>
        <w:pStyle w:val="ListParagraph"/>
        <w:tabs>
          <w:tab w:val="left" w:pos="2400"/>
        </w:tabs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1A3820">
        <w:rPr>
          <w:rFonts w:ascii="Garamond" w:hAnsi="Garamond"/>
          <w:b/>
          <w:bCs/>
          <w:sz w:val="24"/>
          <w:szCs w:val="24"/>
          <w:lang w:val="sq-AL"/>
        </w:rPr>
        <w:t>Bledar Çuçi</w:t>
      </w:r>
    </w:p>
    <w:p w14:paraId="63C3B0A0" w14:textId="0367D2A6" w:rsidR="00EA6422" w:rsidRPr="001A3820" w:rsidRDefault="00EA6422" w:rsidP="00F50D5E">
      <w:pPr>
        <w:ind w:firstLine="284"/>
        <w:jc w:val="right"/>
        <w:rPr>
          <w:rFonts w:ascii="Garamond" w:hAnsi="Garamond"/>
        </w:rPr>
      </w:pPr>
    </w:p>
    <w:sectPr w:rsidR="00EA6422" w:rsidRPr="001A3820" w:rsidSect="0087703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7999B" w14:textId="77777777" w:rsidR="0087703B" w:rsidRDefault="0087703B" w:rsidP="00944318">
      <w:r>
        <w:separator/>
      </w:r>
    </w:p>
  </w:endnote>
  <w:endnote w:type="continuationSeparator" w:id="0">
    <w:p w14:paraId="686A058E" w14:textId="77777777" w:rsidR="0087703B" w:rsidRDefault="0087703B" w:rsidP="00944318">
      <w:r>
        <w:continuationSeparator/>
      </w:r>
    </w:p>
  </w:endnote>
  <w:endnote w:type="continuationNotice" w:id="1">
    <w:p w14:paraId="0900D018" w14:textId="77777777" w:rsidR="0087703B" w:rsidRDefault="008770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C7361" w14:textId="77777777" w:rsidR="0087703B" w:rsidRDefault="0087703B" w:rsidP="00944318">
      <w:r>
        <w:separator/>
      </w:r>
    </w:p>
  </w:footnote>
  <w:footnote w:type="continuationSeparator" w:id="0">
    <w:p w14:paraId="43B762E7" w14:textId="77777777" w:rsidR="0087703B" w:rsidRDefault="0087703B" w:rsidP="00944318">
      <w:r>
        <w:continuationSeparator/>
      </w:r>
    </w:p>
  </w:footnote>
  <w:footnote w:type="continuationNotice" w:id="1">
    <w:p w14:paraId="307141AE" w14:textId="77777777" w:rsidR="0087703B" w:rsidRDefault="008770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C66A0"/>
    <w:multiLevelType w:val="hybridMultilevel"/>
    <w:tmpl w:val="55E6CAD6"/>
    <w:lvl w:ilvl="0" w:tplc="1A4EA47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8066D7"/>
    <w:multiLevelType w:val="hybridMultilevel"/>
    <w:tmpl w:val="89B688E2"/>
    <w:lvl w:ilvl="0" w:tplc="E8524F9C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15F5E"/>
    <w:multiLevelType w:val="hybridMultilevel"/>
    <w:tmpl w:val="3C2CF814"/>
    <w:lvl w:ilvl="0" w:tplc="0809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60A73"/>
    <w:multiLevelType w:val="hybridMultilevel"/>
    <w:tmpl w:val="01B4C402"/>
    <w:lvl w:ilvl="0" w:tplc="5684801E">
      <w:start w:val="1"/>
      <w:numFmt w:val="decimal"/>
      <w:lvlText w:val="%1."/>
      <w:lvlJc w:val="left"/>
      <w:pPr>
        <w:ind w:left="214" w:hanging="308"/>
      </w:pPr>
      <w:rPr>
        <w:rFonts w:ascii="Times New Roman" w:eastAsia="Times New Roman" w:hAnsi="Times New Roman" w:cs="Times New Roman"/>
        <w:spacing w:val="-26"/>
        <w:w w:val="99"/>
        <w:sz w:val="24"/>
        <w:szCs w:val="24"/>
        <w:lang w:val="sq-AL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547" w:hanging="360"/>
      </w:pPr>
    </w:lvl>
    <w:lvl w:ilvl="2" w:tplc="041C001B" w:tentative="1">
      <w:start w:val="1"/>
      <w:numFmt w:val="lowerRoman"/>
      <w:lvlText w:val="%3."/>
      <w:lvlJc w:val="right"/>
      <w:pPr>
        <w:ind w:left="2267" w:hanging="180"/>
      </w:pPr>
    </w:lvl>
    <w:lvl w:ilvl="3" w:tplc="041C000F" w:tentative="1">
      <w:start w:val="1"/>
      <w:numFmt w:val="decimal"/>
      <w:lvlText w:val="%4."/>
      <w:lvlJc w:val="left"/>
      <w:pPr>
        <w:ind w:left="2987" w:hanging="360"/>
      </w:pPr>
    </w:lvl>
    <w:lvl w:ilvl="4" w:tplc="041C0019" w:tentative="1">
      <w:start w:val="1"/>
      <w:numFmt w:val="lowerLetter"/>
      <w:lvlText w:val="%5."/>
      <w:lvlJc w:val="left"/>
      <w:pPr>
        <w:ind w:left="3707" w:hanging="360"/>
      </w:pPr>
    </w:lvl>
    <w:lvl w:ilvl="5" w:tplc="041C001B" w:tentative="1">
      <w:start w:val="1"/>
      <w:numFmt w:val="lowerRoman"/>
      <w:lvlText w:val="%6."/>
      <w:lvlJc w:val="right"/>
      <w:pPr>
        <w:ind w:left="4427" w:hanging="180"/>
      </w:pPr>
    </w:lvl>
    <w:lvl w:ilvl="6" w:tplc="041C000F" w:tentative="1">
      <w:start w:val="1"/>
      <w:numFmt w:val="decimal"/>
      <w:lvlText w:val="%7."/>
      <w:lvlJc w:val="left"/>
      <w:pPr>
        <w:ind w:left="5147" w:hanging="360"/>
      </w:pPr>
    </w:lvl>
    <w:lvl w:ilvl="7" w:tplc="041C0019" w:tentative="1">
      <w:start w:val="1"/>
      <w:numFmt w:val="lowerLetter"/>
      <w:lvlText w:val="%8."/>
      <w:lvlJc w:val="left"/>
      <w:pPr>
        <w:ind w:left="5867" w:hanging="360"/>
      </w:pPr>
    </w:lvl>
    <w:lvl w:ilvl="8" w:tplc="041C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>
    <w:nsid w:val="19C83D55"/>
    <w:multiLevelType w:val="hybridMultilevel"/>
    <w:tmpl w:val="C0586018"/>
    <w:lvl w:ilvl="0" w:tplc="5EC066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25625C"/>
    <w:multiLevelType w:val="hybridMultilevel"/>
    <w:tmpl w:val="FCD62628"/>
    <w:lvl w:ilvl="0" w:tplc="75C2F6AE">
      <w:start w:val="1"/>
      <w:numFmt w:val="decimal"/>
      <w:lvlText w:val="%1."/>
      <w:lvlJc w:val="left"/>
      <w:pPr>
        <w:ind w:left="107" w:hanging="359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sq-AL" w:eastAsia="en-US" w:bidi="ar-SA"/>
      </w:rPr>
    </w:lvl>
    <w:lvl w:ilvl="1" w:tplc="3AAA0EBC">
      <w:numFmt w:val="bullet"/>
      <w:lvlText w:val="•"/>
      <w:lvlJc w:val="left"/>
      <w:pPr>
        <w:ind w:left="523" w:hanging="359"/>
      </w:pPr>
      <w:rPr>
        <w:rFonts w:hint="default"/>
        <w:lang w:val="sq-AL" w:eastAsia="en-US" w:bidi="ar-SA"/>
      </w:rPr>
    </w:lvl>
    <w:lvl w:ilvl="2" w:tplc="BC602190">
      <w:numFmt w:val="bullet"/>
      <w:lvlText w:val="•"/>
      <w:lvlJc w:val="left"/>
      <w:pPr>
        <w:ind w:left="946" w:hanging="359"/>
      </w:pPr>
      <w:rPr>
        <w:rFonts w:hint="default"/>
        <w:lang w:val="sq-AL" w:eastAsia="en-US" w:bidi="ar-SA"/>
      </w:rPr>
    </w:lvl>
    <w:lvl w:ilvl="3" w:tplc="ECF8AFD0">
      <w:numFmt w:val="bullet"/>
      <w:lvlText w:val="•"/>
      <w:lvlJc w:val="left"/>
      <w:pPr>
        <w:ind w:left="1369" w:hanging="359"/>
      </w:pPr>
      <w:rPr>
        <w:rFonts w:hint="default"/>
        <w:lang w:val="sq-AL" w:eastAsia="en-US" w:bidi="ar-SA"/>
      </w:rPr>
    </w:lvl>
    <w:lvl w:ilvl="4" w:tplc="58FAD8B4">
      <w:numFmt w:val="bullet"/>
      <w:lvlText w:val="•"/>
      <w:lvlJc w:val="left"/>
      <w:pPr>
        <w:ind w:left="1792" w:hanging="359"/>
      </w:pPr>
      <w:rPr>
        <w:rFonts w:hint="default"/>
        <w:lang w:val="sq-AL" w:eastAsia="en-US" w:bidi="ar-SA"/>
      </w:rPr>
    </w:lvl>
    <w:lvl w:ilvl="5" w:tplc="011AB7D6">
      <w:numFmt w:val="bullet"/>
      <w:lvlText w:val="•"/>
      <w:lvlJc w:val="left"/>
      <w:pPr>
        <w:ind w:left="2215" w:hanging="359"/>
      </w:pPr>
      <w:rPr>
        <w:rFonts w:hint="default"/>
        <w:lang w:val="sq-AL" w:eastAsia="en-US" w:bidi="ar-SA"/>
      </w:rPr>
    </w:lvl>
    <w:lvl w:ilvl="6" w:tplc="248208AA">
      <w:numFmt w:val="bullet"/>
      <w:lvlText w:val="•"/>
      <w:lvlJc w:val="left"/>
      <w:pPr>
        <w:ind w:left="2638" w:hanging="359"/>
      </w:pPr>
      <w:rPr>
        <w:rFonts w:hint="default"/>
        <w:lang w:val="sq-AL" w:eastAsia="en-US" w:bidi="ar-SA"/>
      </w:rPr>
    </w:lvl>
    <w:lvl w:ilvl="7" w:tplc="D918FD52">
      <w:numFmt w:val="bullet"/>
      <w:lvlText w:val="•"/>
      <w:lvlJc w:val="left"/>
      <w:pPr>
        <w:ind w:left="3061" w:hanging="359"/>
      </w:pPr>
      <w:rPr>
        <w:rFonts w:hint="default"/>
        <w:lang w:val="sq-AL" w:eastAsia="en-US" w:bidi="ar-SA"/>
      </w:rPr>
    </w:lvl>
    <w:lvl w:ilvl="8" w:tplc="B890EAC4">
      <w:numFmt w:val="bullet"/>
      <w:lvlText w:val="•"/>
      <w:lvlJc w:val="left"/>
      <w:pPr>
        <w:ind w:left="3484" w:hanging="359"/>
      </w:pPr>
      <w:rPr>
        <w:rFonts w:hint="default"/>
        <w:lang w:val="sq-AL" w:eastAsia="en-US" w:bidi="ar-SA"/>
      </w:rPr>
    </w:lvl>
  </w:abstractNum>
  <w:abstractNum w:abstractNumId="6">
    <w:nsid w:val="1C790FC0"/>
    <w:multiLevelType w:val="hybridMultilevel"/>
    <w:tmpl w:val="CE96EB6A"/>
    <w:lvl w:ilvl="0" w:tplc="6F04812A">
      <w:start w:val="1"/>
      <w:numFmt w:val="decimal"/>
      <w:lvlText w:val="%1."/>
      <w:lvlJc w:val="left"/>
      <w:pPr>
        <w:ind w:left="107" w:hanging="276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sq-AL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1B5D8C"/>
    <w:multiLevelType w:val="hybridMultilevel"/>
    <w:tmpl w:val="20B4E5EA"/>
    <w:lvl w:ilvl="0" w:tplc="08090017">
      <w:start w:val="1"/>
      <w:numFmt w:val="lowerLetter"/>
      <w:lvlText w:val="%1)"/>
      <w:lvlJc w:val="left"/>
      <w:pPr>
        <w:ind w:left="1495" w:hanging="360"/>
      </w:p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28DA6B26"/>
    <w:multiLevelType w:val="hybridMultilevel"/>
    <w:tmpl w:val="AB6A94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D7426"/>
    <w:multiLevelType w:val="hybridMultilevel"/>
    <w:tmpl w:val="5DF26E0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8E2077F"/>
    <w:multiLevelType w:val="hybridMultilevel"/>
    <w:tmpl w:val="D3CCAF0E"/>
    <w:lvl w:ilvl="0" w:tplc="27069C1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29152E"/>
    <w:multiLevelType w:val="hybridMultilevel"/>
    <w:tmpl w:val="8D768D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04786"/>
    <w:multiLevelType w:val="hybridMultilevel"/>
    <w:tmpl w:val="D55492AE"/>
    <w:lvl w:ilvl="0" w:tplc="FD6CD1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5F270D"/>
    <w:multiLevelType w:val="hybridMultilevel"/>
    <w:tmpl w:val="A7501D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BF59FF"/>
    <w:multiLevelType w:val="hybridMultilevel"/>
    <w:tmpl w:val="BB1499D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245100D"/>
    <w:multiLevelType w:val="hybridMultilevel"/>
    <w:tmpl w:val="2D22C0AE"/>
    <w:lvl w:ilvl="0" w:tplc="5684801E">
      <w:start w:val="1"/>
      <w:numFmt w:val="decimal"/>
      <w:lvlText w:val="%1."/>
      <w:lvlJc w:val="left"/>
      <w:pPr>
        <w:ind w:left="107" w:hanging="308"/>
      </w:pPr>
      <w:rPr>
        <w:rFonts w:ascii="Times New Roman" w:eastAsia="Times New Roman" w:hAnsi="Times New Roman" w:cs="Times New Roman"/>
        <w:spacing w:val="-26"/>
        <w:w w:val="99"/>
        <w:sz w:val="24"/>
        <w:szCs w:val="24"/>
        <w:lang w:val="sq-AL" w:eastAsia="en-US" w:bidi="ar-SA"/>
      </w:rPr>
    </w:lvl>
    <w:lvl w:ilvl="1" w:tplc="86FCF46A">
      <w:numFmt w:val="bullet"/>
      <w:lvlText w:val="•"/>
      <w:lvlJc w:val="left"/>
      <w:pPr>
        <w:ind w:left="523" w:hanging="308"/>
      </w:pPr>
      <w:rPr>
        <w:rFonts w:hint="default"/>
        <w:lang w:val="sq-AL" w:eastAsia="en-US" w:bidi="ar-SA"/>
      </w:rPr>
    </w:lvl>
    <w:lvl w:ilvl="2" w:tplc="3D06A2CC">
      <w:numFmt w:val="bullet"/>
      <w:lvlText w:val="•"/>
      <w:lvlJc w:val="left"/>
      <w:pPr>
        <w:ind w:left="946" w:hanging="308"/>
      </w:pPr>
      <w:rPr>
        <w:rFonts w:hint="default"/>
        <w:lang w:val="sq-AL" w:eastAsia="en-US" w:bidi="ar-SA"/>
      </w:rPr>
    </w:lvl>
    <w:lvl w:ilvl="3" w:tplc="1AFEDD56">
      <w:numFmt w:val="bullet"/>
      <w:lvlText w:val="•"/>
      <w:lvlJc w:val="left"/>
      <w:pPr>
        <w:ind w:left="1369" w:hanging="308"/>
      </w:pPr>
      <w:rPr>
        <w:rFonts w:hint="default"/>
        <w:lang w:val="sq-AL" w:eastAsia="en-US" w:bidi="ar-SA"/>
      </w:rPr>
    </w:lvl>
    <w:lvl w:ilvl="4" w:tplc="C3AC32AC">
      <w:numFmt w:val="bullet"/>
      <w:lvlText w:val="•"/>
      <w:lvlJc w:val="left"/>
      <w:pPr>
        <w:ind w:left="1792" w:hanging="308"/>
      </w:pPr>
      <w:rPr>
        <w:rFonts w:hint="default"/>
        <w:lang w:val="sq-AL" w:eastAsia="en-US" w:bidi="ar-SA"/>
      </w:rPr>
    </w:lvl>
    <w:lvl w:ilvl="5" w:tplc="7EBEB1C8">
      <w:numFmt w:val="bullet"/>
      <w:lvlText w:val="•"/>
      <w:lvlJc w:val="left"/>
      <w:pPr>
        <w:ind w:left="2215" w:hanging="308"/>
      </w:pPr>
      <w:rPr>
        <w:rFonts w:hint="default"/>
        <w:lang w:val="sq-AL" w:eastAsia="en-US" w:bidi="ar-SA"/>
      </w:rPr>
    </w:lvl>
    <w:lvl w:ilvl="6" w:tplc="C7DE276A">
      <w:numFmt w:val="bullet"/>
      <w:lvlText w:val="•"/>
      <w:lvlJc w:val="left"/>
      <w:pPr>
        <w:ind w:left="2638" w:hanging="308"/>
      </w:pPr>
      <w:rPr>
        <w:rFonts w:hint="default"/>
        <w:lang w:val="sq-AL" w:eastAsia="en-US" w:bidi="ar-SA"/>
      </w:rPr>
    </w:lvl>
    <w:lvl w:ilvl="7" w:tplc="61DE0598">
      <w:numFmt w:val="bullet"/>
      <w:lvlText w:val="•"/>
      <w:lvlJc w:val="left"/>
      <w:pPr>
        <w:ind w:left="3061" w:hanging="308"/>
      </w:pPr>
      <w:rPr>
        <w:rFonts w:hint="default"/>
        <w:lang w:val="sq-AL" w:eastAsia="en-US" w:bidi="ar-SA"/>
      </w:rPr>
    </w:lvl>
    <w:lvl w:ilvl="8" w:tplc="F15C0028">
      <w:numFmt w:val="bullet"/>
      <w:lvlText w:val="•"/>
      <w:lvlJc w:val="left"/>
      <w:pPr>
        <w:ind w:left="3484" w:hanging="308"/>
      </w:pPr>
      <w:rPr>
        <w:rFonts w:hint="default"/>
        <w:lang w:val="sq-AL" w:eastAsia="en-US" w:bidi="ar-SA"/>
      </w:rPr>
    </w:lvl>
  </w:abstractNum>
  <w:abstractNum w:abstractNumId="16">
    <w:nsid w:val="73431738"/>
    <w:multiLevelType w:val="hybridMultilevel"/>
    <w:tmpl w:val="1CC2BEA0"/>
    <w:lvl w:ilvl="0" w:tplc="5D5048B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7510392C"/>
    <w:multiLevelType w:val="hybridMultilevel"/>
    <w:tmpl w:val="2B2EF8C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88274EA"/>
    <w:multiLevelType w:val="hybridMultilevel"/>
    <w:tmpl w:val="16A8A31A"/>
    <w:lvl w:ilvl="0" w:tplc="95D0F81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87" w:hanging="360"/>
      </w:pPr>
    </w:lvl>
    <w:lvl w:ilvl="2" w:tplc="041C001B" w:tentative="1">
      <w:start w:val="1"/>
      <w:numFmt w:val="lowerRoman"/>
      <w:lvlText w:val="%3."/>
      <w:lvlJc w:val="right"/>
      <w:pPr>
        <w:ind w:left="1907" w:hanging="180"/>
      </w:pPr>
    </w:lvl>
    <w:lvl w:ilvl="3" w:tplc="041C000F" w:tentative="1">
      <w:start w:val="1"/>
      <w:numFmt w:val="decimal"/>
      <w:lvlText w:val="%4."/>
      <w:lvlJc w:val="left"/>
      <w:pPr>
        <w:ind w:left="2627" w:hanging="360"/>
      </w:pPr>
    </w:lvl>
    <w:lvl w:ilvl="4" w:tplc="041C0019" w:tentative="1">
      <w:start w:val="1"/>
      <w:numFmt w:val="lowerLetter"/>
      <w:lvlText w:val="%5."/>
      <w:lvlJc w:val="left"/>
      <w:pPr>
        <w:ind w:left="3347" w:hanging="360"/>
      </w:pPr>
    </w:lvl>
    <w:lvl w:ilvl="5" w:tplc="041C001B" w:tentative="1">
      <w:start w:val="1"/>
      <w:numFmt w:val="lowerRoman"/>
      <w:lvlText w:val="%6."/>
      <w:lvlJc w:val="right"/>
      <w:pPr>
        <w:ind w:left="4067" w:hanging="180"/>
      </w:pPr>
    </w:lvl>
    <w:lvl w:ilvl="6" w:tplc="041C000F" w:tentative="1">
      <w:start w:val="1"/>
      <w:numFmt w:val="decimal"/>
      <w:lvlText w:val="%7."/>
      <w:lvlJc w:val="left"/>
      <w:pPr>
        <w:ind w:left="4787" w:hanging="360"/>
      </w:pPr>
    </w:lvl>
    <w:lvl w:ilvl="7" w:tplc="041C0019" w:tentative="1">
      <w:start w:val="1"/>
      <w:numFmt w:val="lowerLetter"/>
      <w:lvlText w:val="%8."/>
      <w:lvlJc w:val="left"/>
      <w:pPr>
        <w:ind w:left="5507" w:hanging="360"/>
      </w:pPr>
    </w:lvl>
    <w:lvl w:ilvl="8" w:tplc="041C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9">
    <w:nsid w:val="798D5C11"/>
    <w:multiLevelType w:val="hybridMultilevel"/>
    <w:tmpl w:val="CF84B54A"/>
    <w:lvl w:ilvl="0" w:tplc="6F04812A">
      <w:start w:val="1"/>
      <w:numFmt w:val="decimal"/>
      <w:lvlText w:val="%1."/>
      <w:lvlJc w:val="left"/>
      <w:pPr>
        <w:ind w:left="107" w:hanging="276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sq-AL" w:eastAsia="en-US" w:bidi="ar-SA"/>
      </w:rPr>
    </w:lvl>
    <w:lvl w:ilvl="1" w:tplc="E4F08670">
      <w:numFmt w:val="bullet"/>
      <w:lvlText w:val="•"/>
      <w:lvlJc w:val="left"/>
      <w:pPr>
        <w:ind w:left="523" w:hanging="276"/>
      </w:pPr>
      <w:rPr>
        <w:rFonts w:hint="default"/>
        <w:lang w:val="sq-AL" w:eastAsia="en-US" w:bidi="ar-SA"/>
      </w:rPr>
    </w:lvl>
    <w:lvl w:ilvl="2" w:tplc="1F2E8630">
      <w:numFmt w:val="bullet"/>
      <w:lvlText w:val="•"/>
      <w:lvlJc w:val="left"/>
      <w:pPr>
        <w:ind w:left="946" w:hanging="276"/>
      </w:pPr>
      <w:rPr>
        <w:rFonts w:hint="default"/>
        <w:lang w:val="sq-AL" w:eastAsia="en-US" w:bidi="ar-SA"/>
      </w:rPr>
    </w:lvl>
    <w:lvl w:ilvl="3" w:tplc="83548FAC">
      <w:numFmt w:val="bullet"/>
      <w:lvlText w:val="•"/>
      <w:lvlJc w:val="left"/>
      <w:pPr>
        <w:ind w:left="1369" w:hanging="276"/>
      </w:pPr>
      <w:rPr>
        <w:rFonts w:hint="default"/>
        <w:lang w:val="sq-AL" w:eastAsia="en-US" w:bidi="ar-SA"/>
      </w:rPr>
    </w:lvl>
    <w:lvl w:ilvl="4" w:tplc="26061A46">
      <w:numFmt w:val="bullet"/>
      <w:lvlText w:val="•"/>
      <w:lvlJc w:val="left"/>
      <w:pPr>
        <w:ind w:left="1792" w:hanging="276"/>
      </w:pPr>
      <w:rPr>
        <w:rFonts w:hint="default"/>
        <w:lang w:val="sq-AL" w:eastAsia="en-US" w:bidi="ar-SA"/>
      </w:rPr>
    </w:lvl>
    <w:lvl w:ilvl="5" w:tplc="75EA0C6A">
      <w:numFmt w:val="bullet"/>
      <w:lvlText w:val="•"/>
      <w:lvlJc w:val="left"/>
      <w:pPr>
        <w:ind w:left="2215" w:hanging="276"/>
      </w:pPr>
      <w:rPr>
        <w:rFonts w:hint="default"/>
        <w:lang w:val="sq-AL" w:eastAsia="en-US" w:bidi="ar-SA"/>
      </w:rPr>
    </w:lvl>
    <w:lvl w:ilvl="6" w:tplc="8C6CA6FC">
      <w:numFmt w:val="bullet"/>
      <w:lvlText w:val="•"/>
      <w:lvlJc w:val="left"/>
      <w:pPr>
        <w:ind w:left="2638" w:hanging="276"/>
      </w:pPr>
      <w:rPr>
        <w:rFonts w:hint="default"/>
        <w:lang w:val="sq-AL" w:eastAsia="en-US" w:bidi="ar-SA"/>
      </w:rPr>
    </w:lvl>
    <w:lvl w:ilvl="7" w:tplc="A6F6A7F0">
      <w:numFmt w:val="bullet"/>
      <w:lvlText w:val="•"/>
      <w:lvlJc w:val="left"/>
      <w:pPr>
        <w:ind w:left="3061" w:hanging="276"/>
      </w:pPr>
      <w:rPr>
        <w:rFonts w:hint="default"/>
        <w:lang w:val="sq-AL" w:eastAsia="en-US" w:bidi="ar-SA"/>
      </w:rPr>
    </w:lvl>
    <w:lvl w:ilvl="8" w:tplc="42843AD4">
      <w:numFmt w:val="bullet"/>
      <w:lvlText w:val="•"/>
      <w:lvlJc w:val="left"/>
      <w:pPr>
        <w:ind w:left="3484" w:hanging="276"/>
      </w:pPr>
      <w:rPr>
        <w:rFonts w:hint="default"/>
        <w:lang w:val="sq-AL" w:eastAsia="en-US" w:bidi="ar-SA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9"/>
  </w:num>
  <w:num w:numId="5">
    <w:abstractNumId w:val="3"/>
  </w:num>
  <w:num w:numId="6">
    <w:abstractNumId w:val="6"/>
  </w:num>
  <w:num w:numId="7">
    <w:abstractNumId w:val="18"/>
  </w:num>
  <w:num w:numId="8">
    <w:abstractNumId w:val="1"/>
  </w:num>
  <w:num w:numId="9">
    <w:abstractNumId w:val="16"/>
  </w:num>
  <w:num w:numId="10">
    <w:abstractNumId w:val="2"/>
  </w:num>
  <w:num w:numId="11">
    <w:abstractNumId w:val="12"/>
  </w:num>
  <w:num w:numId="12">
    <w:abstractNumId w:val="10"/>
  </w:num>
  <w:num w:numId="13">
    <w:abstractNumId w:val="11"/>
  </w:num>
  <w:num w:numId="14">
    <w:abstractNumId w:val="13"/>
  </w:num>
  <w:num w:numId="15">
    <w:abstractNumId w:val="17"/>
  </w:num>
  <w:num w:numId="16">
    <w:abstractNumId w:val="14"/>
  </w:num>
  <w:num w:numId="17">
    <w:abstractNumId w:val="8"/>
  </w:num>
  <w:num w:numId="18">
    <w:abstractNumId w:val="4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B80"/>
    <w:rsid w:val="00014F38"/>
    <w:rsid w:val="00017AD4"/>
    <w:rsid w:val="0002366B"/>
    <w:rsid w:val="0004238E"/>
    <w:rsid w:val="000675FC"/>
    <w:rsid w:val="000A1B03"/>
    <w:rsid w:val="000E038C"/>
    <w:rsid w:val="00100557"/>
    <w:rsid w:val="00103C85"/>
    <w:rsid w:val="00116E82"/>
    <w:rsid w:val="00121525"/>
    <w:rsid w:val="0015757A"/>
    <w:rsid w:val="00157B6D"/>
    <w:rsid w:val="001A14FB"/>
    <w:rsid w:val="001A3820"/>
    <w:rsid w:val="001A4B00"/>
    <w:rsid w:val="001C4A7E"/>
    <w:rsid w:val="001D2316"/>
    <w:rsid w:val="001D519B"/>
    <w:rsid w:val="00225574"/>
    <w:rsid w:val="0023613B"/>
    <w:rsid w:val="00242451"/>
    <w:rsid w:val="00262168"/>
    <w:rsid w:val="00277337"/>
    <w:rsid w:val="002921CB"/>
    <w:rsid w:val="002D659F"/>
    <w:rsid w:val="002E337B"/>
    <w:rsid w:val="002F2C56"/>
    <w:rsid w:val="002F3376"/>
    <w:rsid w:val="002F4056"/>
    <w:rsid w:val="002F6401"/>
    <w:rsid w:val="003379E0"/>
    <w:rsid w:val="003542F7"/>
    <w:rsid w:val="003557EF"/>
    <w:rsid w:val="00380A01"/>
    <w:rsid w:val="003C5335"/>
    <w:rsid w:val="003F301A"/>
    <w:rsid w:val="00464E61"/>
    <w:rsid w:val="00481ED7"/>
    <w:rsid w:val="004851C8"/>
    <w:rsid w:val="004C78AC"/>
    <w:rsid w:val="004D6E5D"/>
    <w:rsid w:val="0050202C"/>
    <w:rsid w:val="00546008"/>
    <w:rsid w:val="0058130E"/>
    <w:rsid w:val="005A7E39"/>
    <w:rsid w:val="005B50F9"/>
    <w:rsid w:val="005F1348"/>
    <w:rsid w:val="005F44AB"/>
    <w:rsid w:val="006120BD"/>
    <w:rsid w:val="00613E39"/>
    <w:rsid w:val="00643972"/>
    <w:rsid w:val="00646AAC"/>
    <w:rsid w:val="0065157E"/>
    <w:rsid w:val="00657972"/>
    <w:rsid w:val="006D1170"/>
    <w:rsid w:val="006D318C"/>
    <w:rsid w:val="00701007"/>
    <w:rsid w:val="0072158A"/>
    <w:rsid w:val="0075625F"/>
    <w:rsid w:val="0075701B"/>
    <w:rsid w:val="0078512A"/>
    <w:rsid w:val="007865F7"/>
    <w:rsid w:val="00794B51"/>
    <w:rsid w:val="007A37F4"/>
    <w:rsid w:val="007D616D"/>
    <w:rsid w:val="007E5C34"/>
    <w:rsid w:val="007F0255"/>
    <w:rsid w:val="00817A6E"/>
    <w:rsid w:val="00842B09"/>
    <w:rsid w:val="008451E2"/>
    <w:rsid w:val="00863BAF"/>
    <w:rsid w:val="00876859"/>
    <w:rsid w:val="0087703B"/>
    <w:rsid w:val="00884823"/>
    <w:rsid w:val="008B2109"/>
    <w:rsid w:val="009377E1"/>
    <w:rsid w:val="00937964"/>
    <w:rsid w:val="00944318"/>
    <w:rsid w:val="00950CE7"/>
    <w:rsid w:val="00953750"/>
    <w:rsid w:val="00964942"/>
    <w:rsid w:val="00965D61"/>
    <w:rsid w:val="009A66B2"/>
    <w:rsid w:val="009D6778"/>
    <w:rsid w:val="009F030A"/>
    <w:rsid w:val="009F107F"/>
    <w:rsid w:val="009F3549"/>
    <w:rsid w:val="00A10C4B"/>
    <w:rsid w:val="00A13C56"/>
    <w:rsid w:val="00A61FBE"/>
    <w:rsid w:val="00A86887"/>
    <w:rsid w:val="00AE7A68"/>
    <w:rsid w:val="00AF12B8"/>
    <w:rsid w:val="00AF7D4C"/>
    <w:rsid w:val="00B53676"/>
    <w:rsid w:val="00BA0C76"/>
    <w:rsid w:val="00BB6A06"/>
    <w:rsid w:val="00BD0231"/>
    <w:rsid w:val="00BE5FB3"/>
    <w:rsid w:val="00C12B80"/>
    <w:rsid w:val="00C62278"/>
    <w:rsid w:val="00C759C1"/>
    <w:rsid w:val="00C76F26"/>
    <w:rsid w:val="00C7734E"/>
    <w:rsid w:val="00C91D4D"/>
    <w:rsid w:val="00CA0E67"/>
    <w:rsid w:val="00CA66DA"/>
    <w:rsid w:val="00CB19F0"/>
    <w:rsid w:val="00CD109F"/>
    <w:rsid w:val="00CD3BE9"/>
    <w:rsid w:val="00CE47A1"/>
    <w:rsid w:val="00D13505"/>
    <w:rsid w:val="00D14EFE"/>
    <w:rsid w:val="00D61D34"/>
    <w:rsid w:val="00D63A55"/>
    <w:rsid w:val="00D66930"/>
    <w:rsid w:val="00D74BAD"/>
    <w:rsid w:val="00D85C6E"/>
    <w:rsid w:val="00E46B77"/>
    <w:rsid w:val="00E6714D"/>
    <w:rsid w:val="00E67D35"/>
    <w:rsid w:val="00E8762C"/>
    <w:rsid w:val="00EA21FC"/>
    <w:rsid w:val="00EA6422"/>
    <w:rsid w:val="00EB643E"/>
    <w:rsid w:val="00ED0E90"/>
    <w:rsid w:val="00ED7F85"/>
    <w:rsid w:val="00F2727A"/>
    <w:rsid w:val="00F50D5E"/>
    <w:rsid w:val="00F57DE3"/>
    <w:rsid w:val="00F9141B"/>
    <w:rsid w:val="00F97BB7"/>
    <w:rsid w:val="00FA326C"/>
    <w:rsid w:val="00FB7721"/>
    <w:rsid w:val="00FE3852"/>
    <w:rsid w:val="00FE3A62"/>
    <w:rsid w:val="00FE74AD"/>
    <w:rsid w:val="00FF26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3C3B05F"/>
  <w15:docId w15:val="{6179196D-87B8-4D85-9279-06D68E14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27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F2727A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727A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paragraph" w:styleId="ListParagraph">
    <w:name w:val="List Paragraph"/>
    <w:basedOn w:val="Normal"/>
    <w:uiPriority w:val="34"/>
    <w:qFormat/>
    <w:rsid w:val="00F272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F2727A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727A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80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A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A01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A01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A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A01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9F030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443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318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443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318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7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54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5823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41767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64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62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123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9145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2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49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709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5212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76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2815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84740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71261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2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2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5598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34328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6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7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4281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07174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38794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3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0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7EEC8FA9DC443BA85F75C09497D8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2022-03-15T14:10:29Z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2022-03-14T23:00:00Z</Date_x0020_protokolli>
    <Titulli xmlns="0e656187-b300-4fb0-8bf4-3a50f872073c">Për përcaktimin e rasteve, kushteve dhe mënyrës së mbrojtjes së veçantë për punonjësit e Policisë së Burgjeve dhe drejtuesit e institucioneve të ekzekutimit të vendimeve penale</Titulli>
    <Modifikuesi xmlns="0e656187-b300-4fb0-8bf4-3a50f872073c">nevila.samarxhi</Modifikuesi>
    <Nr_x002e__x0020_prot_x0020_QBZ xmlns="0e656187-b300-4fb0-8bf4-3a50f872073c">399/1</Nr_x002e__x0020_prot_x0020_QBZ>
    <Data_x0020_e_x0020_Modifikimit xmlns="0e656187-b300-4fb0-8bf4-3a50f872073c">2022-03-15T14:36:52Z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1084/2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7EEC8FA9DC443BA85F75C09497D8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A9694-E28B-41C5-9231-0B8CD17E0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E41779-7808-4005-AB34-B08624765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CF792B-6132-4A4D-835F-8D4E88D3627B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80DFD30-A22E-4537-8F1E-3A9C36BB34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784B09-6249-48AB-8E51-93C4C3D60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76922D-6112-4555-866D-8C96F39C3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rasteve, kushteve dhe mënyrës së mbrojtjes së veçantë për punonjësit e Policisë së Burgjeve dhe drejtuesit e institucioneve të ekzekutimit të vendimeve penale</vt:lpstr>
    </vt:vector>
  </TitlesOfParts>
  <Company/>
  <LinksUpToDate>false</LinksUpToDate>
  <CharactersWithSpaces>8564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rasteve, kushteve dhe mënyrës së mbrojtjes së veçantë për punonjësit e Policisë së Burgjeve dhe drejtuesit e institucioneve të ekzekutimit të vendimeve penale</dc:title>
  <dc:creator>B</dc:creator>
  <cp:lastModifiedBy>Alma Lisaku</cp:lastModifiedBy>
  <cp:revision>12</cp:revision>
  <cp:lastPrinted>2021-06-02T06:33:00Z</cp:lastPrinted>
  <dcterms:created xsi:type="dcterms:W3CDTF">2022-03-15T13:59:00Z</dcterms:created>
  <dcterms:modified xsi:type="dcterms:W3CDTF">2022-03-16T08:50:00Z</dcterms:modified>
</cp:coreProperties>
</file>