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6DDAD9" w14:textId="328F0479" w:rsidR="00695784" w:rsidRPr="00695784" w:rsidRDefault="00695784" w:rsidP="00695784">
      <w:pPr>
        <w:autoSpaceDE w:val="0"/>
        <w:autoSpaceDN w:val="0"/>
        <w:adjustRightInd w:val="0"/>
        <w:spacing w:after="0" w:line="240" w:lineRule="auto"/>
        <w:ind w:firstLine="284"/>
        <w:jc w:val="center"/>
        <w:rPr>
          <w:rFonts w:ascii="Garamond" w:hAnsi="Garamond"/>
          <w:b/>
          <w:bCs/>
          <w:color w:val="000000"/>
          <w:sz w:val="24"/>
          <w:szCs w:val="24"/>
          <w:lang w:val="sq-AL" w:eastAsia="en-GB"/>
        </w:rPr>
      </w:pPr>
      <w:r w:rsidRPr="00695784">
        <w:rPr>
          <w:rFonts w:ascii="Garamond" w:hAnsi="Garamond"/>
          <w:b/>
          <w:bCs/>
          <w:color w:val="000000"/>
          <w:sz w:val="24"/>
          <w:szCs w:val="24"/>
          <w:lang w:val="sq-AL" w:eastAsia="en-GB"/>
        </w:rPr>
        <w:t>UDHËZIM</w:t>
      </w:r>
    </w:p>
    <w:p w14:paraId="15665C96" w14:textId="77777777" w:rsidR="00695784" w:rsidRPr="00695784" w:rsidRDefault="00695784" w:rsidP="00695784">
      <w:pPr>
        <w:autoSpaceDE w:val="0"/>
        <w:autoSpaceDN w:val="0"/>
        <w:adjustRightInd w:val="0"/>
        <w:spacing w:after="0" w:line="240" w:lineRule="auto"/>
        <w:ind w:firstLine="284"/>
        <w:jc w:val="center"/>
        <w:rPr>
          <w:rFonts w:ascii="Garamond" w:hAnsi="Garamond"/>
          <w:color w:val="000000"/>
          <w:sz w:val="24"/>
          <w:szCs w:val="24"/>
          <w:lang w:val="sq-AL" w:eastAsia="en-GB"/>
        </w:rPr>
      </w:pPr>
      <w:r w:rsidRPr="00695784">
        <w:rPr>
          <w:rFonts w:ascii="Garamond" w:hAnsi="Garamond"/>
          <w:b/>
          <w:bCs/>
          <w:color w:val="000000"/>
          <w:sz w:val="24"/>
          <w:szCs w:val="24"/>
          <w:lang w:val="sq-AL" w:eastAsia="en-GB"/>
        </w:rPr>
        <w:t>Nr. 2, datë 31.3.2023</w:t>
      </w:r>
    </w:p>
    <w:p w14:paraId="12FAAFA0" w14:textId="77777777" w:rsidR="00695784" w:rsidRPr="00695784" w:rsidRDefault="00695784" w:rsidP="00695784">
      <w:pPr>
        <w:autoSpaceDE w:val="0"/>
        <w:autoSpaceDN w:val="0"/>
        <w:adjustRightInd w:val="0"/>
        <w:spacing w:after="0" w:line="240" w:lineRule="auto"/>
        <w:ind w:firstLine="284"/>
        <w:jc w:val="center"/>
        <w:rPr>
          <w:rFonts w:ascii="Garamond" w:hAnsi="Garamond"/>
          <w:b/>
          <w:bCs/>
          <w:color w:val="000000"/>
          <w:sz w:val="24"/>
          <w:szCs w:val="24"/>
          <w:lang w:val="sq-AL" w:eastAsia="en-GB"/>
        </w:rPr>
      </w:pPr>
    </w:p>
    <w:p w14:paraId="36304B64" w14:textId="7863AAEE" w:rsidR="00695784" w:rsidRPr="00695784" w:rsidRDefault="00695784" w:rsidP="00695784">
      <w:pPr>
        <w:autoSpaceDE w:val="0"/>
        <w:autoSpaceDN w:val="0"/>
        <w:adjustRightInd w:val="0"/>
        <w:spacing w:after="0" w:line="240" w:lineRule="auto"/>
        <w:ind w:firstLine="284"/>
        <w:jc w:val="center"/>
        <w:rPr>
          <w:rFonts w:ascii="Garamond" w:hAnsi="Garamond"/>
          <w:sz w:val="24"/>
          <w:szCs w:val="24"/>
          <w:lang w:val="sq-AL" w:eastAsia="en-GB"/>
        </w:rPr>
      </w:pPr>
      <w:r w:rsidRPr="00695784">
        <w:rPr>
          <w:rFonts w:ascii="Garamond" w:hAnsi="Garamond"/>
          <w:b/>
          <w:bCs/>
          <w:color w:val="000000"/>
          <w:sz w:val="24"/>
          <w:szCs w:val="24"/>
          <w:lang w:val="sq-AL" w:eastAsia="en-GB"/>
        </w:rPr>
        <w:t>PËR CAKTIMIN E TARIFAVE TË VEPRIMTARISË DYTËSORE TË PËRMBARUESIT GJYQËSOR PRIVAT</w:t>
      </w:r>
      <w:r w:rsidR="000A1AAE">
        <w:rPr>
          <w:rFonts w:ascii="Garamond" w:hAnsi="Garamond"/>
          <w:b/>
          <w:bCs/>
          <w:color w:val="000000"/>
          <w:sz w:val="24"/>
          <w:szCs w:val="24"/>
          <w:lang w:val="sq-AL" w:eastAsia="en-GB"/>
        </w:rPr>
        <w:t>,</w:t>
      </w:r>
      <w:r w:rsidRPr="00695784">
        <w:rPr>
          <w:rFonts w:ascii="Garamond" w:hAnsi="Garamond"/>
          <w:b/>
          <w:bCs/>
          <w:color w:val="000000"/>
          <w:sz w:val="24"/>
          <w:szCs w:val="24"/>
          <w:lang w:val="sq-AL" w:eastAsia="en-GB"/>
        </w:rPr>
        <w:t xml:space="preserve"> PËR KRYERJEN E NJOFTIMIT TË AKTEVE GJYQËSORE DHE DOKUMENTEVE ZYRTARE </w:t>
      </w:r>
    </w:p>
    <w:p w14:paraId="75C912FE" w14:textId="77777777" w:rsidR="00695784" w:rsidRPr="00695784" w:rsidRDefault="00695784" w:rsidP="00695784">
      <w:pPr>
        <w:autoSpaceDE w:val="0"/>
        <w:autoSpaceDN w:val="0"/>
        <w:adjustRightInd w:val="0"/>
        <w:spacing w:after="0" w:line="240" w:lineRule="auto"/>
        <w:ind w:firstLine="284"/>
        <w:jc w:val="center"/>
        <w:rPr>
          <w:rFonts w:ascii="Garamond" w:hAnsi="Garamond"/>
          <w:b/>
          <w:bCs/>
          <w:color w:val="000000"/>
          <w:sz w:val="24"/>
          <w:szCs w:val="24"/>
          <w:lang w:val="sq-AL" w:eastAsia="en-GB"/>
        </w:rPr>
      </w:pPr>
    </w:p>
    <w:p w14:paraId="3DEA880B" w14:textId="43A701CD" w:rsidR="00695784" w:rsidRPr="00695784" w:rsidRDefault="00695784" w:rsidP="000A1AAE">
      <w:pPr>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Në mbështetje të nenit 102, pika 4</w:t>
      </w:r>
      <w:r w:rsidR="000A1AAE">
        <w:rPr>
          <w:rFonts w:ascii="Garamond" w:hAnsi="Garamond"/>
          <w:color w:val="000000"/>
          <w:sz w:val="24"/>
          <w:szCs w:val="24"/>
          <w:lang w:val="sq-AL" w:eastAsia="en-GB"/>
        </w:rPr>
        <w:t>,</w:t>
      </w:r>
      <w:r w:rsidRPr="00695784">
        <w:rPr>
          <w:rFonts w:ascii="Garamond" w:hAnsi="Garamond"/>
          <w:color w:val="000000"/>
          <w:sz w:val="24"/>
          <w:szCs w:val="24"/>
          <w:lang w:val="sq-AL" w:eastAsia="en-GB"/>
        </w:rPr>
        <w:t xml:space="preserve"> të Kushtetutës</w:t>
      </w:r>
      <w:r w:rsidR="000A1AAE">
        <w:rPr>
          <w:rFonts w:ascii="Garamond" w:hAnsi="Garamond"/>
          <w:color w:val="000000"/>
          <w:sz w:val="24"/>
          <w:szCs w:val="24"/>
          <w:lang w:val="sq-AL" w:eastAsia="en-GB"/>
        </w:rPr>
        <w:t>;</w:t>
      </w:r>
      <w:r w:rsidRPr="00695784">
        <w:rPr>
          <w:rFonts w:ascii="Garamond" w:hAnsi="Garamond"/>
          <w:color w:val="000000"/>
          <w:sz w:val="24"/>
          <w:szCs w:val="24"/>
          <w:lang w:val="sq-AL" w:eastAsia="en-GB"/>
        </w:rPr>
        <w:t xml:space="preserve"> të nenit 7, pika 2, të ligjit nr. 8678, datë 14.5.2001</w:t>
      </w:r>
      <w:r w:rsidR="000A1AAE">
        <w:rPr>
          <w:rFonts w:ascii="Garamond" w:hAnsi="Garamond"/>
          <w:color w:val="000000"/>
          <w:sz w:val="24"/>
          <w:szCs w:val="24"/>
          <w:lang w:val="sq-AL" w:eastAsia="en-GB"/>
        </w:rPr>
        <w:t>,</w:t>
      </w:r>
      <w:r w:rsidRPr="00695784">
        <w:rPr>
          <w:rFonts w:ascii="Garamond" w:hAnsi="Garamond"/>
          <w:color w:val="000000"/>
          <w:sz w:val="24"/>
          <w:szCs w:val="24"/>
          <w:lang w:val="sq-AL" w:eastAsia="en-GB"/>
        </w:rPr>
        <w:t xml:space="preserve"> “Për organizimin dhe funksionimin e Ministrisë së Drejtësisë”, </w:t>
      </w:r>
      <w:r w:rsidR="000A1AAE">
        <w:rPr>
          <w:rFonts w:ascii="Garamond" w:hAnsi="Garamond"/>
          <w:color w:val="000000"/>
          <w:sz w:val="24"/>
          <w:szCs w:val="24"/>
          <w:lang w:val="sq-AL" w:eastAsia="en-GB"/>
        </w:rPr>
        <w:t>të</w:t>
      </w:r>
      <w:r w:rsidRPr="00695784">
        <w:rPr>
          <w:rFonts w:ascii="Garamond" w:hAnsi="Garamond"/>
          <w:color w:val="000000"/>
          <w:sz w:val="24"/>
          <w:szCs w:val="24"/>
          <w:lang w:val="sq-AL" w:eastAsia="en-GB"/>
        </w:rPr>
        <w:t xml:space="preserve"> ndryshuar, si dhe të neni 36, pika 2, të ligjit nr. 26/2019, “Për shërbimin përmbarimor gjyqësor privat”,</w:t>
      </w:r>
      <w:r w:rsidR="000A1AAE">
        <w:rPr>
          <w:rFonts w:ascii="Garamond" w:hAnsi="Garamond"/>
          <w:color w:val="000000"/>
          <w:sz w:val="24"/>
          <w:szCs w:val="24"/>
          <w:lang w:val="sq-AL" w:eastAsia="en-GB"/>
        </w:rPr>
        <w:t xml:space="preserve"> </w:t>
      </w:r>
    </w:p>
    <w:p w14:paraId="6971EBE1" w14:textId="77777777" w:rsidR="00695784" w:rsidRPr="00695784" w:rsidRDefault="00695784" w:rsidP="00695784">
      <w:pPr>
        <w:autoSpaceDE w:val="0"/>
        <w:autoSpaceDN w:val="0"/>
        <w:adjustRightInd w:val="0"/>
        <w:spacing w:after="0" w:line="240" w:lineRule="auto"/>
        <w:ind w:firstLine="284"/>
        <w:jc w:val="both"/>
        <w:rPr>
          <w:rFonts w:ascii="Garamond" w:hAnsi="Garamond"/>
          <w:color w:val="000000"/>
          <w:sz w:val="24"/>
          <w:szCs w:val="24"/>
          <w:lang w:val="sq-AL" w:eastAsia="en-GB"/>
        </w:rPr>
      </w:pPr>
    </w:p>
    <w:p w14:paraId="5273076E" w14:textId="1E0F0151" w:rsidR="00695784" w:rsidRPr="00695784" w:rsidRDefault="00695784" w:rsidP="00695784">
      <w:pPr>
        <w:autoSpaceDE w:val="0"/>
        <w:autoSpaceDN w:val="0"/>
        <w:adjustRightInd w:val="0"/>
        <w:spacing w:after="0" w:line="240" w:lineRule="auto"/>
        <w:ind w:firstLine="284"/>
        <w:jc w:val="center"/>
        <w:rPr>
          <w:rFonts w:ascii="Garamond" w:hAnsi="Garamond"/>
          <w:bCs/>
          <w:color w:val="000000"/>
          <w:sz w:val="24"/>
          <w:szCs w:val="24"/>
          <w:lang w:val="sq-AL" w:eastAsia="en-GB"/>
        </w:rPr>
      </w:pPr>
      <w:r w:rsidRPr="00695784">
        <w:rPr>
          <w:rFonts w:ascii="Garamond" w:hAnsi="Garamond"/>
          <w:bCs/>
          <w:color w:val="000000"/>
          <w:sz w:val="24"/>
          <w:szCs w:val="24"/>
          <w:lang w:val="sq-AL" w:eastAsia="en-GB"/>
        </w:rPr>
        <w:t>UDHËZOJ:</w:t>
      </w:r>
    </w:p>
    <w:p w14:paraId="21F0E7FF" w14:textId="77777777" w:rsidR="00695784" w:rsidRPr="00695784" w:rsidRDefault="00695784" w:rsidP="00695784">
      <w:pPr>
        <w:autoSpaceDE w:val="0"/>
        <w:autoSpaceDN w:val="0"/>
        <w:adjustRightInd w:val="0"/>
        <w:spacing w:after="0" w:line="240" w:lineRule="auto"/>
        <w:ind w:firstLine="284"/>
        <w:jc w:val="center"/>
        <w:rPr>
          <w:rFonts w:ascii="Garamond" w:hAnsi="Garamond"/>
          <w:b/>
          <w:bCs/>
          <w:color w:val="000000"/>
          <w:sz w:val="24"/>
          <w:szCs w:val="24"/>
          <w:lang w:val="sq-AL" w:eastAsia="en-GB"/>
        </w:rPr>
      </w:pPr>
    </w:p>
    <w:p w14:paraId="3200DDBB" w14:textId="339EBA08" w:rsidR="00695784" w:rsidRPr="00695784" w:rsidRDefault="00695784" w:rsidP="00695784">
      <w:pPr>
        <w:autoSpaceDE w:val="0"/>
        <w:autoSpaceDN w:val="0"/>
        <w:adjustRightInd w:val="0"/>
        <w:spacing w:after="0" w:line="240" w:lineRule="auto"/>
        <w:ind w:firstLine="284"/>
        <w:jc w:val="both"/>
        <w:rPr>
          <w:rFonts w:ascii="Garamond" w:hAnsi="Garamond"/>
          <w:b/>
          <w:bCs/>
          <w:color w:val="000000"/>
          <w:sz w:val="24"/>
          <w:szCs w:val="24"/>
          <w:lang w:val="sq-AL" w:eastAsia="en-GB"/>
        </w:rPr>
      </w:pPr>
      <w:r w:rsidRPr="00695784">
        <w:rPr>
          <w:rFonts w:ascii="Garamond" w:hAnsi="Garamond"/>
          <w:b/>
          <w:bCs/>
          <w:color w:val="000000"/>
          <w:sz w:val="24"/>
          <w:szCs w:val="24"/>
          <w:lang w:val="sq-AL" w:eastAsia="en-GB"/>
        </w:rPr>
        <w:t>I. Objekti i udhëzimit</w:t>
      </w:r>
    </w:p>
    <w:p w14:paraId="66471C55" w14:textId="77777777" w:rsidR="00695784" w:rsidRPr="00695784" w:rsidRDefault="00695784" w:rsidP="00695784">
      <w:pPr>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Objekti i këtij udhëzimi është përcaktimi i tarifave për kryerjen e njoftimit të akteve gjyqësore dhe dokumenteve zyrtare nga përmbaruesit gjyqësorë privatë, me kërkesë të të interesuarve ose me autorizim të gjykatës, si dhe mënyrës së pagesës së tyre.</w:t>
      </w:r>
    </w:p>
    <w:p w14:paraId="5116DB12" w14:textId="025C144B" w:rsidR="00695784" w:rsidRPr="00695784" w:rsidRDefault="00695784" w:rsidP="00695784">
      <w:pPr>
        <w:tabs>
          <w:tab w:val="left" w:pos="720"/>
        </w:tabs>
        <w:autoSpaceDE w:val="0"/>
        <w:autoSpaceDN w:val="0"/>
        <w:adjustRightInd w:val="0"/>
        <w:spacing w:after="0" w:line="240" w:lineRule="auto"/>
        <w:ind w:firstLine="284"/>
        <w:jc w:val="both"/>
        <w:rPr>
          <w:rFonts w:ascii="Garamond" w:hAnsi="Garamond"/>
          <w:b/>
          <w:bCs/>
          <w:color w:val="000000"/>
          <w:sz w:val="24"/>
          <w:szCs w:val="24"/>
          <w:lang w:val="sq-AL" w:eastAsia="en-GB"/>
        </w:rPr>
      </w:pPr>
      <w:r w:rsidRPr="00695784">
        <w:rPr>
          <w:rFonts w:ascii="Garamond" w:hAnsi="Garamond"/>
          <w:b/>
          <w:bCs/>
          <w:color w:val="000000"/>
          <w:sz w:val="24"/>
          <w:szCs w:val="24"/>
          <w:lang w:val="sq-AL" w:eastAsia="en-GB"/>
        </w:rPr>
        <w:t>II. Fusha e zbatimit të udhëzimit</w:t>
      </w:r>
    </w:p>
    <w:p w14:paraId="74DF147B" w14:textId="78FCDFB9" w:rsidR="00695784" w:rsidRPr="00695784" w:rsidRDefault="00695784" w:rsidP="00695784">
      <w:pPr>
        <w:tabs>
          <w:tab w:val="left" w:pos="2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Ky udhëzim zbatohet</w:t>
      </w:r>
      <w:r w:rsidR="000A1AAE">
        <w:rPr>
          <w:rFonts w:ascii="Garamond" w:hAnsi="Garamond"/>
          <w:color w:val="000000"/>
          <w:sz w:val="24"/>
          <w:szCs w:val="24"/>
          <w:lang w:val="sq-AL" w:eastAsia="en-GB"/>
        </w:rPr>
        <w:t>,</w:t>
      </w:r>
      <w:r w:rsidRPr="00695784">
        <w:rPr>
          <w:rFonts w:ascii="Garamond" w:hAnsi="Garamond"/>
          <w:color w:val="000000"/>
          <w:sz w:val="24"/>
          <w:szCs w:val="24"/>
          <w:lang w:val="sq-AL" w:eastAsia="en-GB"/>
        </w:rPr>
        <w:t xml:space="preserve"> në rastet e:</w:t>
      </w:r>
    </w:p>
    <w:p w14:paraId="2D21B5CF" w14:textId="77777777" w:rsidR="00695784" w:rsidRPr="00695784" w:rsidRDefault="00695784" w:rsidP="00695784">
      <w:pPr>
        <w:tabs>
          <w:tab w:val="left" w:pos="2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 xml:space="preserve">a) kryerjes së njoftimit të akteve gjyqësore dhe dokumenteve zyrtare, me kërkesë të gjykatës; </w:t>
      </w:r>
    </w:p>
    <w:p w14:paraId="01489B3F" w14:textId="602B4E32" w:rsidR="00695784" w:rsidRPr="00695784" w:rsidRDefault="00695784" w:rsidP="00695784">
      <w:pPr>
        <w:tabs>
          <w:tab w:val="left" w:pos="2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b) kryerjes së njoftimit të dokumenteve zyrtare, me kërkesë të personave fizikë dhe juridikë,</w:t>
      </w:r>
      <w:r w:rsidR="000A1AAE">
        <w:rPr>
          <w:rFonts w:ascii="Garamond" w:hAnsi="Garamond"/>
          <w:color w:val="000000"/>
          <w:sz w:val="24"/>
          <w:szCs w:val="24"/>
          <w:lang w:val="sq-AL" w:eastAsia="en-GB"/>
        </w:rPr>
        <w:t xml:space="preserve"> </w:t>
      </w:r>
      <w:r w:rsidRPr="00695784">
        <w:rPr>
          <w:rFonts w:ascii="Garamond" w:hAnsi="Garamond"/>
          <w:color w:val="000000"/>
          <w:sz w:val="24"/>
          <w:szCs w:val="24"/>
          <w:lang w:val="sq-AL" w:eastAsia="en-GB"/>
        </w:rPr>
        <w:t>publikë ose privatë.</w:t>
      </w:r>
    </w:p>
    <w:p w14:paraId="59787995" w14:textId="3FF800FD" w:rsidR="00695784" w:rsidRPr="00695784" w:rsidRDefault="00695784" w:rsidP="00695784">
      <w:pPr>
        <w:tabs>
          <w:tab w:val="left" w:pos="800"/>
        </w:tabs>
        <w:autoSpaceDE w:val="0"/>
        <w:autoSpaceDN w:val="0"/>
        <w:adjustRightInd w:val="0"/>
        <w:spacing w:after="0" w:line="240" w:lineRule="auto"/>
        <w:ind w:firstLine="284"/>
        <w:jc w:val="both"/>
        <w:rPr>
          <w:rFonts w:ascii="Garamond" w:hAnsi="Garamond"/>
          <w:b/>
          <w:bCs/>
          <w:color w:val="000000"/>
          <w:sz w:val="24"/>
          <w:szCs w:val="24"/>
          <w:lang w:val="sq-AL" w:eastAsia="en-GB"/>
        </w:rPr>
      </w:pPr>
      <w:r w:rsidRPr="00695784">
        <w:rPr>
          <w:rFonts w:ascii="Garamond" w:hAnsi="Garamond"/>
          <w:b/>
          <w:bCs/>
          <w:color w:val="000000"/>
          <w:sz w:val="24"/>
          <w:szCs w:val="24"/>
          <w:lang w:val="sq-AL" w:eastAsia="en-GB"/>
        </w:rPr>
        <w:t>III. Tarifa e shërbimit të njoftimit të dokumenteve zyrtare</w:t>
      </w:r>
    </w:p>
    <w:p w14:paraId="7DDD1DB8" w14:textId="77777777" w:rsidR="00695784" w:rsidRPr="00695784" w:rsidRDefault="00695784" w:rsidP="00695784">
      <w:pPr>
        <w:tabs>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 xml:space="preserve">1. Tarifa e njoftimit të dokumenteve zyrtare është pagesa që kryhet nga i interesuari për të mundësuar ofrimin e shërbimit të përmbaruesit gjyqësor privat për njoftimin e tyre. </w:t>
      </w:r>
    </w:p>
    <w:p w14:paraId="26CA2A49" w14:textId="181FBCA3" w:rsidR="00695784" w:rsidRPr="00695784" w:rsidRDefault="00695784" w:rsidP="00695784">
      <w:pPr>
        <w:tabs>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2. Për kryerjen e njoftimit të dokumenteve zyrtare, me kërkesë të personave fizikë dhe juridikë privatë, vlera e tarifës përllogaritet</w:t>
      </w:r>
      <w:r w:rsidR="000A1AAE">
        <w:rPr>
          <w:rFonts w:ascii="Garamond" w:hAnsi="Garamond"/>
          <w:color w:val="000000"/>
          <w:sz w:val="24"/>
          <w:szCs w:val="24"/>
          <w:lang w:val="sq-AL" w:eastAsia="en-GB"/>
        </w:rPr>
        <w:t>,</w:t>
      </w:r>
      <w:r w:rsidRPr="00695784">
        <w:rPr>
          <w:rFonts w:ascii="Garamond" w:hAnsi="Garamond"/>
          <w:color w:val="000000"/>
          <w:sz w:val="24"/>
          <w:szCs w:val="24"/>
          <w:lang w:val="sq-AL" w:eastAsia="en-GB"/>
        </w:rPr>
        <w:t xml:space="preserve"> si më poshtë:</w:t>
      </w:r>
      <w:r w:rsidR="000A1AAE">
        <w:rPr>
          <w:rFonts w:ascii="Garamond" w:hAnsi="Garamond"/>
          <w:color w:val="000000"/>
          <w:sz w:val="24"/>
          <w:szCs w:val="24"/>
          <w:lang w:val="sq-AL" w:eastAsia="en-GB"/>
        </w:rPr>
        <w:t xml:space="preserve"> </w:t>
      </w:r>
    </w:p>
    <w:p w14:paraId="34C4F189" w14:textId="77777777" w:rsidR="00695784" w:rsidRPr="00695784" w:rsidRDefault="00695784" w:rsidP="00695784">
      <w:pPr>
        <w:tabs>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a) kur nuk kryhet njoftimi në adresën e deklaruar dhe adresa e deklaruar është e saktë, tarifa është 5 000 (pesë mijë) lekë;</w:t>
      </w:r>
    </w:p>
    <w:p w14:paraId="0272E565" w14:textId="77777777" w:rsidR="00695784" w:rsidRPr="00695784" w:rsidRDefault="00695784" w:rsidP="00695784">
      <w:pPr>
        <w:tabs>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b) kur nuk kryhet njoftimi në adresën e deklaruar dhe adresa e deklaruar është e pasaktë, tarifa është e barabartë me shumën që rezulton prej mbledhjes së vlerës prej 7 000 (shtatë mijë) lekësh dhe vlerës së tarifës për konstatimin e adresës, të parashikuar në udhëzimin në fuqi të ministrit të Drejtësisë;</w:t>
      </w:r>
    </w:p>
    <w:p w14:paraId="0CD71841" w14:textId="77777777" w:rsidR="00695784" w:rsidRPr="00695784" w:rsidRDefault="00695784" w:rsidP="00695784">
      <w:pPr>
        <w:tabs>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c) kur njoftimi kryhet në adresën e deklaruar në një qytet tjetër, tarifa është e barabartë me shumën që rezulton prej vlerës 10 000 (dhjetë mijë) lekësh dhe vlerës së parapaguar të shpenzimeve të udhëtimit dhe qëndrimit;</w:t>
      </w:r>
    </w:p>
    <w:p w14:paraId="32CA30CF" w14:textId="77777777" w:rsidR="00695784" w:rsidRPr="00695784" w:rsidRDefault="00695784" w:rsidP="00695784">
      <w:pPr>
        <w:tabs>
          <w:tab w:val="left" w:pos="260"/>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ç) kur njoftimi kryhet në adresën e padeklaruar në një qytet tjetër, tarifa është e barabartë me shumën që rezulton prej mbledhjes së vlerës së gjysmës së pagës minimale në shkallë vendi, vlerës së parapaguar të shpenzimeve të udhëtimit dhe qëndrimit, si dhe tarifës për konstatimin e adresës, të parashikuar në udhëzimin e ministrit të Drejtësisë.</w:t>
      </w:r>
    </w:p>
    <w:p w14:paraId="11BF52B4" w14:textId="2494EBB2" w:rsidR="00695784" w:rsidRPr="00695784" w:rsidRDefault="00695784" w:rsidP="00695784">
      <w:pPr>
        <w:tabs>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3. Për kryerjen e njoftimit të dokumenteve zyrtare, me kërkesë të personave juridikë publikë, vlera e tarifës përllogaritet</w:t>
      </w:r>
      <w:r w:rsidR="00E20DFF">
        <w:rPr>
          <w:rFonts w:ascii="Garamond" w:hAnsi="Garamond"/>
          <w:color w:val="000000"/>
          <w:sz w:val="24"/>
          <w:szCs w:val="24"/>
          <w:lang w:val="sq-AL" w:eastAsia="en-GB"/>
        </w:rPr>
        <w:t>,</w:t>
      </w:r>
      <w:r w:rsidRPr="00695784">
        <w:rPr>
          <w:rFonts w:ascii="Garamond" w:hAnsi="Garamond"/>
          <w:color w:val="000000"/>
          <w:sz w:val="24"/>
          <w:szCs w:val="24"/>
          <w:lang w:val="sq-AL" w:eastAsia="en-GB"/>
        </w:rPr>
        <w:t xml:space="preserve"> si më poshtë:</w:t>
      </w:r>
    </w:p>
    <w:p w14:paraId="73D481FE" w14:textId="77777777" w:rsidR="00695784" w:rsidRPr="00695784" w:rsidRDefault="00695784" w:rsidP="00695784">
      <w:pPr>
        <w:tabs>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 xml:space="preserve">a) kur nuk kryhet komunikimi në adresën e deklaruar dhe adresa e deklaruar është e saktë, tarifa është e barabartë me shumën që rezulton prej mbledhjes së vlerës së gjysmës së </w:t>
      </w:r>
      <w:r w:rsidRPr="00695784">
        <w:rPr>
          <w:rFonts w:ascii="Garamond" w:hAnsi="Garamond"/>
          <w:sz w:val="24"/>
          <w:szCs w:val="24"/>
          <w:lang w:val="sq-AL" w:eastAsia="en-GB"/>
        </w:rPr>
        <w:t xml:space="preserve">pagës minimale në shkallë vendi dhe vlerës së parapaguar të shpenzimeve të udhëtimit dhe qëndrimit; </w:t>
      </w:r>
    </w:p>
    <w:p w14:paraId="3A8BD11E" w14:textId="77777777" w:rsidR="00695784" w:rsidRPr="00695784" w:rsidRDefault="00695784" w:rsidP="00695784">
      <w:pPr>
        <w:tabs>
          <w:tab w:val="left" w:pos="260"/>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 xml:space="preserve">b) kur nuk kryhet komunikimi në adresën e deklaruar dhe adresa e deklaruar është e pasaktë, tarifa është e barabartë me shumën që rezulton prej mbledhjes së vlerës së një page minimale në </w:t>
      </w:r>
      <w:r w:rsidRPr="00695784">
        <w:rPr>
          <w:rFonts w:ascii="Garamond" w:hAnsi="Garamond"/>
          <w:color w:val="000000"/>
          <w:sz w:val="24"/>
          <w:szCs w:val="24"/>
          <w:lang w:val="sq-AL" w:eastAsia="en-GB"/>
        </w:rPr>
        <w:lastRenderedPageBreak/>
        <w:t>shkallë vendi dhe tarifës për konstatimin e adresës, të parashikuar në udhëzimin në fuqi të ministrit të Drejtësisë;</w:t>
      </w:r>
    </w:p>
    <w:p w14:paraId="20E2340E" w14:textId="77777777" w:rsidR="00695784" w:rsidRPr="00695784" w:rsidRDefault="00695784" w:rsidP="00695784">
      <w:pPr>
        <w:tabs>
          <w:tab w:val="left" w:pos="260"/>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 xml:space="preserve">c) kur njoftimi kryhet në një njësi administrative tjetër të një qarku tjetër, tarifa është e barabartë me shumën që rezulton prej mbledhjes së vlerës së tarifës të përcaktuar në shkronjat “a” dhe “b” të kësaj pike dhe vlerës së parapaguar të shpenzimeve të udhëtimit dhe qëndrimit. </w:t>
      </w:r>
    </w:p>
    <w:p w14:paraId="20F3D3DB" w14:textId="0022E07D" w:rsidR="00695784" w:rsidRPr="00695784" w:rsidRDefault="00695784" w:rsidP="00695784">
      <w:pPr>
        <w:tabs>
          <w:tab w:val="left" w:pos="260"/>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4. Për kryerjen e njoftimit të akteve gjyqësore, vlera e tarifës përllogaritet</w:t>
      </w:r>
      <w:r w:rsidR="00E20DFF">
        <w:rPr>
          <w:rFonts w:ascii="Garamond" w:hAnsi="Garamond"/>
          <w:color w:val="000000"/>
          <w:sz w:val="24"/>
          <w:szCs w:val="24"/>
          <w:lang w:val="sq-AL" w:eastAsia="en-GB"/>
        </w:rPr>
        <w:t>,</w:t>
      </w:r>
      <w:r w:rsidRPr="00695784">
        <w:rPr>
          <w:rFonts w:ascii="Garamond" w:hAnsi="Garamond"/>
          <w:color w:val="000000"/>
          <w:sz w:val="24"/>
          <w:szCs w:val="24"/>
          <w:lang w:val="sq-AL" w:eastAsia="en-GB"/>
        </w:rPr>
        <w:t xml:space="preserve"> si më poshtë: </w:t>
      </w:r>
    </w:p>
    <w:p w14:paraId="45133912" w14:textId="76B80579" w:rsidR="00695784" w:rsidRPr="00695784" w:rsidRDefault="00695784" w:rsidP="00695784">
      <w:pPr>
        <w:tabs>
          <w:tab w:val="left" w:pos="260"/>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a) kur nuk kryhet njoftimi në adresën e deklaruar dhe adresa e deklaruar është e saktë, tarifa</w:t>
      </w:r>
      <w:r w:rsidR="000A1AAE">
        <w:rPr>
          <w:rFonts w:ascii="Garamond" w:hAnsi="Garamond"/>
          <w:color w:val="000000"/>
          <w:sz w:val="24"/>
          <w:szCs w:val="24"/>
          <w:lang w:val="sq-AL" w:eastAsia="en-GB"/>
        </w:rPr>
        <w:t xml:space="preserve"> </w:t>
      </w:r>
      <w:r w:rsidRPr="00695784">
        <w:rPr>
          <w:rFonts w:ascii="Garamond" w:hAnsi="Garamond"/>
          <w:color w:val="000000"/>
          <w:sz w:val="24"/>
          <w:szCs w:val="24"/>
          <w:lang w:val="sq-AL" w:eastAsia="en-GB"/>
        </w:rPr>
        <w:t>është 5 000 (pesë mijë) lekë;</w:t>
      </w:r>
    </w:p>
    <w:p w14:paraId="0D815071" w14:textId="77777777" w:rsidR="00695784" w:rsidRPr="00695784" w:rsidRDefault="00695784" w:rsidP="00695784">
      <w:pPr>
        <w:tabs>
          <w:tab w:val="left" w:pos="260"/>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b) kur nuk kryhet komunikimi në adresën e deklaruar dhe adresa e deklaruar është e pasaktë, tarifa është e barabartë me shumën që rezulton prej mbledhjes së vlerës prej 7 000 (shtatë mijë) lekësh dhe tarifës për konstatimin e adresës, të parashikuar në udhëzimin në fuqi të ministrit të Drejtësisë;</w:t>
      </w:r>
    </w:p>
    <w:p w14:paraId="34F7BDEB" w14:textId="77777777" w:rsidR="00695784" w:rsidRPr="00695784" w:rsidRDefault="00695784" w:rsidP="00695784">
      <w:pPr>
        <w:tabs>
          <w:tab w:val="left" w:pos="260"/>
          <w:tab w:val="left" w:pos="360"/>
        </w:tabs>
        <w:autoSpaceDE w:val="0"/>
        <w:autoSpaceDN w:val="0"/>
        <w:adjustRightInd w:val="0"/>
        <w:spacing w:after="0" w:line="240" w:lineRule="auto"/>
        <w:ind w:firstLine="284"/>
        <w:jc w:val="both"/>
        <w:rPr>
          <w:rFonts w:ascii="Garamond" w:hAnsi="Garamond"/>
          <w:sz w:val="24"/>
          <w:szCs w:val="24"/>
          <w:lang w:val="sq-AL" w:eastAsia="en-GB"/>
        </w:rPr>
      </w:pPr>
      <w:r w:rsidRPr="00695784">
        <w:rPr>
          <w:rFonts w:ascii="Garamond" w:hAnsi="Garamond"/>
          <w:color w:val="000000"/>
          <w:sz w:val="24"/>
          <w:szCs w:val="24"/>
          <w:lang w:val="sq-AL" w:eastAsia="en-GB"/>
        </w:rPr>
        <w:t>c) në një njësi administrative tjetër/të ndryshme të një qarku tjetër, tarifa është e barabartë me shumën që rezulton prej mbledhjes së vlerës së tarifës të përcaktuar në shkronjat “a” dhe “b” të kësaj pike dhe vlerës së parapaguar të shpenzimeve të udhëtimit dhe qëndrimet.</w:t>
      </w:r>
    </w:p>
    <w:p w14:paraId="1F3DA30F" w14:textId="77777777" w:rsidR="00695784" w:rsidRPr="00695784" w:rsidRDefault="00695784" w:rsidP="00695784">
      <w:pPr>
        <w:tabs>
          <w:tab w:val="left" w:pos="260"/>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sz w:val="24"/>
          <w:szCs w:val="24"/>
          <w:lang w:val="sq-AL" w:eastAsia="en-GB"/>
        </w:rPr>
        <w:t>5. Për efekt të llogaritjes së tarifës të përcaktuar në pikat 2 deri 4 të këtij kreu</w:t>
      </w:r>
      <w:r w:rsidRPr="00695784">
        <w:rPr>
          <w:rFonts w:ascii="Garamond" w:hAnsi="Garamond"/>
          <w:color w:val="000000"/>
          <w:sz w:val="24"/>
          <w:szCs w:val="24"/>
          <w:lang w:val="sq-AL" w:eastAsia="en-GB"/>
        </w:rPr>
        <w:t>, vlera e shpenzimeve të udhëtimit dhe qëndrimit nuk mund të jetë më e ulët se:</w:t>
      </w:r>
    </w:p>
    <w:p w14:paraId="1AA54341" w14:textId="77777777" w:rsidR="00695784" w:rsidRPr="00695784" w:rsidRDefault="00695784" w:rsidP="00695784">
      <w:pPr>
        <w:tabs>
          <w:tab w:val="left" w:pos="260"/>
          <w:tab w:val="left" w:pos="360"/>
        </w:tabs>
        <w:autoSpaceDE w:val="0"/>
        <w:autoSpaceDN w:val="0"/>
        <w:adjustRightInd w:val="0"/>
        <w:spacing w:after="0" w:line="240" w:lineRule="auto"/>
        <w:ind w:firstLine="284"/>
        <w:jc w:val="both"/>
        <w:rPr>
          <w:rFonts w:ascii="Garamond" w:hAnsi="Garamond"/>
          <w:sz w:val="24"/>
          <w:szCs w:val="24"/>
          <w:lang w:val="sq-AL" w:eastAsia="en-GB"/>
        </w:rPr>
      </w:pPr>
      <w:r w:rsidRPr="00695784">
        <w:rPr>
          <w:rFonts w:ascii="Garamond" w:hAnsi="Garamond"/>
          <w:color w:val="000000"/>
          <w:sz w:val="24"/>
          <w:szCs w:val="24"/>
          <w:lang w:val="sq-AL" w:eastAsia="en-GB"/>
        </w:rPr>
        <w:t>a) 9 000 (nëntë mijë) lekë, për distancën që varion nga 50 km deri në 100 km;</w:t>
      </w:r>
    </w:p>
    <w:p w14:paraId="5111CF0E" w14:textId="77777777" w:rsidR="00695784" w:rsidRPr="00695784" w:rsidRDefault="00695784" w:rsidP="00695784">
      <w:pPr>
        <w:tabs>
          <w:tab w:val="left" w:pos="260"/>
          <w:tab w:val="left" w:pos="360"/>
        </w:tabs>
        <w:autoSpaceDE w:val="0"/>
        <w:autoSpaceDN w:val="0"/>
        <w:adjustRightInd w:val="0"/>
        <w:spacing w:after="0" w:line="240" w:lineRule="auto"/>
        <w:ind w:firstLine="284"/>
        <w:jc w:val="both"/>
        <w:rPr>
          <w:rFonts w:ascii="Garamond" w:hAnsi="Garamond"/>
          <w:sz w:val="24"/>
          <w:szCs w:val="24"/>
          <w:lang w:val="sq-AL" w:eastAsia="en-GB"/>
        </w:rPr>
      </w:pPr>
      <w:r w:rsidRPr="00695784">
        <w:rPr>
          <w:rFonts w:ascii="Garamond" w:hAnsi="Garamond"/>
          <w:sz w:val="24"/>
          <w:szCs w:val="24"/>
          <w:lang w:val="sq-AL" w:eastAsia="en-GB"/>
        </w:rPr>
        <w:t>b) 18 000 (tetëmbëdhjetë mijë)</w:t>
      </w:r>
      <w:r w:rsidRPr="00695784">
        <w:rPr>
          <w:rFonts w:ascii="Garamond" w:hAnsi="Garamond"/>
          <w:color w:val="000000"/>
          <w:sz w:val="24"/>
          <w:szCs w:val="24"/>
          <w:lang w:val="sq-AL" w:eastAsia="en-GB"/>
        </w:rPr>
        <w:t xml:space="preserve"> lekë, për distancën që varion nga 100 km deri në 150 km;</w:t>
      </w:r>
    </w:p>
    <w:p w14:paraId="33414000" w14:textId="77777777" w:rsidR="00695784" w:rsidRPr="00695784" w:rsidRDefault="00695784" w:rsidP="00695784">
      <w:pPr>
        <w:tabs>
          <w:tab w:val="left" w:pos="260"/>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sz w:val="24"/>
          <w:szCs w:val="24"/>
          <w:lang w:val="sq-AL" w:eastAsia="en-GB"/>
        </w:rPr>
        <w:t xml:space="preserve">c) </w:t>
      </w:r>
      <w:r w:rsidRPr="00695784">
        <w:rPr>
          <w:rFonts w:ascii="Garamond" w:hAnsi="Garamond"/>
          <w:color w:val="000000"/>
          <w:sz w:val="24"/>
          <w:szCs w:val="24"/>
          <w:lang w:val="sq-AL" w:eastAsia="en-GB"/>
        </w:rPr>
        <w:t>20 000 (njëzet mijë) lekë, për distancën që varion nga 150 km deri në 200 km;</w:t>
      </w:r>
    </w:p>
    <w:p w14:paraId="694119C3" w14:textId="77777777" w:rsidR="00695784" w:rsidRPr="00695784" w:rsidRDefault="00695784" w:rsidP="00695784">
      <w:pPr>
        <w:tabs>
          <w:tab w:val="left" w:pos="260"/>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ç) 22 000 (njëzet e dy mijë) lekë, për distancën që varion nga 200 km deri në 300 km;</w:t>
      </w:r>
    </w:p>
    <w:p w14:paraId="01863EE9" w14:textId="77777777" w:rsidR="00695784" w:rsidRPr="00695784" w:rsidRDefault="00695784" w:rsidP="00695784">
      <w:pPr>
        <w:tabs>
          <w:tab w:val="left" w:pos="260"/>
          <w:tab w:val="left" w:pos="3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d) masa e një page minimale në shkallë vendi, për distanca mbi 300 km.</w:t>
      </w:r>
    </w:p>
    <w:p w14:paraId="162827CB" w14:textId="0AABE338" w:rsidR="00695784" w:rsidRPr="00695784" w:rsidRDefault="00695784" w:rsidP="00695784">
      <w:pPr>
        <w:tabs>
          <w:tab w:val="left" w:pos="900"/>
        </w:tabs>
        <w:autoSpaceDE w:val="0"/>
        <w:autoSpaceDN w:val="0"/>
        <w:adjustRightInd w:val="0"/>
        <w:spacing w:after="0" w:line="240" w:lineRule="auto"/>
        <w:ind w:firstLine="284"/>
        <w:jc w:val="both"/>
        <w:rPr>
          <w:rFonts w:ascii="Garamond" w:hAnsi="Garamond"/>
          <w:b/>
          <w:bCs/>
          <w:color w:val="000000"/>
          <w:sz w:val="24"/>
          <w:szCs w:val="24"/>
          <w:lang w:val="sq-AL" w:eastAsia="en-GB"/>
        </w:rPr>
      </w:pPr>
      <w:r w:rsidRPr="00695784">
        <w:rPr>
          <w:rFonts w:ascii="Garamond" w:hAnsi="Garamond"/>
          <w:b/>
          <w:bCs/>
          <w:color w:val="000000"/>
          <w:sz w:val="24"/>
          <w:szCs w:val="24"/>
          <w:lang w:val="sq-AL" w:eastAsia="en-GB"/>
        </w:rPr>
        <w:t>IV.</w:t>
      </w:r>
      <w:r>
        <w:rPr>
          <w:rFonts w:ascii="Garamond" w:hAnsi="Garamond"/>
          <w:b/>
          <w:bCs/>
          <w:color w:val="000000"/>
          <w:sz w:val="24"/>
          <w:szCs w:val="24"/>
          <w:lang w:val="sq-AL" w:eastAsia="en-GB"/>
        </w:rPr>
        <w:t xml:space="preserve"> </w:t>
      </w:r>
      <w:r w:rsidRPr="00695784">
        <w:rPr>
          <w:rFonts w:ascii="Garamond" w:hAnsi="Garamond"/>
          <w:b/>
          <w:bCs/>
          <w:color w:val="000000"/>
          <w:sz w:val="24"/>
          <w:szCs w:val="24"/>
          <w:lang w:val="sq-AL" w:eastAsia="en-GB"/>
        </w:rPr>
        <w:t>Mënyra e pagimit të tarifës së shërbimit të njoftimit të dokumenteve zyrtare dhe/ose akteve</w:t>
      </w:r>
    </w:p>
    <w:p w14:paraId="1D8B649A" w14:textId="15D81D77" w:rsidR="00695784" w:rsidRPr="00695784" w:rsidRDefault="00695784" w:rsidP="00695784">
      <w:pPr>
        <w:tabs>
          <w:tab w:val="left" w:pos="2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 xml:space="preserve">1. Tarifa e përcaktuar në pikat 2 dhe 3 të kreut III të këtij </w:t>
      </w:r>
      <w:r w:rsidR="00E20DFF" w:rsidRPr="00695784">
        <w:rPr>
          <w:rFonts w:ascii="Garamond" w:hAnsi="Garamond"/>
          <w:color w:val="000000"/>
          <w:sz w:val="24"/>
          <w:szCs w:val="24"/>
          <w:lang w:val="sq-AL" w:eastAsia="en-GB"/>
        </w:rPr>
        <w:t>udh</w:t>
      </w:r>
      <w:bookmarkStart w:id="0" w:name="_GoBack"/>
      <w:bookmarkEnd w:id="0"/>
      <w:r w:rsidR="00E20DFF" w:rsidRPr="00695784">
        <w:rPr>
          <w:rFonts w:ascii="Garamond" w:hAnsi="Garamond"/>
          <w:color w:val="000000"/>
          <w:sz w:val="24"/>
          <w:szCs w:val="24"/>
          <w:lang w:val="sq-AL" w:eastAsia="en-GB"/>
        </w:rPr>
        <w:t xml:space="preserve">ëzimi </w:t>
      </w:r>
      <w:r w:rsidRPr="00695784">
        <w:rPr>
          <w:rFonts w:ascii="Garamond" w:hAnsi="Garamond"/>
          <w:color w:val="000000"/>
          <w:sz w:val="24"/>
          <w:szCs w:val="24"/>
          <w:lang w:val="sq-AL" w:eastAsia="en-GB"/>
        </w:rPr>
        <w:t xml:space="preserve">paguhet nga personi fizik ose juridik, publik ose privat, nëpërmjet sistemit bankar, në llogarinë e përmbaruesit gjyqësor privat për administrimin e aktivitetit tregtar si person fizik ose juridik. </w:t>
      </w:r>
    </w:p>
    <w:p w14:paraId="079F1C5D" w14:textId="77777777" w:rsidR="00695784" w:rsidRPr="00695784" w:rsidRDefault="00695784" w:rsidP="00695784">
      <w:pPr>
        <w:tabs>
          <w:tab w:val="left" w:pos="260"/>
        </w:tabs>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2. Tarifa e përcaktuar në pikën 4 të kreut III të këtij udhëzimi paguhet nga pala së</w:t>
      </w:r>
      <w:r w:rsidRPr="00695784">
        <w:rPr>
          <w:rFonts w:ascii="Garamond" w:hAnsi="Garamond"/>
          <w:sz w:val="24"/>
          <w:szCs w:val="24"/>
          <w:lang w:val="sq-AL" w:eastAsia="en-GB"/>
        </w:rPr>
        <w:t xml:space="preserve"> cilës i janë ngarkuar shpenzimet nga gjykata, në llogarinë e përmbaruesit gjyqësor privat për administrimin e aktivitetit tregtar si person fizik ose juridik.</w:t>
      </w:r>
      <w:r w:rsidRPr="00695784">
        <w:rPr>
          <w:rFonts w:ascii="Garamond" w:hAnsi="Garamond"/>
          <w:color w:val="000000"/>
          <w:sz w:val="24"/>
          <w:szCs w:val="24"/>
          <w:lang w:val="sq-AL" w:eastAsia="en-GB"/>
        </w:rPr>
        <w:t xml:space="preserve"> </w:t>
      </w:r>
    </w:p>
    <w:p w14:paraId="3D03FC4E" w14:textId="5A8842A0" w:rsidR="00695784" w:rsidRPr="00695784" w:rsidRDefault="00695784" w:rsidP="00695784">
      <w:pPr>
        <w:autoSpaceDE w:val="0"/>
        <w:autoSpaceDN w:val="0"/>
        <w:adjustRightInd w:val="0"/>
        <w:spacing w:after="0" w:line="240" w:lineRule="auto"/>
        <w:ind w:firstLine="284"/>
        <w:jc w:val="both"/>
        <w:rPr>
          <w:rFonts w:ascii="Garamond" w:hAnsi="Garamond"/>
          <w:color w:val="000000"/>
          <w:sz w:val="24"/>
          <w:szCs w:val="24"/>
          <w:lang w:val="sq-AL" w:eastAsia="en-GB"/>
        </w:rPr>
      </w:pPr>
      <w:r w:rsidRPr="00695784">
        <w:rPr>
          <w:rFonts w:ascii="Garamond" w:hAnsi="Garamond"/>
          <w:color w:val="000000"/>
          <w:sz w:val="24"/>
          <w:szCs w:val="24"/>
          <w:lang w:val="sq-AL" w:eastAsia="en-GB"/>
        </w:rPr>
        <w:t>Ky udhë</w:t>
      </w:r>
      <w:r>
        <w:rPr>
          <w:rFonts w:ascii="Garamond" w:hAnsi="Garamond"/>
          <w:color w:val="000000"/>
          <w:sz w:val="24"/>
          <w:szCs w:val="24"/>
          <w:lang w:val="sq-AL" w:eastAsia="en-GB"/>
        </w:rPr>
        <w:t xml:space="preserve">zim hyn në fuqi pas botimit në </w:t>
      </w:r>
      <w:r w:rsidRPr="00695784">
        <w:rPr>
          <w:rFonts w:ascii="Garamond" w:hAnsi="Garamond"/>
          <w:color w:val="000000"/>
          <w:sz w:val="24"/>
          <w:szCs w:val="24"/>
          <w:lang w:val="sq-AL" w:eastAsia="en-GB"/>
        </w:rPr>
        <w:t xml:space="preserve">Fletoren </w:t>
      </w:r>
      <w:r>
        <w:rPr>
          <w:rFonts w:ascii="Garamond" w:hAnsi="Garamond"/>
          <w:color w:val="000000"/>
          <w:sz w:val="24"/>
          <w:szCs w:val="24"/>
          <w:lang w:val="sq-AL" w:eastAsia="en-GB"/>
        </w:rPr>
        <w:t>Zyrtare</w:t>
      </w:r>
      <w:r w:rsidRPr="00695784">
        <w:rPr>
          <w:rFonts w:ascii="Garamond" w:hAnsi="Garamond"/>
          <w:color w:val="000000"/>
          <w:sz w:val="24"/>
          <w:szCs w:val="24"/>
          <w:lang w:val="sq-AL" w:eastAsia="en-GB"/>
        </w:rPr>
        <w:t>.</w:t>
      </w:r>
    </w:p>
    <w:p w14:paraId="5CF30F48" w14:textId="77777777" w:rsidR="00695784" w:rsidRPr="00695784" w:rsidRDefault="00695784" w:rsidP="00695784">
      <w:pPr>
        <w:autoSpaceDE w:val="0"/>
        <w:autoSpaceDN w:val="0"/>
        <w:adjustRightInd w:val="0"/>
        <w:spacing w:after="0" w:line="240" w:lineRule="auto"/>
        <w:ind w:firstLine="284"/>
        <w:jc w:val="both"/>
        <w:rPr>
          <w:rFonts w:ascii="Garamond" w:hAnsi="Garamond"/>
          <w:color w:val="000000"/>
          <w:sz w:val="24"/>
          <w:szCs w:val="24"/>
          <w:lang w:val="sq-AL" w:eastAsia="en-GB"/>
        </w:rPr>
      </w:pPr>
    </w:p>
    <w:p w14:paraId="13552145" w14:textId="77777777" w:rsidR="00695784" w:rsidRPr="00695784" w:rsidRDefault="00695784" w:rsidP="00695784">
      <w:pPr>
        <w:autoSpaceDE w:val="0"/>
        <w:autoSpaceDN w:val="0"/>
        <w:adjustRightInd w:val="0"/>
        <w:spacing w:after="0" w:line="240" w:lineRule="auto"/>
        <w:ind w:firstLine="284"/>
        <w:jc w:val="right"/>
        <w:rPr>
          <w:rFonts w:ascii="Garamond" w:hAnsi="Garamond"/>
          <w:bCs/>
          <w:color w:val="000000"/>
          <w:sz w:val="24"/>
          <w:szCs w:val="24"/>
          <w:lang w:val="sq-AL" w:eastAsia="en-GB"/>
        </w:rPr>
      </w:pPr>
      <w:r w:rsidRPr="00695784">
        <w:rPr>
          <w:rFonts w:ascii="Garamond" w:hAnsi="Garamond"/>
          <w:bCs/>
          <w:color w:val="000000"/>
          <w:sz w:val="24"/>
          <w:szCs w:val="24"/>
          <w:lang w:val="sq-AL" w:eastAsia="en-GB"/>
        </w:rPr>
        <w:t>MINISTËR I DREJTËSISË</w:t>
      </w:r>
    </w:p>
    <w:p w14:paraId="4D4E7A2F" w14:textId="2E438D83" w:rsidR="001D6159" w:rsidRPr="00695784" w:rsidRDefault="00B507F2" w:rsidP="00695784">
      <w:pPr>
        <w:autoSpaceDE w:val="0"/>
        <w:autoSpaceDN w:val="0"/>
        <w:adjustRightInd w:val="0"/>
        <w:spacing w:after="0" w:line="240" w:lineRule="auto"/>
        <w:ind w:firstLine="284"/>
        <w:jc w:val="right"/>
        <w:rPr>
          <w:rFonts w:ascii="Garamond" w:hAnsi="Garamond"/>
        </w:rPr>
      </w:pPr>
      <w:r w:rsidRPr="00695784">
        <w:rPr>
          <w:rFonts w:ascii="Garamond" w:hAnsi="Garamond"/>
          <w:b/>
          <w:bCs/>
          <w:color w:val="000000"/>
          <w:sz w:val="24"/>
          <w:szCs w:val="24"/>
          <w:lang w:val="sq-AL" w:eastAsia="en-GB"/>
        </w:rPr>
        <w:t>Ulsi Manja</w:t>
      </w:r>
      <w:r w:rsidRPr="00695784">
        <w:rPr>
          <w:rFonts w:ascii="Garamond" w:hAnsi="Garamond"/>
          <w:color w:val="000000"/>
          <w:sz w:val="16"/>
          <w:szCs w:val="16"/>
          <w:lang w:val="sq-AL" w:eastAsia="en-GB"/>
        </w:rPr>
        <w:t xml:space="preserve"> </w:t>
      </w:r>
    </w:p>
    <w:sectPr w:rsidR="001D6159" w:rsidRPr="00695784" w:rsidSect="00DE024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9FBE5F" w14:textId="77777777" w:rsidR="000A1AAE" w:rsidRDefault="000A1AAE" w:rsidP="00D00441">
      <w:pPr>
        <w:spacing w:after="0" w:line="240" w:lineRule="auto"/>
      </w:pPr>
      <w:r>
        <w:separator/>
      </w:r>
    </w:p>
  </w:endnote>
  <w:endnote w:type="continuationSeparator" w:id="0">
    <w:p w14:paraId="46B43F3A" w14:textId="77777777" w:rsidR="000A1AAE" w:rsidRDefault="000A1AAE" w:rsidP="00D00441">
      <w:pPr>
        <w:spacing w:after="0" w:line="240" w:lineRule="auto"/>
      </w:pPr>
      <w:r>
        <w:continuationSeparator/>
      </w:r>
    </w:p>
  </w:endnote>
  <w:endnote w:type="continuationNotice" w:id="1">
    <w:p w14:paraId="2D1B1A83" w14:textId="77777777" w:rsidR="00267505" w:rsidRDefault="002675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972610" w14:textId="77777777" w:rsidR="000A1AAE" w:rsidRDefault="000A1AAE" w:rsidP="00D00441">
      <w:pPr>
        <w:spacing w:after="0" w:line="240" w:lineRule="auto"/>
      </w:pPr>
      <w:r>
        <w:separator/>
      </w:r>
    </w:p>
  </w:footnote>
  <w:footnote w:type="continuationSeparator" w:id="0">
    <w:p w14:paraId="6B03A2FB" w14:textId="77777777" w:rsidR="000A1AAE" w:rsidRDefault="000A1AAE" w:rsidP="00D00441">
      <w:pPr>
        <w:spacing w:after="0" w:line="240" w:lineRule="auto"/>
      </w:pPr>
      <w:r>
        <w:continuationSeparator/>
      </w:r>
    </w:p>
  </w:footnote>
  <w:footnote w:type="continuationNotice" w:id="1">
    <w:p w14:paraId="64234108" w14:textId="77777777" w:rsidR="00267505" w:rsidRDefault="0026750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10AAE"/>
    <w:multiLevelType w:val="hybridMultilevel"/>
    <w:tmpl w:val="D39E0BB4"/>
    <w:lvl w:ilvl="0" w:tplc="04090017">
      <w:start w:val="1"/>
      <w:numFmt w:val="lowerLetter"/>
      <w:lvlText w:val="%1)"/>
      <w:lvlJc w:val="left"/>
      <w:pPr>
        <w:ind w:left="1139" w:hanging="360"/>
      </w:pPr>
    </w:lvl>
    <w:lvl w:ilvl="1" w:tplc="041C0019" w:tentative="1">
      <w:start w:val="1"/>
      <w:numFmt w:val="lowerLetter"/>
      <w:lvlText w:val="%2."/>
      <w:lvlJc w:val="left"/>
      <w:pPr>
        <w:ind w:left="1859" w:hanging="360"/>
      </w:pPr>
    </w:lvl>
    <w:lvl w:ilvl="2" w:tplc="041C001B" w:tentative="1">
      <w:start w:val="1"/>
      <w:numFmt w:val="lowerRoman"/>
      <w:lvlText w:val="%3."/>
      <w:lvlJc w:val="right"/>
      <w:pPr>
        <w:ind w:left="2579" w:hanging="180"/>
      </w:pPr>
    </w:lvl>
    <w:lvl w:ilvl="3" w:tplc="041C000F" w:tentative="1">
      <w:start w:val="1"/>
      <w:numFmt w:val="decimal"/>
      <w:lvlText w:val="%4."/>
      <w:lvlJc w:val="left"/>
      <w:pPr>
        <w:ind w:left="3299" w:hanging="360"/>
      </w:pPr>
    </w:lvl>
    <w:lvl w:ilvl="4" w:tplc="041C0019" w:tentative="1">
      <w:start w:val="1"/>
      <w:numFmt w:val="lowerLetter"/>
      <w:lvlText w:val="%5."/>
      <w:lvlJc w:val="left"/>
      <w:pPr>
        <w:ind w:left="4019" w:hanging="360"/>
      </w:pPr>
    </w:lvl>
    <w:lvl w:ilvl="5" w:tplc="041C001B" w:tentative="1">
      <w:start w:val="1"/>
      <w:numFmt w:val="lowerRoman"/>
      <w:lvlText w:val="%6."/>
      <w:lvlJc w:val="right"/>
      <w:pPr>
        <w:ind w:left="4739" w:hanging="180"/>
      </w:pPr>
    </w:lvl>
    <w:lvl w:ilvl="6" w:tplc="041C000F" w:tentative="1">
      <w:start w:val="1"/>
      <w:numFmt w:val="decimal"/>
      <w:lvlText w:val="%7."/>
      <w:lvlJc w:val="left"/>
      <w:pPr>
        <w:ind w:left="5459" w:hanging="360"/>
      </w:pPr>
    </w:lvl>
    <w:lvl w:ilvl="7" w:tplc="041C0019" w:tentative="1">
      <w:start w:val="1"/>
      <w:numFmt w:val="lowerLetter"/>
      <w:lvlText w:val="%8."/>
      <w:lvlJc w:val="left"/>
      <w:pPr>
        <w:ind w:left="6179" w:hanging="360"/>
      </w:pPr>
    </w:lvl>
    <w:lvl w:ilvl="8" w:tplc="041C001B" w:tentative="1">
      <w:start w:val="1"/>
      <w:numFmt w:val="lowerRoman"/>
      <w:lvlText w:val="%9."/>
      <w:lvlJc w:val="right"/>
      <w:pPr>
        <w:ind w:left="6899" w:hanging="180"/>
      </w:pPr>
    </w:lvl>
  </w:abstractNum>
  <w:abstractNum w:abstractNumId="1">
    <w:nsid w:val="0AEF16E2"/>
    <w:multiLevelType w:val="hybridMultilevel"/>
    <w:tmpl w:val="89FE7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91522B"/>
    <w:multiLevelType w:val="hybridMultilevel"/>
    <w:tmpl w:val="9C807DD8"/>
    <w:lvl w:ilvl="0" w:tplc="534294E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41021C"/>
    <w:multiLevelType w:val="hybridMultilevel"/>
    <w:tmpl w:val="37C2A0DC"/>
    <w:lvl w:ilvl="0" w:tplc="AC6403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BC5BF0"/>
    <w:multiLevelType w:val="hybridMultilevel"/>
    <w:tmpl w:val="FAB8F1F0"/>
    <w:lvl w:ilvl="0" w:tplc="6E16D5F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1D2858"/>
    <w:multiLevelType w:val="hybridMultilevel"/>
    <w:tmpl w:val="63A6604C"/>
    <w:lvl w:ilvl="0" w:tplc="9ADEE4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6A1108"/>
    <w:multiLevelType w:val="hybridMultilevel"/>
    <w:tmpl w:val="AAAAD4A6"/>
    <w:lvl w:ilvl="0" w:tplc="6FF8E164">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B25C86"/>
    <w:multiLevelType w:val="hybridMultilevel"/>
    <w:tmpl w:val="C71AB940"/>
    <w:lvl w:ilvl="0" w:tplc="D7BCEED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C11E83"/>
    <w:multiLevelType w:val="hybridMultilevel"/>
    <w:tmpl w:val="5A3C23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85637D"/>
    <w:multiLevelType w:val="hybridMultilevel"/>
    <w:tmpl w:val="75B0682E"/>
    <w:lvl w:ilvl="0" w:tplc="C6BA51E0">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B3279A"/>
    <w:multiLevelType w:val="hybridMultilevel"/>
    <w:tmpl w:val="4E684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7036A9"/>
    <w:multiLevelType w:val="hybridMultilevel"/>
    <w:tmpl w:val="D526A5CA"/>
    <w:lvl w:ilvl="0" w:tplc="E318BBB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E82A02"/>
    <w:multiLevelType w:val="hybridMultilevel"/>
    <w:tmpl w:val="9C2CC4F0"/>
    <w:lvl w:ilvl="0" w:tplc="78CEFC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0B7467"/>
    <w:multiLevelType w:val="hybridMultilevel"/>
    <w:tmpl w:val="8A568EF2"/>
    <w:lvl w:ilvl="0" w:tplc="7CA41C2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F60938"/>
    <w:multiLevelType w:val="hybridMultilevel"/>
    <w:tmpl w:val="44EC656C"/>
    <w:lvl w:ilvl="0" w:tplc="58320F0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B71CB4"/>
    <w:multiLevelType w:val="hybridMultilevel"/>
    <w:tmpl w:val="B9B28E10"/>
    <w:lvl w:ilvl="0" w:tplc="A7B2F2CE">
      <w:start w:val="1"/>
      <w:numFmt w:val="lowerLetter"/>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1473BF"/>
    <w:multiLevelType w:val="hybridMultilevel"/>
    <w:tmpl w:val="AC444DA6"/>
    <w:lvl w:ilvl="0" w:tplc="D806111C">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2447F79"/>
    <w:multiLevelType w:val="hybridMultilevel"/>
    <w:tmpl w:val="66B2445E"/>
    <w:lvl w:ilvl="0" w:tplc="5010F4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217DD5"/>
    <w:multiLevelType w:val="hybridMultilevel"/>
    <w:tmpl w:val="DDB29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7C6468"/>
    <w:multiLevelType w:val="hybridMultilevel"/>
    <w:tmpl w:val="5AD4DEA0"/>
    <w:lvl w:ilvl="0" w:tplc="2152CCC4">
      <w:start w:val="1"/>
      <w:numFmt w:val="lowerLetter"/>
      <w:lvlText w:val="%1)"/>
      <w:lvlJc w:val="left"/>
      <w:pPr>
        <w:ind w:left="26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84977B5"/>
    <w:multiLevelType w:val="hybridMultilevel"/>
    <w:tmpl w:val="67082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BE45E3F"/>
    <w:multiLevelType w:val="hybridMultilevel"/>
    <w:tmpl w:val="415CC512"/>
    <w:lvl w:ilvl="0" w:tplc="81E4799A">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6935C8"/>
    <w:multiLevelType w:val="hybridMultilevel"/>
    <w:tmpl w:val="A3CE9B18"/>
    <w:lvl w:ilvl="0" w:tplc="4ED6DF18">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675253"/>
    <w:multiLevelType w:val="hybridMultilevel"/>
    <w:tmpl w:val="F9B8A0DA"/>
    <w:lvl w:ilvl="0" w:tplc="722A36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6"/>
  </w:num>
  <w:num w:numId="3">
    <w:abstractNumId w:val="20"/>
  </w:num>
  <w:num w:numId="4">
    <w:abstractNumId w:val="10"/>
  </w:num>
  <w:num w:numId="5">
    <w:abstractNumId w:val="4"/>
  </w:num>
  <w:num w:numId="6">
    <w:abstractNumId w:val="18"/>
  </w:num>
  <w:num w:numId="7">
    <w:abstractNumId w:val="13"/>
  </w:num>
  <w:num w:numId="8">
    <w:abstractNumId w:val="22"/>
  </w:num>
  <w:num w:numId="9">
    <w:abstractNumId w:val="14"/>
  </w:num>
  <w:num w:numId="10">
    <w:abstractNumId w:val="9"/>
  </w:num>
  <w:num w:numId="11">
    <w:abstractNumId w:val="7"/>
  </w:num>
  <w:num w:numId="12">
    <w:abstractNumId w:val="2"/>
  </w:num>
  <w:num w:numId="13">
    <w:abstractNumId w:val="12"/>
  </w:num>
  <w:num w:numId="14">
    <w:abstractNumId w:val="5"/>
  </w:num>
  <w:num w:numId="15">
    <w:abstractNumId w:val="3"/>
  </w:num>
  <w:num w:numId="16">
    <w:abstractNumId w:val="21"/>
  </w:num>
  <w:num w:numId="17">
    <w:abstractNumId w:val="19"/>
  </w:num>
  <w:num w:numId="18">
    <w:abstractNumId w:val="17"/>
  </w:num>
  <w:num w:numId="19">
    <w:abstractNumId w:val="23"/>
  </w:num>
  <w:num w:numId="20">
    <w:abstractNumId w:val="15"/>
  </w:num>
  <w:num w:numId="21">
    <w:abstractNumId w:val="11"/>
  </w:num>
  <w:num w:numId="22">
    <w:abstractNumId w:val="6"/>
  </w:num>
  <w:num w:numId="23">
    <w:abstractNumId w:val="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FDA"/>
    <w:rsid w:val="00017354"/>
    <w:rsid w:val="00022A96"/>
    <w:rsid w:val="00026CC0"/>
    <w:rsid w:val="00036209"/>
    <w:rsid w:val="0004372C"/>
    <w:rsid w:val="000455C1"/>
    <w:rsid w:val="00046144"/>
    <w:rsid w:val="0005034D"/>
    <w:rsid w:val="00073FB4"/>
    <w:rsid w:val="0007421B"/>
    <w:rsid w:val="000773F2"/>
    <w:rsid w:val="00085862"/>
    <w:rsid w:val="000969F7"/>
    <w:rsid w:val="000A1AAE"/>
    <w:rsid w:val="000B4BDA"/>
    <w:rsid w:val="000B589F"/>
    <w:rsid w:val="000B6433"/>
    <w:rsid w:val="000B78C1"/>
    <w:rsid w:val="000C035C"/>
    <w:rsid w:val="000D05DC"/>
    <w:rsid w:val="000E4291"/>
    <w:rsid w:val="000E7E21"/>
    <w:rsid w:val="000F0377"/>
    <w:rsid w:val="000F44B5"/>
    <w:rsid w:val="001011E8"/>
    <w:rsid w:val="001054E5"/>
    <w:rsid w:val="001460CF"/>
    <w:rsid w:val="001572A8"/>
    <w:rsid w:val="00164866"/>
    <w:rsid w:val="00172C05"/>
    <w:rsid w:val="001763E8"/>
    <w:rsid w:val="00193398"/>
    <w:rsid w:val="00197BFE"/>
    <w:rsid w:val="001A20EF"/>
    <w:rsid w:val="001A5905"/>
    <w:rsid w:val="001B4851"/>
    <w:rsid w:val="001D611F"/>
    <w:rsid w:val="001D6159"/>
    <w:rsid w:val="001E64A8"/>
    <w:rsid w:val="001F2159"/>
    <w:rsid w:val="001F7277"/>
    <w:rsid w:val="002110A6"/>
    <w:rsid w:val="00214288"/>
    <w:rsid w:val="00216D75"/>
    <w:rsid w:val="00221E22"/>
    <w:rsid w:val="00236353"/>
    <w:rsid w:val="002406FE"/>
    <w:rsid w:val="00242F5C"/>
    <w:rsid w:val="002476ED"/>
    <w:rsid w:val="00265A42"/>
    <w:rsid w:val="00266F4A"/>
    <w:rsid w:val="00267505"/>
    <w:rsid w:val="002751DA"/>
    <w:rsid w:val="002768F5"/>
    <w:rsid w:val="002A08C9"/>
    <w:rsid w:val="002A1C0C"/>
    <w:rsid w:val="002C4495"/>
    <w:rsid w:val="002D477F"/>
    <w:rsid w:val="002E19D5"/>
    <w:rsid w:val="002E4228"/>
    <w:rsid w:val="002F7EFF"/>
    <w:rsid w:val="00314A95"/>
    <w:rsid w:val="0032095F"/>
    <w:rsid w:val="00341D47"/>
    <w:rsid w:val="00357800"/>
    <w:rsid w:val="0039648D"/>
    <w:rsid w:val="003A484D"/>
    <w:rsid w:val="003A56F7"/>
    <w:rsid w:val="003C6932"/>
    <w:rsid w:val="003C73E4"/>
    <w:rsid w:val="003E7F5F"/>
    <w:rsid w:val="003F558F"/>
    <w:rsid w:val="00410DEE"/>
    <w:rsid w:val="00416659"/>
    <w:rsid w:val="00416C37"/>
    <w:rsid w:val="00420226"/>
    <w:rsid w:val="00425D3E"/>
    <w:rsid w:val="00436CA1"/>
    <w:rsid w:val="004450BD"/>
    <w:rsid w:val="00445AB7"/>
    <w:rsid w:val="004632DB"/>
    <w:rsid w:val="004657E9"/>
    <w:rsid w:val="0047444E"/>
    <w:rsid w:val="004805CD"/>
    <w:rsid w:val="0049113A"/>
    <w:rsid w:val="00497241"/>
    <w:rsid w:val="004B018B"/>
    <w:rsid w:val="004B25AA"/>
    <w:rsid w:val="004C3CEF"/>
    <w:rsid w:val="004C4574"/>
    <w:rsid w:val="004C611C"/>
    <w:rsid w:val="004D5ACC"/>
    <w:rsid w:val="004D7E13"/>
    <w:rsid w:val="004E6FD5"/>
    <w:rsid w:val="004F08D7"/>
    <w:rsid w:val="004F1942"/>
    <w:rsid w:val="005176ED"/>
    <w:rsid w:val="00520786"/>
    <w:rsid w:val="00520856"/>
    <w:rsid w:val="0052260E"/>
    <w:rsid w:val="00523B24"/>
    <w:rsid w:val="005317AB"/>
    <w:rsid w:val="00532426"/>
    <w:rsid w:val="005345A2"/>
    <w:rsid w:val="005346ED"/>
    <w:rsid w:val="005439E2"/>
    <w:rsid w:val="00552F27"/>
    <w:rsid w:val="00554704"/>
    <w:rsid w:val="00556611"/>
    <w:rsid w:val="005770C9"/>
    <w:rsid w:val="005A5025"/>
    <w:rsid w:val="005A6518"/>
    <w:rsid w:val="005B2914"/>
    <w:rsid w:val="005F7E52"/>
    <w:rsid w:val="006632C2"/>
    <w:rsid w:val="00695784"/>
    <w:rsid w:val="006A0D4C"/>
    <w:rsid w:val="006A446C"/>
    <w:rsid w:val="006D3706"/>
    <w:rsid w:val="006D56D7"/>
    <w:rsid w:val="006E1116"/>
    <w:rsid w:val="006E4FB7"/>
    <w:rsid w:val="006F6189"/>
    <w:rsid w:val="00701536"/>
    <w:rsid w:val="007237BC"/>
    <w:rsid w:val="0073122D"/>
    <w:rsid w:val="007503A7"/>
    <w:rsid w:val="0075180F"/>
    <w:rsid w:val="007661B5"/>
    <w:rsid w:val="007667FD"/>
    <w:rsid w:val="00776AC5"/>
    <w:rsid w:val="00781C7D"/>
    <w:rsid w:val="00785C7B"/>
    <w:rsid w:val="007B3E1B"/>
    <w:rsid w:val="007C0E86"/>
    <w:rsid w:val="007C3D79"/>
    <w:rsid w:val="007C5063"/>
    <w:rsid w:val="007C769E"/>
    <w:rsid w:val="007D21B0"/>
    <w:rsid w:val="007D2E56"/>
    <w:rsid w:val="008003A7"/>
    <w:rsid w:val="00801CE0"/>
    <w:rsid w:val="00815581"/>
    <w:rsid w:val="0082001E"/>
    <w:rsid w:val="0082054C"/>
    <w:rsid w:val="008208D2"/>
    <w:rsid w:val="0082350B"/>
    <w:rsid w:val="008444EA"/>
    <w:rsid w:val="00852DCE"/>
    <w:rsid w:val="00854314"/>
    <w:rsid w:val="00855227"/>
    <w:rsid w:val="0085735A"/>
    <w:rsid w:val="008608A9"/>
    <w:rsid w:val="00860960"/>
    <w:rsid w:val="00872AF3"/>
    <w:rsid w:val="0088050F"/>
    <w:rsid w:val="00886495"/>
    <w:rsid w:val="008915A5"/>
    <w:rsid w:val="0089218B"/>
    <w:rsid w:val="008A3700"/>
    <w:rsid w:val="008B29F3"/>
    <w:rsid w:val="008F2FF9"/>
    <w:rsid w:val="008F3597"/>
    <w:rsid w:val="008F389E"/>
    <w:rsid w:val="008F6136"/>
    <w:rsid w:val="00901DA1"/>
    <w:rsid w:val="00941631"/>
    <w:rsid w:val="00942D28"/>
    <w:rsid w:val="00946C9A"/>
    <w:rsid w:val="00951121"/>
    <w:rsid w:val="009540C3"/>
    <w:rsid w:val="00955DAE"/>
    <w:rsid w:val="00956993"/>
    <w:rsid w:val="00961BF2"/>
    <w:rsid w:val="009662EF"/>
    <w:rsid w:val="00972389"/>
    <w:rsid w:val="009968A8"/>
    <w:rsid w:val="009A47C6"/>
    <w:rsid w:val="009C150F"/>
    <w:rsid w:val="009C7437"/>
    <w:rsid w:val="009D4F50"/>
    <w:rsid w:val="00A25A2B"/>
    <w:rsid w:val="00A276A9"/>
    <w:rsid w:val="00A27FBA"/>
    <w:rsid w:val="00A31945"/>
    <w:rsid w:val="00A44E6F"/>
    <w:rsid w:val="00A54614"/>
    <w:rsid w:val="00A56A5F"/>
    <w:rsid w:val="00A60678"/>
    <w:rsid w:val="00A7179D"/>
    <w:rsid w:val="00A9357A"/>
    <w:rsid w:val="00AB411F"/>
    <w:rsid w:val="00AC28D6"/>
    <w:rsid w:val="00AC6B3E"/>
    <w:rsid w:val="00AC6FAD"/>
    <w:rsid w:val="00AD3A08"/>
    <w:rsid w:val="00AE57F2"/>
    <w:rsid w:val="00AE5B1E"/>
    <w:rsid w:val="00AE6FF4"/>
    <w:rsid w:val="00AF4346"/>
    <w:rsid w:val="00B126FD"/>
    <w:rsid w:val="00B14327"/>
    <w:rsid w:val="00B15817"/>
    <w:rsid w:val="00B320EE"/>
    <w:rsid w:val="00B3672E"/>
    <w:rsid w:val="00B507F2"/>
    <w:rsid w:val="00B51AC7"/>
    <w:rsid w:val="00B63ABD"/>
    <w:rsid w:val="00B65051"/>
    <w:rsid w:val="00B80724"/>
    <w:rsid w:val="00B84B52"/>
    <w:rsid w:val="00B96D8D"/>
    <w:rsid w:val="00BC44FC"/>
    <w:rsid w:val="00BD43FB"/>
    <w:rsid w:val="00BD6234"/>
    <w:rsid w:val="00BE3921"/>
    <w:rsid w:val="00BF037E"/>
    <w:rsid w:val="00C04CE5"/>
    <w:rsid w:val="00C20798"/>
    <w:rsid w:val="00C20E3B"/>
    <w:rsid w:val="00C45292"/>
    <w:rsid w:val="00C55A92"/>
    <w:rsid w:val="00C672E5"/>
    <w:rsid w:val="00C70CE7"/>
    <w:rsid w:val="00C70FC9"/>
    <w:rsid w:val="00C77477"/>
    <w:rsid w:val="00C809F2"/>
    <w:rsid w:val="00C91D2F"/>
    <w:rsid w:val="00CA70CA"/>
    <w:rsid w:val="00CC07F8"/>
    <w:rsid w:val="00CE6D70"/>
    <w:rsid w:val="00D00441"/>
    <w:rsid w:val="00D122F7"/>
    <w:rsid w:val="00D12D6D"/>
    <w:rsid w:val="00D32F34"/>
    <w:rsid w:val="00D36904"/>
    <w:rsid w:val="00D4175B"/>
    <w:rsid w:val="00D63EA9"/>
    <w:rsid w:val="00D840D4"/>
    <w:rsid w:val="00D86DD3"/>
    <w:rsid w:val="00D9365F"/>
    <w:rsid w:val="00DA0399"/>
    <w:rsid w:val="00DA7FDA"/>
    <w:rsid w:val="00DB29A7"/>
    <w:rsid w:val="00DD0B5B"/>
    <w:rsid w:val="00DE024E"/>
    <w:rsid w:val="00DE105A"/>
    <w:rsid w:val="00DE19A4"/>
    <w:rsid w:val="00DE3237"/>
    <w:rsid w:val="00DE3563"/>
    <w:rsid w:val="00DE386D"/>
    <w:rsid w:val="00E04A27"/>
    <w:rsid w:val="00E20DFF"/>
    <w:rsid w:val="00E24DA8"/>
    <w:rsid w:val="00E374FC"/>
    <w:rsid w:val="00E5462C"/>
    <w:rsid w:val="00E65986"/>
    <w:rsid w:val="00E75339"/>
    <w:rsid w:val="00E8215D"/>
    <w:rsid w:val="00E90350"/>
    <w:rsid w:val="00E9276C"/>
    <w:rsid w:val="00E93FC2"/>
    <w:rsid w:val="00EA67B0"/>
    <w:rsid w:val="00EA7A18"/>
    <w:rsid w:val="00EB00FC"/>
    <w:rsid w:val="00EC145F"/>
    <w:rsid w:val="00ED34DD"/>
    <w:rsid w:val="00EE5C38"/>
    <w:rsid w:val="00EE6136"/>
    <w:rsid w:val="00EF2445"/>
    <w:rsid w:val="00F00621"/>
    <w:rsid w:val="00F06A8D"/>
    <w:rsid w:val="00F312A7"/>
    <w:rsid w:val="00F316A6"/>
    <w:rsid w:val="00F37E13"/>
    <w:rsid w:val="00F5652C"/>
    <w:rsid w:val="00F65C46"/>
    <w:rsid w:val="00F7704A"/>
    <w:rsid w:val="00FB6A78"/>
    <w:rsid w:val="00FB7BD7"/>
    <w:rsid w:val="00FC0545"/>
    <w:rsid w:val="00FC7C7E"/>
    <w:rsid w:val="00FC7D68"/>
    <w:rsid w:val="00FD55A8"/>
    <w:rsid w:val="00FD58BD"/>
    <w:rsid w:val="00FD5D99"/>
    <w:rsid w:val="00FF16C8"/>
    <w:rsid w:val="00FF2633"/>
    <w:rsid w:val="00FF2A1E"/>
    <w:rsid w:val="00FF44FF"/>
    <w:rsid w:val="00FF5E0A"/>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B3E85"/>
  <w15:docId w15:val="{2FA58AE1-4631-4044-AEF3-218439ABB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08D2"/>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7FDA"/>
    <w:pPr>
      <w:autoSpaceDE w:val="0"/>
      <w:autoSpaceDN w:val="0"/>
      <w:adjustRightInd w:val="0"/>
    </w:pPr>
    <w:rPr>
      <w:rFonts w:ascii="Garamond" w:hAnsi="Garamond" w:cs="Garamond"/>
      <w:color w:val="000000"/>
      <w:sz w:val="24"/>
      <w:szCs w:val="24"/>
      <w:lang w:val="en-US" w:eastAsia="en-US"/>
    </w:rPr>
  </w:style>
  <w:style w:type="paragraph" w:styleId="NoSpacing">
    <w:name w:val="No Spacing"/>
    <w:uiPriority w:val="1"/>
    <w:qFormat/>
    <w:rsid w:val="008A3700"/>
    <w:rPr>
      <w:sz w:val="22"/>
      <w:szCs w:val="22"/>
      <w:lang w:val="en-US" w:eastAsia="en-US"/>
    </w:rPr>
  </w:style>
  <w:style w:type="paragraph" w:styleId="ListParagraph">
    <w:name w:val="List Paragraph"/>
    <w:basedOn w:val="Normal"/>
    <w:uiPriority w:val="34"/>
    <w:qFormat/>
    <w:rsid w:val="00E75339"/>
    <w:pPr>
      <w:ind w:left="720"/>
      <w:contextualSpacing/>
    </w:pPr>
  </w:style>
  <w:style w:type="paragraph" w:styleId="Header">
    <w:name w:val="header"/>
    <w:basedOn w:val="Normal"/>
    <w:link w:val="HeaderChar"/>
    <w:uiPriority w:val="99"/>
    <w:unhideWhenUsed/>
    <w:rsid w:val="00D00441"/>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D00441"/>
    <w:rPr>
      <w:rFonts w:ascii="Calibri" w:eastAsia="Calibri" w:hAnsi="Calibri" w:cs="Times New Roman"/>
    </w:rPr>
  </w:style>
  <w:style w:type="paragraph" w:styleId="Footer">
    <w:name w:val="footer"/>
    <w:basedOn w:val="Normal"/>
    <w:link w:val="FooterChar"/>
    <w:uiPriority w:val="99"/>
    <w:unhideWhenUsed/>
    <w:rsid w:val="00D00441"/>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D00441"/>
    <w:rPr>
      <w:rFonts w:ascii="Calibri" w:eastAsia="Calibri" w:hAnsi="Calibri" w:cs="Times New Roman"/>
    </w:rPr>
  </w:style>
  <w:style w:type="paragraph" w:styleId="BalloonText">
    <w:name w:val="Balloon Text"/>
    <w:basedOn w:val="Normal"/>
    <w:link w:val="BalloonTextChar"/>
    <w:uiPriority w:val="99"/>
    <w:semiHidden/>
    <w:unhideWhenUsed/>
    <w:rsid w:val="00D122F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D122F7"/>
    <w:rPr>
      <w:rFonts w:ascii="Tahoma" w:eastAsia="Calibri" w:hAnsi="Tahoma" w:cs="Tahoma"/>
      <w:sz w:val="16"/>
      <w:szCs w:val="16"/>
    </w:rPr>
  </w:style>
  <w:style w:type="character" w:styleId="Hyperlink">
    <w:name w:val="Hyperlink"/>
    <w:uiPriority w:val="99"/>
    <w:unhideWhenUsed/>
    <w:rsid w:val="0073122D"/>
    <w:rPr>
      <w:color w:val="0563C1"/>
      <w:u w:val="single"/>
    </w:rPr>
  </w:style>
  <w:style w:type="character" w:styleId="CommentReference">
    <w:name w:val="annotation reference"/>
    <w:basedOn w:val="DefaultParagraphFont"/>
    <w:uiPriority w:val="99"/>
    <w:semiHidden/>
    <w:unhideWhenUsed/>
    <w:rsid w:val="009C7437"/>
    <w:rPr>
      <w:sz w:val="16"/>
      <w:szCs w:val="16"/>
    </w:rPr>
  </w:style>
  <w:style w:type="paragraph" w:styleId="CommentText">
    <w:name w:val="annotation text"/>
    <w:basedOn w:val="Normal"/>
    <w:link w:val="CommentTextChar"/>
    <w:uiPriority w:val="99"/>
    <w:semiHidden/>
    <w:unhideWhenUsed/>
    <w:rsid w:val="009C7437"/>
    <w:pPr>
      <w:spacing w:line="240" w:lineRule="auto"/>
    </w:pPr>
    <w:rPr>
      <w:sz w:val="20"/>
      <w:szCs w:val="20"/>
    </w:rPr>
  </w:style>
  <w:style w:type="character" w:customStyle="1" w:styleId="CommentTextChar">
    <w:name w:val="Comment Text Char"/>
    <w:basedOn w:val="DefaultParagraphFont"/>
    <w:link w:val="CommentText"/>
    <w:uiPriority w:val="99"/>
    <w:semiHidden/>
    <w:rsid w:val="009C7437"/>
    <w:rPr>
      <w:lang w:val="en-US" w:eastAsia="en-US"/>
    </w:rPr>
  </w:style>
  <w:style w:type="paragraph" w:styleId="CommentSubject">
    <w:name w:val="annotation subject"/>
    <w:basedOn w:val="CommentText"/>
    <w:next w:val="CommentText"/>
    <w:link w:val="CommentSubjectChar"/>
    <w:uiPriority w:val="99"/>
    <w:semiHidden/>
    <w:unhideWhenUsed/>
    <w:rsid w:val="009C7437"/>
    <w:rPr>
      <w:b/>
      <w:bCs/>
    </w:rPr>
  </w:style>
  <w:style w:type="character" w:customStyle="1" w:styleId="CommentSubjectChar">
    <w:name w:val="Comment Subject Char"/>
    <w:basedOn w:val="CommentTextChar"/>
    <w:link w:val="CommentSubject"/>
    <w:uiPriority w:val="99"/>
    <w:semiHidden/>
    <w:rsid w:val="009C7437"/>
    <w:rPr>
      <w:b/>
      <w:bCs/>
      <w:lang w:val="en-US" w:eastAsia="en-US"/>
    </w:rPr>
  </w:style>
  <w:style w:type="character" w:customStyle="1" w:styleId="contentpasted29">
    <w:name w:val="contentpasted29"/>
    <w:basedOn w:val="DefaultParagraphFont"/>
    <w:rsid w:val="009C7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D6855C135B2448C84A91F7AC21AF7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2023-04-06T11:12:14Z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2023-04-05T22:00:00Z</Date_x0020_protokolli>
    <Titulli xmlns="0e656187-b300-4fb0-8bf4-3a50f872073c">Për caktimin e tarifave të veprimtarisë dytësore të përmbaruesit gjyqësor privat për kryerjen e njoftimit të akteve gjyqësore dhe dokumenteve zyrtare</Titulli>
    <Modifikuesi xmlns="0e656187-b300-4fb0-8bf4-3a50f872073c">nevila.samarxhi</Modifikuesi>
    <Nr_x002e__x0020_prot_x0020_QBZ xmlns="0e656187-b300-4fb0-8bf4-3a50f872073c">523/1</Nr_x002e__x0020_prot_x0020_QBZ>
    <Data_x0020_e_x0020_Modifikimit xmlns="0e656187-b300-4fb0-8bf4-3a50f872073c">2023-04-06T12:38:41Z</Data_x0020_e_x0020_Modifikimit>
    <Dekretuar xmlns="0e656187-b300-4fb0-8bf4-3a50f872073c">false</Dekretuar>
    <Data xmlns="0e656187-b300-4fb0-8bf4-3a50f872073c">2023-03-30T22:00:00Z</Data>
    <Nr_x002e__x0020_protokolli_x0020_i_x0020_aktit xmlns="0e656187-b300-4fb0-8bf4-3a50f872073c">196/4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D6855C135B2448C84A91F7AC21AF7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87635-75C6-4BC7-AA5C-C05D605ED4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05DD7BC-23C0-4791-9D33-6312F2841408}">
  <ds:schemaRefs>
    <ds:schemaRef ds:uri="http://www.w3.org/XML/1998/namespace"/>
    <ds:schemaRef ds:uri="http://schemas.microsoft.com/office/2006/documentManagement/types"/>
    <ds:schemaRef ds:uri="http://schemas.openxmlformats.org/package/2006/metadata/core-properties"/>
    <ds:schemaRef ds:uri="http://purl.org/dc/terms/"/>
    <ds:schemaRef ds:uri="http://purl.org/dc/dcmitype/"/>
    <ds:schemaRef ds:uri="0e656187-b300-4fb0-8bf4-3a50f872073c"/>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F4D3E31F-AD89-460B-9275-1AB0E0AF04FE}">
  <ds:schemaRefs>
    <ds:schemaRef ds:uri="http://schemas.microsoft.com/sharepoint/v3/contenttype/forms"/>
  </ds:schemaRefs>
</ds:datastoreItem>
</file>

<file path=customXml/itemProps4.xml><?xml version="1.0" encoding="utf-8"?>
<ds:datastoreItem xmlns:ds="http://schemas.openxmlformats.org/officeDocument/2006/customXml" ds:itemID="{5D69A3D3-EAEE-4274-9623-6AEE2323EB7A}">
  <ds:schemaRefs>
    <ds:schemaRef ds:uri="http://schemas.microsoft.com/sharepoint/v3/contenttype/forms"/>
  </ds:schemaRefs>
</ds:datastoreItem>
</file>

<file path=customXml/itemProps5.xml><?xml version="1.0" encoding="utf-8"?>
<ds:datastoreItem xmlns:ds="http://schemas.openxmlformats.org/officeDocument/2006/customXml" ds:itemID="{06F4C1AC-EB2D-4FC4-97A2-48F1CE13C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22FA184-0E6D-4890-AC6D-609562E65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819</Words>
  <Characters>4672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Alma Lisaku</cp:lastModifiedBy>
  <cp:revision>10</cp:revision>
  <cp:lastPrinted>2019-07-18T12:38:00Z</cp:lastPrinted>
  <dcterms:created xsi:type="dcterms:W3CDTF">2023-01-27T12:21:00Z</dcterms:created>
  <dcterms:modified xsi:type="dcterms:W3CDTF">2023-04-07T08:17:00Z</dcterms:modified>
</cp:coreProperties>
</file>