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9B170D" w14:textId="50D5E6AC" w:rsidR="00B739E6" w:rsidRPr="009F6D2D" w:rsidRDefault="00B739E6" w:rsidP="00B739E6">
      <w:pPr>
        <w:autoSpaceDE w:val="0"/>
        <w:autoSpaceDN w:val="0"/>
        <w:adjustRightInd w:val="0"/>
        <w:spacing w:after="0" w:line="240" w:lineRule="auto"/>
        <w:ind w:firstLine="284"/>
        <w:jc w:val="center"/>
        <w:rPr>
          <w:rFonts w:ascii="Garamond" w:hAnsi="Garamond"/>
          <w:b/>
          <w:bCs/>
          <w:color w:val="000000"/>
          <w:sz w:val="24"/>
          <w:szCs w:val="24"/>
        </w:rPr>
      </w:pPr>
      <w:r w:rsidRPr="009F6D2D">
        <w:rPr>
          <w:rFonts w:ascii="Garamond" w:hAnsi="Garamond"/>
          <w:b/>
          <w:bCs/>
          <w:color w:val="000000"/>
          <w:sz w:val="24"/>
          <w:szCs w:val="24"/>
        </w:rPr>
        <w:t>UDHËZIM</w:t>
      </w:r>
    </w:p>
    <w:p w14:paraId="60272614" w14:textId="62896FE0" w:rsidR="00B739E6" w:rsidRPr="009F6D2D" w:rsidRDefault="00B739E6" w:rsidP="00B739E6">
      <w:pPr>
        <w:autoSpaceDE w:val="0"/>
        <w:autoSpaceDN w:val="0"/>
        <w:adjustRightInd w:val="0"/>
        <w:spacing w:after="0" w:line="240" w:lineRule="auto"/>
        <w:ind w:firstLine="284"/>
        <w:jc w:val="center"/>
        <w:rPr>
          <w:rFonts w:ascii="Garamond" w:hAnsi="Garamond"/>
          <w:b/>
          <w:bCs/>
          <w:color w:val="000000"/>
          <w:sz w:val="24"/>
          <w:szCs w:val="24"/>
        </w:rPr>
      </w:pPr>
      <w:r w:rsidRPr="009F6D2D">
        <w:rPr>
          <w:rFonts w:ascii="Garamond" w:hAnsi="Garamond"/>
          <w:b/>
          <w:bCs/>
          <w:color w:val="000000"/>
          <w:sz w:val="24"/>
          <w:szCs w:val="24"/>
        </w:rPr>
        <w:t>Nr.</w:t>
      </w:r>
      <w:r w:rsidR="009F6D2D" w:rsidRPr="009F6D2D">
        <w:rPr>
          <w:rFonts w:ascii="Garamond" w:hAnsi="Garamond"/>
          <w:b/>
          <w:bCs/>
          <w:color w:val="000000"/>
          <w:sz w:val="24"/>
          <w:szCs w:val="24"/>
        </w:rPr>
        <w:t xml:space="preserve"> </w:t>
      </w:r>
      <w:r w:rsidR="003030EB">
        <w:rPr>
          <w:rFonts w:ascii="Garamond" w:hAnsi="Garamond"/>
          <w:b/>
          <w:bCs/>
          <w:color w:val="000000"/>
          <w:sz w:val="24"/>
          <w:szCs w:val="24"/>
        </w:rPr>
        <w:t>2</w:t>
      </w:r>
      <w:bookmarkStart w:id="0" w:name="_GoBack"/>
      <w:bookmarkEnd w:id="0"/>
      <w:r w:rsidRPr="009F6D2D">
        <w:rPr>
          <w:rFonts w:ascii="Garamond" w:hAnsi="Garamond"/>
          <w:b/>
          <w:bCs/>
          <w:color w:val="000000"/>
          <w:sz w:val="24"/>
          <w:szCs w:val="24"/>
        </w:rPr>
        <w:t>, datë 20.2.2026</w:t>
      </w:r>
    </w:p>
    <w:p w14:paraId="58ECC0E1" w14:textId="77777777" w:rsidR="00B739E6" w:rsidRPr="009F6D2D" w:rsidRDefault="00B739E6" w:rsidP="00B739E6">
      <w:pPr>
        <w:autoSpaceDE w:val="0"/>
        <w:autoSpaceDN w:val="0"/>
        <w:adjustRightInd w:val="0"/>
        <w:spacing w:after="0" w:line="240" w:lineRule="auto"/>
        <w:ind w:firstLine="284"/>
        <w:jc w:val="center"/>
        <w:rPr>
          <w:rFonts w:ascii="Garamond" w:hAnsi="Garamond"/>
          <w:b/>
          <w:bCs/>
          <w:color w:val="000000"/>
          <w:sz w:val="24"/>
          <w:szCs w:val="24"/>
        </w:rPr>
      </w:pPr>
    </w:p>
    <w:p w14:paraId="63265CE1" w14:textId="016D1CBC" w:rsidR="00B739E6" w:rsidRPr="009F6D2D" w:rsidRDefault="00B739E6" w:rsidP="00B739E6">
      <w:pPr>
        <w:autoSpaceDE w:val="0"/>
        <w:autoSpaceDN w:val="0"/>
        <w:adjustRightInd w:val="0"/>
        <w:spacing w:after="0" w:line="240" w:lineRule="auto"/>
        <w:ind w:firstLine="284"/>
        <w:jc w:val="center"/>
        <w:rPr>
          <w:rFonts w:ascii="Garamond" w:hAnsi="Garamond"/>
          <w:b/>
          <w:bCs/>
          <w:color w:val="000000"/>
          <w:sz w:val="24"/>
          <w:szCs w:val="24"/>
        </w:rPr>
      </w:pPr>
      <w:r w:rsidRPr="009F6D2D">
        <w:rPr>
          <w:rFonts w:ascii="Garamond" w:hAnsi="Garamond"/>
          <w:b/>
          <w:bCs/>
          <w:color w:val="000000"/>
          <w:sz w:val="24"/>
          <w:szCs w:val="24"/>
        </w:rPr>
        <w:t>PËR DISA SHTESA DHE NDRYSHIME NË UDHËZIMIN NR.</w:t>
      </w:r>
      <w:r w:rsidR="009F6D2D" w:rsidRPr="009F6D2D">
        <w:rPr>
          <w:rFonts w:ascii="Garamond" w:hAnsi="Garamond"/>
          <w:b/>
          <w:bCs/>
          <w:color w:val="000000"/>
          <w:sz w:val="24"/>
          <w:szCs w:val="24"/>
        </w:rPr>
        <w:t xml:space="preserve"> 5222, DATË 26.</w:t>
      </w:r>
      <w:r w:rsidRPr="009F6D2D">
        <w:rPr>
          <w:rFonts w:ascii="Garamond" w:hAnsi="Garamond"/>
          <w:b/>
          <w:bCs/>
          <w:color w:val="000000"/>
          <w:sz w:val="24"/>
          <w:szCs w:val="24"/>
        </w:rPr>
        <w:t>6.2015</w:t>
      </w:r>
      <w:r w:rsidRPr="009F6D2D">
        <w:rPr>
          <w:rFonts w:ascii="Garamond" w:hAnsi="Garamond"/>
          <w:b/>
          <w:bCs/>
          <w:sz w:val="24"/>
          <w:szCs w:val="24"/>
        </w:rPr>
        <w:t xml:space="preserve">, </w:t>
      </w:r>
      <w:r w:rsidRPr="009F6D2D">
        <w:rPr>
          <w:rFonts w:ascii="Garamond" w:hAnsi="Garamond"/>
          <w:b/>
          <w:bCs/>
          <w:color w:val="000000"/>
          <w:sz w:val="24"/>
          <w:szCs w:val="24"/>
        </w:rPr>
        <w:t xml:space="preserve">“PËR ZBATIMIN E VENDIMIT TË KËSHILLIT TË MINISTRAVE NR. 926, DATË 29.12.2014, </w:t>
      </w:r>
      <w:r w:rsidR="009F6D2D" w:rsidRPr="009F6D2D">
        <w:rPr>
          <w:rFonts w:ascii="Garamond" w:hAnsi="Garamond"/>
          <w:b/>
          <w:bCs/>
          <w:color w:val="000000"/>
          <w:sz w:val="24"/>
          <w:szCs w:val="24"/>
        </w:rPr>
        <w:t>‘</w:t>
      </w:r>
      <w:r w:rsidRPr="009F6D2D">
        <w:rPr>
          <w:rFonts w:ascii="Garamond" w:hAnsi="Garamond"/>
          <w:b/>
          <w:bCs/>
          <w:color w:val="000000"/>
          <w:sz w:val="24"/>
          <w:szCs w:val="24"/>
        </w:rPr>
        <w:t>PËR KRITERET E VLERËSIMIT TË PRONËS SHTETËRORE QË PRIVATIZOHET APO TRANSFORMOHET DHE PROCEDURËN E SHITJES</w:t>
      </w:r>
      <w:r w:rsidR="009F6D2D" w:rsidRPr="009F6D2D">
        <w:rPr>
          <w:rFonts w:ascii="Garamond" w:hAnsi="Garamond"/>
          <w:b/>
          <w:bCs/>
          <w:color w:val="000000"/>
          <w:sz w:val="24"/>
          <w:szCs w:val="24"/>
        </w:rPr>
        <w:t>’</w:t>
      </w:r>
      <w:r w:rsidR="00657416" w:rsidRPr="009F6D2D">
        <w:rPr>
          <w:rFonts w:ascii="Garamond" w:hAnsi="Garamond"/>
          <w:b/>
          <w:bCs/>
          <w:color w:val="000000"/>
          <w:sz w:val="24"/>
          <w:szCs w:val="24"/>
        </w:rPr>
        <w:t>”</w:t>
      </w:r>
      <w:r w:rsidRPr="009F6D2D">
        <w:rPr>
          <w:rFonts w:ascii="Garamond" w:hAnsi="Garamond"/>
          <w:b/>
          <w:bCs/>
          <w:color w:val="000000"/>
          <w:sz w:val="24"/>
          <w:szCs w:val="24"/>
        </w:rPr>
        <w:t>, TË NDRYSHUAR</w:t>
      </w:r>
    </w:p>
    <w:p w14:paraId="51C5FFAD" w14:textId="77777777" w:rsidR="00B739E6" w:rsidRPr="009F6D2D" w:rsidRDefault="00B739E6" w:rsidP="00B739E6">
      <w:pPr>
        <w:autoSpaceDE w:val="0"/>
        <w:autoSpaceDN w:val="0"/>
        <w:adjustRightInd w:val="0"/>
        <w:spacing w:after="0" w:line="240" w:lineRule="auto"/>
        <w:ind w:firstLine="284"/>
        <w:jc w:val="center"/>
        <w:rPr>
          <w:rFonts w:ascii="Garamond" w:hAnsi="Garamond"/>
          <w:color w:val="000000"/>
          <w:sz w:val="24"/>
          <w:szCs w:val="24"/>
        </w:rPr>
      </w:pPr>
    </w:p>
    <w:p w14:paraId="33EE64D1" w14:textId="284FBA39"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Në mbështetje të nenit 102 të Kushtetutës së Republikës së Shqipërisë, si dhe në zbatim të pikës 14, kreu IV, të vendimit të Këshillit të Ministrave nr. 926, datë 29.12.2014</w:t>
      </w:r>
      <w:r w:rsidR="009F6D2D" w:rsidRPr="009F6D2D">
        <w:rPr>
          <w:rFonts w:ascii="Garamond" w:hAnsi="Garamond"/>
          <w:color w:val="000000"/>
          <w:sz w:val="24"/>
          <w:szCs w:val="24"/>
        </w:rPr>
        <w:t>,</w:t>
      </w:r>
      <w:r w:rsidRPr="009F6D2D">
        <w:rPr>
          <w:rFonts w:ascii="Garamond" w:hAnsi="Garamond"/>
          <w:color w:val="000000"/>
          <w:sz w:val="24"/>
          <w:szCs w:val="24"/>
        </w:rPr>
        <w:t xml:space="preserve"> “Për kriteret e vlerësimit të pronës shtetërore që privatizohet apo transformohet dhe për procedurën e shitjes”</w:t>
      </w:r>
      <w:r w:rsidR="009F6D2D" w:rsidRPr="009F6D2D">
        <w:rPr>
          <w:rFonts w:ascii="Garamond" w:hAnsi="Garamond"/>
          <w:color w:val="000000"/>
          <w:sz w:val="24"/>
          <w:szCs w:val="24"/>
        </w:rPr>
        <w:t>,</w:t>
      </w:r>
      <w:r w:rsidRPr="009F6D2D">
        <w:rPr>
          <w:rFonts w:ascii="Garamond" w:hAnsi="Garamond"/>
          <w:color w:val="000000"/>
          <w:sz w:val="24"/>
          <w:szCs w:val="24"/>
        </w:rPr>
        <w:t xml:space="preserve"> të ndryshuar, ministri përgjegjës për ekonominë</w:t>
      </w:r>
    </w:p>
    <w:p w14:paraId="738A7994" w14:textId="77777777" w:rsidR="0096356A" w:rsidRPr="009F6D2D" w:rsidRDefault="0096356A" w:rsidP="00B739E6">
      <w:pPr>
        <w:autoSpaceDE w:val="0"/>
        <w:autoSpaceDN w:val="0"/>
        <w:adjustRightInd w:val="0"/>
        <w:spacing w:after="0" w:line="240" w:lineRule="auto"/>
        <w:ind w:firstLine="284"/>
        <w:jc w:val="center"/>
        <w:rPr>
          <w:rFonts w:ascii="Garamond" w:hAnsi="Garamond"/>
          <w:bCs/>
          <w:caps/>
          <w:color w:val="000000"/>
          <w:sz w:val="24"/>
          <w:szCs w:val="24"/>
        </w:rPr>
      </w:pPr>
    </w:p>
    <w:p w14:paraId="6A7B952A" w14:textId="6817C918" w:rsidR="00B739E6" w:rsidRPr="009F6D2D" w:rsidRDefault="00B739E6" w:rsidP="00B739E6">
      <w:pPr>
        <w:autoSpaceDE w:val="0"/>
        <w:autoSpaceDN w:val="0"/>
        <w:adjustRightInd w:val="0"/>
        <w:spacing w:after="0" w:line="240" w:lineRule="auto"/>
        <w:ind w:firstLine="284"/>
        <w:jc w:val="center"/>
        <w:rPr>
          <w:rFonts w:ascii="Garamond" w:hAnsi="Garamond"/>
          <w:bCs/>
          <w:caps/>
          <w:color w:val="000000"/>
          <w:sz w:val="24"/>
          <w:szCs w:val="24"/>
        </w:rPr>
      </w:pPr>
      <w:r w:rsidRPr="009F6D2D">
        <w:rPr>
          <w:rFonts w:ascii="Garamond" w:hAnsi="Garamond"/>
          <w:bCs/>
          <w:caps/>
          <w:color w:val="000000"/>
          <w:sz w:val="24"/>
          <w:szCs w:val="24"/>
        </w:rPr>
        <w:t>UDHËZON:</w:t>
      </w:r>
    </w:p>
    <w:p w14:paraId="22166EDC" w14:textId="77777777" w:rsidR="00B739E6" w:rsidRPr="009F6D2D" w:rsidRDefault="00B739E6" w:rsidP="00B739E6">
      <w:pPr>
        <w:autoSpaceDE w:val="0"/>
        <w:autoSpaceDN w:val="0"/>
        <w:adjustRightInd w:val="0"/>
        <w:spacing w:after="0" w:line="240" w:lineRule="auto"/>
        <w:ind w:firstLine="284"/>
        <w:rPr>
          <w:rFonts w:ascii="Garamond" w:hAnsi="Garamond"/>
          <w:b/>
          <w:bCs/>
          <w:caps/>
          <w:color w:val="000000"/>
          <w:sz w:val="24"/>
          <w:szCs w:val="24"/>
        </w:rPr>
      </w:pPr>
    </w:p>
    <w:p w14:paraId="51A7B866" w14:textId="4EB9A4C5"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N</w:t>
      </w:r>
      <w:r w:rsidR="009F6D2D" w:rsidRPr="009F6D2D">
        <w:rPr>
          <w:rFonts w:ascii="Garamond" w:hAnsi="Garamond"/>
          <w:color w:val="000000"/>
          <w:sz w:val="24"/>
          <w:szCs w:val="24"/>
        </w:rPr>
        <w:t>ë udhëzimin nr. 5222, datë 26.</w:t>
      </w:r>
      <w:r w:rsidRPr="009F6D2D">
        <w:rPr>
          <w:rFonts w:ascii="Garamond" w:hAnsi="Garamond"/>
          <w:color w:val="000000"/>
          <w:sz w:val="24"/>
          <w:szCs w:val="24"/>
        </w:rPr>
        <w:t>6.2015</w:t>
      </w:r>
      <w:r w:rsidR="009F6D2D" w:rsidRPr="009F6D2D">
        <w:rPr>
          <w:rFonts w:ascii="Garamond" w:hAnsi="Garamond"/>
          <w:color w:val="000000"/>
          <w:sz w:val="24"/>
          <w:szCs w:val="24"/>
        </w:rPr>
        <w:t>,</w:t>
      </w:r>
      <w:r w:rsidRPr="009F6D2D">
        <w:rPr>
          <w:rFonts w:ascii="Garamond" w:hAnsi="Garamond"/>
          <w:color w:val="000000"/>
          <w:sz w:val="24"/>
          <w:szCs w:val="24"/>
        </w:rPr>
        <w:t xml:space="preserve"> “Për zbatimin e vendimit të Këshillit të Ministrave nr. 926, datë 29.12.2014</w:t>
      </w:r>
      <w:r w:rsidR="009F6D2D" w:rsidRPr="009F6D2D">
        <w:rPr>
          <w:rFonts w:ascii="Garamond" w:hAnsi="Garamond"/>
          <w:color w:val="000000"/>
          <w:sz w:val="24"/>
          <w:szCs w:val="24"/>
        </w:rPr>
        <w:t>,</w:t>
      </w:r>
      <w:r w:rsidRPr="009F6D2D">
        <w:rPr>
          <w:rFonts w:ascii="Garamond" w:hAnsi="Garamond"/>
          <w:color w:val="000000"/>
          <w:sz w:val="24"/>
          <w:szCs w:val="24"/>
        </w:rPr>
        <w:t xml:space="preserve"> </w:t>
      </w:r>
      <w:r w:rsidR="009F6D2D" w:rsidRPr="009F6D2D">
        <w:rPr>
          <w:rFonts w:ascii="Garamond" w:hAnsi="Garamond"/>
          <w:color w:val="000000"/>
          <w:sz w:val="24"/>
          <w:szCs w:val="24"/>
        </w:rPr>
        <w:t>‘</w:t>
      </w:r>
      <w:r w:rsidRPr="009F6D2D">
        <w:rPr>
          <w:rFonts w:ascii="Garamond" w:hAnsi="Garamond"/>
          <w:color w:val="000000"/>
          <w:sz w:val="24"/>
          <w:szCs w:val="24"/>
        </w:rPr>
        <w:t>Për kriteret e vlerësimit të pronës shtetërore që privatizohet apo transformohet dhe procedurën e shitjes</w:t>
      </w:r>
      <w:r w:rsidR="009F6D2D" w:rsidRPr="009F6D2D">
        <w:rPr>
          <w:rFonts w:ascii="Garamond" w:hAnsi="Garamond"/>
          <w:color w:val="000000"/>
          <w:sz w:val="24"/>
          <w:szCs w:val="24"/>
        </w:rPr>
        <w:t>’</w:t>
      </w:r>
      <w:r w:rsidR="00657416" w:rsidRPr="009F6D2D">
        <w:rPr>
          <w:rFonts w:ascii="Garamond" w:hAnsi="Garamond"/>
          <w:color w:val="000000"/>
          <w:sz w:val="24"/>
          <w:szCs w:val="24"/>
        </w:rPr>
        <w:t>”</w:t>
      </w:r>
      <w:r w:rsidR="009F6D2D" w:rsidRPr="009F6D2D">
        <w:rPr>
          <w:rFonts w:ascii="Garamond" w:hAnsi="Garamond"/>
          <w:color w:val="000000"/>
          <w:sz w:val="24"/>
          <w:szCs w:val="24"/>
        </w:rPr>
        <w:t>,</w:t>
      </w:r>
      <w:r w:rsidRPr="009F6D2D">
        <w:rPr>
          <w:rFonts w:ascii="Garamond" w:hAnsi="Garamond"/>
          <w:color w:val="000000"/>
          <w:sz w:val="24"/>
          <w:szCs w:val="24"/>
        </w:rPr>
        <w:t xml:space="preserve"> të ndryshuar, të bëhen ndryshimet si më poshtë vijojnë:</w:t>
      </w:r>
    </w:p>
    <w:p w14:paraId="5C259064" w14:textId="7A826711"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1. Kudo në këtë udhëzim, togfjalëshi “...Ministria e Financave dhe Ekonomisë...” dhe “.... Ministri i Financave dhe Ekonomisë...” zëvendësohet</w:t>
      </w:r>
      <w:r w:rsidR="00A868E1">
        <w:rPr>
          <w:rFonts w:ascii="Garamond" w:hAnsi="Garamond"/>
          <w:color w:val="000000"/>
          <w:sz w:val="24"/>
          <w:szCs w:val="24"/>
        </w:rPr>
        <w:t xml:space="preserve"> </w:t>
      </w:r>
      <w:r w:rsidRPr="009F6D2D">
        <w:rPr>
          <w:rFonts w:ascii="Garamond" w:hAnsi="Garamond"/>
          <w:color w:val="000000"/>
          <w:sz w:val="24"/>
          <w:szCs w:val="24"/>
        </w:rPr>
        <w:t>me togfjalëshin “...ministria përgjegjëse për ekonominë...” dhe “...minis</w:t>
      </w:r>
      <w:r w:rsidR="009F6D2D" w:rsidRPr="009F6D2D">
        <w:rPr>
          <w:rFonts w:ascii="Garamond" w:hAnsi="Garamond"/>
          <w:color w:val="000000"/>
          <w:sz w:val="24"/>
          <w:szCs w:val="24"/>
        </w:rPr>
        <w:t>tri përgjegjës për ekonominë”.</w:t>
      </w:r>
    </w:p>
    <w:p w14:paraId="282140D8" w14:textId="0E057544"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2. Kudo në këtë udhëzim, togfjalëshi “...struktura përgjegjëse për privatizim...” zëvendësohet</w:t>
      </w:r>
      <w:r w:rsidR="00A868E1">
        <w:rPr>
          <w:rFonts w:ascii="Garamond" w:hAnsi="Garamond"/>
          <w:color w:val="000000"/>
          <w:sz w:val="24"/>
          <w:szCs w:val="24"/>
        </w:rPr>
        <w:t xml:space="preserve"> </w:t>
      </w:r>
      <w:r w:rsidRPr="009F6D2D">
        <w:rPr>
          <w:rFonts w:ascii="Garamond" w:hAnsi="Garamond"/>
          <w:color w:val="000000"/>
          <w:sz w:val="24"/>
          <w:szCs w:val="24"/>
        </w:rPr>
        <w:t>me togfjalëshin “...Drejtoria</w:t>
      </w:r>
      <w:r w:rsidR="009F6D2D" w:rsidRPr="009F6D2D">
        <w:rPr>
          <w:rFonts w:ascii="Garamond" w:hAnsi="Garamond"/>
          <w:color w:val="000000"/>
          <w:sz w:val="24"/>
          <w:szCs w:val="24"/>
        </w:rPr>
        <w:t xml:space="preserve"> përgjegjëse për privatizim...”.</w:t>
      </w:r>
    </w:p>
    <w:p w14:paraId="1EC16341" w14:textId="2F814961"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3. Kudo në këtë udhëzim, togfjalëshi “...pronë publike...” zëvendësohet</w:t>
      </w:r>
      <w:r w:rsidR="00A868E1">
        <w:rPr>
          <w:rFonts w:ascii="Garamond" w:hAnsi="Garamond"/>
          <w:color w:val="000000"/>
          <w:sz w:val="24"/>
          <w:szCs w:val="24"/>
        </w:rPr>
        <w:t xml:space="preserve"> </w:t>
      </w:r>
      <w:r w:rsidRPr="009F6D2D">
        <w:rPr>
          <w:rFonts w:ascii="Garamond" w:hAnsi="Garamond"/>
          <w:color w:val="000000"/>
          <w:sz w:val="24"/>
          <w:szCs w:val="24"/>
        </w:rPr>
        <w:t>me togfja</w:t>
      </w:r>
      <w:r w:rsidR="009F6D2D" w:rsidRPr="009F6D2D">
        <w:rPr>
          <w:rFonts w:ascii="Garamond" w:hAnsi="Garamond"/>
          <w:color w:val="000000"/>
          <w:sz w:val="24"/>
          <w:szCs w:val="24"/>
        </w:rPr>
        <w:t>lëshin “...pronë shtetërore...”.</w:t>
      </w:r>
    </w:p>
    <w:p w14:paraId="7C0984B5" w14:textId="569C5F97"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4. Kudo në këtë udhëzim pas fjalës</w:t>
      </w:r>
      <w:r w:rsidR="009F6D2D" w:rsidRPr="009F6D2D">
        <w:rPr>
          <w:rFonts w:ascii="Garamond" w:hAnsi="Garamond"/>
          <w:color w:val="000000"/>
          <w:sz w:val="24"/>
          <w:szCs w:val="24"/>
        </w:rPr>
        <w:t xml:space="preserve"> “...eksperti...” shtohet “.../</w:t>
      </w:r>
      <w:r w:rsidRPr="009F6D2D">
        <w:rPr>
          <w:rFonts w:ascii="Garamond" w:hAnsi="Garamond"/>
          <w:color w:val="000000"/>
          <w:sz w:val="24"/>
          <w:szCs w:val="24"/>
        </w:rPr>
        <w:t>ekspertët...”</w:t>
      </w:r>
      <w:r w:rsidR="009F6D2D" w:rsidRPr="009F6D2D">
        <w:rPr>
          <w:rFonts w:ascii="Garamond" w:hAnsi="Garamond"/>
          <w:color w:val="000000"/>
          <w:sz w:val="24"/>
          <w:szCs w:val="24"/>
        </w:rPr>
        <w:t>.</w:t>
      </w:r>
    </w:p>
    <w:p w14:paraId="14351AA1" w14:textId="1073E860"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5. Pika 2 e udhëzimit, ndryshohet si më poshtë vijon:</w:t>
      </w:r>
    </w:p>
    <w:p w14:paraId="544B442A" w14:textId="4EBD54A6" w:rsidR="00B739E6" w:rsidRPr="009F6D2D" w:rsidRDefault="009F6D2D" w:rsidP="00B739E6">
      <w:pPr>
        <w:tabs>
          <w:tab w:val="left" w:pos="720"/>
        </w:tabs>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w:t>
      </w:r>
      <w:r w:rsidR="00B739E6" w:rsidRPr="009F6D2D">
        <w:rPr>
          <w:rFonts w:ascii="Garamond" w:hAnsi="Garamond"/>
          <w:color w:val="000000"/>
          <w:sz w:val="24"/>
          <w:szCs w:val="24"/>
        </w:rPr>
        <w:t>Në zbatim të pikës 2, kreu I,</w:t>
      </w:r>
      <w:r w:rsidR="00B739E6" w:rsidRPr="009F6D2D">
        <w:rPr>
          <w:rFonts w:ascii="Garamond" w:hAnsi="Garamond"/>
          <w:b/>
          <w:bCs/>
          <w:color w:val="000000"/>
          <w:sz w:val="24"/>
          <w:szCs w:val="24"/>
        </w:rPr>
        <w:t xml:space="preserve"> </w:t>
      </w:r>
      <w:r w:rsidR="00B739E6" w:rsidRPr="009F6D2D">
        <w:rPr>
          <w:rFonts w:ascii="Garamond" w:hAnsi="Garamond"/>
          <w:color w:val="000000"/>
          <w:sz w:val="24"/>
          <w:szCs w:val="24"/>
        </w:rPr>
        <w:t>të VKM-së nr. 926, datë 29.12. 2014</w:t>
      </w:r>
      <w:r w:rsidRPr="009F6D2D">
        <w:rPr>
          <w:rFonts w:ascii="Garamond" w:hAnsi="Garamond"/>
          <w:color w:val="000000"/>
          <w:sz w:val="24"/>
          <w:szCs w:val="24"/>
        </w:rPr>
        <w:t>,</w:t>
      </w:r>
      <w:r w:rsidR="00B739E6" w:rsidRPr="009F6D2D">
        <w:rPr>
          <w:rFonts w:ascii="Garamond" w:hAnsi="Garamond"/>
          <w:color w:val="000000"/>
          <w:sz w:val="24"/>
          <w:szCs w:val="24"/>
        </w:rPr>
        <w:t xml:space="preserve"> “Institucionet qendrore dhe organet e njësive të vetëqeverisjes vendore dërgojnë kërkesat e tyre për privatizimin e pronave shtetërore që kanë në administrim ose në pronësi në ministrinë përgjegjëse për ekonominë. Ministri përgjegjës për ekonominë nxjerr urdhrin për fillimin e procedurave të privatizimit, sipas kërkesave të përmendura më sipër. Në rast se ministria përgjegjëse për ekonominë u kërkon institucioneve qendrore apo organeve të njësive të vetëqeverisjes vendore kërkesën për prononcim privatizimi për pronat e paluajtshme shtetërore që kanë në administrim ose në pronësi, këto institucione janë të detyruara që, brenda 30 (tridhjetë) ditëve nga data e marrjes së kërkesës, të dërgojnë mendimin e tyre për privatizimin e këtyre pasurive. Nëse institucionet qendrore apo organet e njësive të vetëqeverisjes vendore shprehen për mosprivatizimin e pr</w:t>
      </w:r>
      <w:r>
        <w:rPr>
          <w:rFonts w:ascii="Garamond" w:hAnsi="Garamond"/>
          <w:color w:val="000000"/>
          <w:sz w:val="24"/>
          <w:szCs w:val="24"/>
        </w:rPr>
        <w:t>onave shtetërore në administrim</w:t>
      </w:r>
      <w:r w:rsidR="00B739E6" w:rsidRPr="009F6D2D">
        <w:rPr>
          <w:rFonts w:ascii="Garamond" w:hAnsi="Garamond"/>
          <w:color w:val="000000"/>
          <w:sz w:val="24"/>
          <w:szCs w:val="24"/>
        </w:rPr>
        <w:t xml:space="preserve"> apo në pronësi, apo pronave shtetërore të institucioneve që kanë në varësi administrative, atëherë ato duhet ta argumentojnë qartë këtë fakt. Për të përfshirë në procesin e privatizimit pronat, të cilat i kanë kaluar në pronësi pushtetit vendor, duhet miratimi përkatës i këshillit bashkiak dhe konfirmimi nga institucioni i prefektit për ligjshmërinë e tij.</w:t>
      </w:r>
    </w:p>
    <w:p w14:paraId="6682E981" w14:textId="2E1CFF5B"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Miratimi për përfshirjen në procesin e privatizimit të objekteve ndërtimore, të cilët kanë qenë në administrim të një subjekti që nuk ekziston më, bëhet nga ministri përgjegjës për ekonominë.</w:t>
      </w:r>
      <w:r w:rsidR="009F6D2D">
        <w:rPr>
          <w:rFonts w:ascii="Garamond" w:hAnsi="Garamond"/>
          <w:color w:val="000000"/>
          <w:sz w:val="24"/>
          <w:szCs w:val="24"/>
        </w:rPr>
        <w:t>”.</w:t>
      </w:r>
    </w:p>
    <w:p w14:paraId="39BC0C8F" w14:textId="3B7DEB8B"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6. Pika 4 e udhëzimit, ndryshohet</w:t>
      </w:r>
      <w:r w:rsidR="00A868E1">
        <w:rPr>
          <w:rFonts w:ascii="Garamond" w:hAnsi="Garamond"/>
          <w:color w:val="000000"/>
          <w:sz w:val="24"/>
          <w:szCs w:val="24"/>
        </w:rPr>
        <w:t xml:space="preserve"> </w:t>
      </w:r>
      <w:r w:rsidRPr="009F6D2D">
        <w:rPr>
          <w:rFonts w:ascii="Garamond" w:hAnsi="Garamond"/>
          <w:color w:val="000000"/>
          <w:sz w:val="24"/>
          <w:szCs w:val="24"/>
        </w:rPr>
        <w:t>si më poshtë vijon:</w:t>
      </w:r>
    </w:p>
    <w:p w14:paraId="7E3A9D7E" w14:textId="3AFA0B56" w:rsidR="00B739E6" w:rsidRPr="009F6D2D" w:rsidRDefault="009F6D2D" w:rsidP="00B739E6">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w:t>
      </w:r>
      <w:r w:rsidR="00B739E6" w:rsidRPr="009F6D2D">
        <w:rPr>
          <w:rFonts w:ascii="Garamond" w:hAnsi="Garamond"/>
          <w:color w:val="000000"/>
          <w:sz w:val="24"/>
          <w:szCs w:val="24"/>
        </w:rPr>
        <w:t>Në zbatim të pikave 3, 4 dhe 5</w:t>
      </w:r>
      <w:r>
        <w:rPr>
          <w:rFonts w:ascii="Garamond" w:hAnsi="Garamond"/>
          <w:color w:val="000000"/>
          <w:sz w:val="24"/>
          <w:szCs w:val="24"/>
        </w:rPr>
        <w:t>,</w:t>
      </w:r>
      <w:r w:rsidR="00B739E6" w:rsidRPr="009F6D2D">
        <w:rPr>
          <w:rFonts w:ascii="Garamond" w:hAnsi="Garamond"/>
          <w:color w:val="000000"/>
          <w:sz w:val="24"/>
          <w:szCs w:val="24"/>
        </w:rPr>
        <w:t xml:space="preserve"> të kreut II, të VKM-së nr. 926, datë 29.12.2014</w:t>
      </w:r>
      <w:r>
        <w:rPr>
          <w:rFonts w:ascii="Garamond" w:hAnsi="Garamond"/>
          <w:color w:val="000000"/>
          <w:sz w:val="24"/>
          <w:szCs w:val="24"/>
        </w:rPr>
        <w:t>,</w:t>
      </w:r>
      <w:r w:rsidR="00B739E6" w:rsidRPr="009F6D2D">
        <w:rPr>
          <w:rFonts w:ascii="Garamond" w:hAnsi="Garamond"/>
          <w:color w:val="000000"/>
          <w:sz w:val="24"/>
          <w:szCs w:val="24"/>
        </w:rPr>
        <w:t xml:space="preserve"> genplani përgatitet nga eksperti/ekspertët vlerësues i/të licencuar i</w:t>
      </w:r>
      <w:r>
        <w:rPr>
          <w:rFonts w:ascii="Garamond" w:hAnsi="Garamond"/>
          <w:color w:val="000000"/>
          <w:sz w:val="24"/>
          <w:szCs w:val="24"/>
        </w:rPr>
        <w:t>/të</w:t>
      </w:r>
      <w:r w:rsidR="00B739E6" w:rsidRPr="009F6D2D">
        <w:rPr>
          <w:rFonts w:ascii="Garamond" w:hAnsi="Garamond"/>
          <w:color w:val="000000"/>
          <w:sz w:val="24"/>
          <w:szCs w:val="24"/>
        </w:rPr>
        <w:t xml:space="preserve"> pasurisë së paluajtshme, i cili/të cilët mban/mbajnë përgjegjësi ligjore për hartimin e genplanit dhe për saktësinë e matjeve teknike të kryera. Genplani i </w:t>
      </w:r>
      <w:r w:rsidR="00B739E6" w:rsidRPr="009F6D2D">
        <w:rPr>
          <w:rFonts w:ascii="Garamond" w:hAnsi="Garamond"/>
          <w:color w:val="000000"/>
          <w:sz w:val="24"/>
          <w:szCs w:val="24"/>
        </w:rPr>
        <w:lastRenderedPageBreak/>
        <w:t xml:space="preserve">përgatitur, i dorëzohet menjëherë nga eksperti, degës përkatëse të shoqërive publike. Nëse, pas hartimit të genplanit nga eksperti/ekspertët vlerësues, rezultojnë sipërfaqe trualli të lira (më shumë se sipërfaqja nën objekt dhe ajo funksionale), institucioni administrues, në zbatim të procedurave ligjore përkatëse, ia kalon ato Agjencisë së Trajtimit të Pronave, për përdorimin për fond kompensimi për ish-pronarët ose për kthim fizik. Dega e </w:t>
      </w:r>
      <w:r w:rsidRPr="009F6D2D">
        <w:rPr>
          <w:rFonts w:ascii="Garamond" w:hAnsi="Garamond"/>
          <w:color w:val="000000"/>
          <w:sz w:val="24"/>
          <w:szCs w:val="24"/>
        </w:rPr>
        <w:t xml:space="preserve">shoqërive publike </w:t>
      </w:r>
      <w:r w:rsidR="00B739E6" w:rsidRPr="009F6D2D">
        <w:rPr>
          <w:rFonts w:ascii="Garamond" w:hAnsi="Garamond"/>
          <w:color w:val="000000"/>
          <w:sz w:val="24"/>
          <w:szCs w:val="24"/>
        </w:rPr>
        <w:t xml:space="preserve">dërgon kërkesën për konfirmimin e genplanit, shoqëruar me pesë kopje origjinale të tij, pranë institucionit të </w:t>
      </w:r>
      <w:r w:rsidRPr="009F6D2D">
        <w:rPr>
          <w:rFonts w:ascii="Garamond" w:hAnsi="Garamond"/>
          <w:color w:val="000000"/>
          <w:sz w:val="24"/>
          <w:szCs w:val="24"/>
        </w:rPr>
        <w:t>PREFEKTIT</w:t>
      </w:r>
      <w:r w:rsidR="00B739E6" w:rsidRPr="009F6D2D">
        <w:rPr>
          <w:rFonts w:ascii="Garamond" w:hAnsi="Garamond"/>
          <w:color w:val="000000"/>
          <w:sz w:val="24"/>
          <w:szCs w:val="24"/>
        </w:rPr>
        <w:t>. Ky i fundit, ose përfaqësuesi i autorizuar prej tij, brenda 10 ditëve nga data e marrjes së kërkesës, konfirmon genplanin e objektit, duke nënshkruar e vulosur atë në pesë kopje origjinale dhe ia dërgon degës së shoqërive publike të shoqëruar me shkresën përcjellëse.</w:t>
      </w:r>
      <w:r>
        <w:rPr>
          <w:rFonts w:ascii="Garamond" w:hAnsi="Garamond"/>
          <w:color w:val="000000"/>
          <w:sz w:val="24"/>
          <w:szCs w:val="24"/>
        </w:rPr>
        <w:t>”.</w:t>
      </w:r>
    </w:p>
    <w:p w14:paraId="336689D0" w14:textId="61D94567"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7. Pika 9 e udhëzimit, ndryshohet si më poshtë vijon:</w:t>
      </w:r>
    </w:p>
    <w:p w14:paraId="2C449B5A" w14:textId="65D42908" w:rsidR="00B739E6" w:rsidRPr="009F6D2D" w:rsidRDefault="009F6D2D" w:rsidP="009F6D2D">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w:t>
      </w:r>
      <w:r w:rsidR="00B739E6" w:rsidRPr="009F6D2D">
        <w:rPr>
          <w:rFonts w:ascii="Garamond" w:hAnsi="Garamond"/>
          <w:color w:val="000000"/>
          <w:sz w:val="24"/>
          <w:szCs w:val="24"/>
        </w:rPr>
        <w:t>Në zbatim të pikës 8, të kreut II, të VKM-së nr. 926, datë 29.12.2014, komisioni i vlerësimit merr nga Agjencia Shtetërore e Kadastrës nga degët vendore përkatëse, dokumentacionin e pronësisë për pronën shtetërore që do të privatizohet, i cili duhet të përmbajë kartelën e pasurisë, hartën treguese</w:t>
      </w:r>
      <w:r>
        <w:rPr>
          <w:rFonts w:ascii="Garamond" w:hAnsi="Garamond"/>
          <w:color w:val="000000"/>
          <w:sz w:val="24"/>
          <w:szCs w:val="24"/>
        </w:rPr>
        <w:t>,</w:t>
      </w:r>
      <w:r w:rsidR="00B739E6" w:rsidRPr="009F6D2D">
        <w:rPr>
          <w:rFonts w:ascii="Garamond" w:hAnsi="Garamond"/>
          <w:color w:val="000000"/>
          <w:sz w:val="24"/>
          <w:szCs w:val="24"/>
        </w:rPr>
        <w:t xml:space="preserve"> si dhe </w:t>
      </w:r>
      <w:r w:rsidR="00A868E1" w:rsidRPr="009F6D2D">
        <w:rPr>
          <w:rFonts w:ascii="Garamond" w:hAnsi="Garamond"/>
          <w:color w:val="000000"/>
          <w:sz w:val="24"/>
          <w:szCs w:val="24"/>
        </w:rPr>
        <w:t>certifikatën</w:t>
      </w:r>
      <w:r w:rsidR="00B739E6" w:rsidRPr="009F6D2D">
        <w:rPr>
          <w:rFonts w:ascii="Garamond" w:hAnsi="Garamond"/>
          <w:color w:val="000000"/>
          <w:sz w:val="24"/>
          <w:szCs w:val="24"/>
        </w:rPr>
        <w:t xml:space="preserve"> e pronësisë nëse ka (dokumenti duhet të përmbajë datën dhe vulën). Dega e shoqërive publike pas marrjes së dokumentacionit nga </w:t>
      </w:r>
      <w:r w:rsidRPr="009F6D2D">
        <w:rPr>
          <w:rFonts w:ascii="Garamond" w:hAnsi="Garamond"/>
          <w:color w:val="000000"/>
          <w:sz w:val="24"/>
          <w:szCs w:val="24"/>
        </w:rPr>
        <w:t xml:space="preserve">drejtoria </w:t>
      </w:r>
      <w:r w:rsidR="00B739E6" w:rsidRPr="009F6D2D">
        <w:rPr>
          <w:rFonts w:ascii="Garamond" w:hAnsi="Garamond"/>
          <w:color w:val="000000"/>
          <w:sz w:val="24"/>
          <w:szCs w:val="24"/>
        </w:rPr>
        <w:t>vendore e Agjencisë Shtetërore të Kadastrës, i kërkon Agjencisë së Trajtimit të Pronave konfirmimin nëse për truallin përkatës ka pronarë të njohur apo të kthyer me vendim të Komisionit të Kthimit dhe Kompensimit të Pronave, si dhe çmimin përkatës të</w:t>
      </w:r>
      <w:r>
        <w:rPr>
          <w:rFonts w:ascii="Garamond" w:hAnsi="Garamond"/>
          <w:color w:val="000000"/>
          <w:sz w:val="24"/>
          <w:szCs w:val="24"/>
        </w:rPr>
        <w:t xml:space="preserve"> truallit ku shtrihet objekti.”.</w:t>
      </w:r>
    </w:p>
    <w:p w14:paraId="6A392523" w14:textId="768EA823"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8. Paragrafi i tretë</w:t>
      </w:r>
      <w:r w:rsidR="009F6D2D">
        <w:rPr>
          <w:rFonts w:ascii="Garamond" w:hAnsi="Garamond"/>
          <w:color w:val="000000"/>
          <w:sz w:val="24"/>
          <w:szCs w:val="24"/>
        </w:rPr>
        <w:t>,</w:t>
      </w:r>
      <w:r w:rsidRPr="009F6D2D">
        <w:rPr>
          <w:rFonts w:ascii="Garamond" w:hAnsi="Garamond"/>
          <w:color w:val="000000"/>
          <w:sz w:val="24"/>
          <w:szCs w:val="24"/>
        </w:rPr>
        <w:t xml:space="preserve"> i pikës 11 të udhëzimit, riformulohet si më poshtë vijon:</w:t>
      </w:r>
    </w:p>
    <w:p w14:paraId="2D529FF5" w14:textId="1053B2C2" w:rsidR="00B739E6" w:rsidRPr="009F6D2D" w:rsidRDefault="009F6D2D" w:rsidP="00B739E6">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w:t>
      </w:r>
      <w:r w:rsidR="00B739E6" w:rsidRPr="009F6D2D">
        <w:rPr>
          <w:rFonts w:ascii="Garamond" w:hAnsi="Garamond"/>
          <w:color w:val="000000"/>
          <w:sz w:val="24"/>
          <w:szCs w:val="24"/>
        </w:rPr>
        <w:t>Drejtoria përgjegjëse për privatizim në ministrinë përgjegjëse për ekonominë, pasi verifikon nëse dokumentacioni i marrë nga institucionet përkatëse është i plotë dhe në përputhje me përcaktimet ligjore, ia përcjell atë Komisionit të Shqyrtimit dhe Transparencës, së bashku me vlerësimin përmbajtësor.</w:t>
      </w:r>
    </w:p>
    <w:p w14:paraId="55CF5797" w14:textId="4957C6B0"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Dokumentacioni duhet të shoqërohet edhe me një inventar fizik të plotë.</w:t>
      </w:r>
      <w:r w:rsidR="009F6D2D">
        <w:rPr>
          <w:rFonts w:ascii="Garamond" w:hAnsi="Garamond"/>
          <w:color w:val="000000"/>
          <w:sz w:val="24"/>
          <w:szCs w:val="24"/>
        </w:rPr>
        <w:t>”.</w:t>
      </w:r>
    </w:p>
    <w:p w14:paraId="166C8801" w14:textId="6E731F25" w:rsidR="00B739E6" w:rsidRPr="009F6D2D" w:rsidRDefault="00B739E6" w:rsidP="00B739E6">
      <w:pPr>
        <w:autoSpaceDE w:val="0"/>
        <w:autoSpaceDN w:val="0"/>
        <w:adjustRightInd w:val="0"/>
        <w:spacing w:after="0" w:line="240" w:lineRule="auto"/>
        <w:ind w:firstLine="284"/>
        <w:rPr>
          <w:rFonts w:ascii="Garamond" w:hAnsi="Garamond"/>
          <w:color w:val="000000"/>
          <w:sz w:val="24"/>
          <w:szCs w:val="24"/>
        </w:rPr>
      </w:pPr>
      <w:r w:rsidRPr="009F6D2D">
        <w:rPr>
          <w:rFonts w:ascii="Garamond" w:hAnsi="Garamond"/>
          <w:color w:val="000000"/>
          <w:sz w:val="24"/>
          <w:szCs w:val="24"/>
        </w:rPr>
        <w:t>9. Pikat 11.1 deri 11.4 të udhëzimit, riformulohen si më poshtë vijon:</w:t>
      </w:r>
    </w:p>
    <w:p w14:paraId="5CAA48F5" w14:textId="3E5844CE" w:rsidR="00B739E6" w:rsidRPr="009F6D2D" w:rsidRDefault="009F6D2D" w:rsidP="00B739E6">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w:t>
      </w:r>
      <w:r w:rsidR="00B739E6" w:rsidRPr="009F6D2D">
        <w:rPr>
          <w:rFonts w:ascii="Garamond" w:hAnsi="Garamond"/>
          <w:color w:val="000000"/>
          <w:sz w:val="24"/>
          <w:szCs w:val="24"/>
        </w:rPr>
        <w:t xml:space="preserve">11.1 Në zbatim të pikës 12/1, të </w:t>
      </w:r>
      <w:r w:rsidRPr="009F6D2D">
        <w:rPr>
          <w:rFonts w:ascii="Garamond" w:hAnsi="Garamond"/>
          <w:color w:val="000000"/>
          <w:sz w:val="24"/>
          <w:szCs w:val="24"/>
        </w:rPr>
        <w:t xml:space="preserve">kreut </w:t>
      </w:r>
      <w:r w:rsidR="00B739E6" w:rsidRPr="009F6D2D">
        <w:rPr>
          <w:rFonts w:ascii="Garamond" w:hAnsi="Garamond"/>
          <w:color w:val="000000"/>
          <w:sz w:val="24"/>
          <w:szCs w:val="24"/>
        </w:rPr>
        <w:t>II, të VKM-së nr. 926 datë 29.12.2014, Komisioni i Shqyrtimit dhe Transparencës ngrihet me urdhër të ministrit përgjegjës për ekonominë dhe ka në përbërje 5 (pesë) anëtarë, përfaqësues të strukturave përgjegjëse të ministrisë përgjegjëse për ekonominë. Komisioni drejtohet nga zëvendësministri.</w:t>
      </w:r>
    </w:p>
    <w:p w14:paraId="08A8454D" w14:textId="6D5CCE47"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 xml:space="preserve">11.2 Komisioni i Shqyrtimit dhe Transparencës mblidhet me kërkesë të kryetarit, për shqyrtimin e dokumentacionit për privatizimin e pronës shtetërore, që dërgohet për shitje, sa herë që </w:t>
      </w:r>
      <w:r w:rsidR="009F6D2D" w:rsidRPr="009F6D2D">
        <w:rPr>
          <w:rFonts w:ascii="Garamond" w:hAnsi="Garamond"/>
          <w:color w:val="000000"/>
          <w:sz w:val="24"/>
          <w:szCs w:val="24"/>
        </w:rPr>
        <w:t xml:space="preserve">drejtoria </w:t>
      </w:r>
      <w:r w:rsidRPr="009F6D2D">
        <w:rPr>
          <w:rFonts w:ascii="Garamond" w:hAnsi="Garamond"/>
          <w:color w:val="000000"/>
          <w:sz w:val="24"/>
          <w:szCs w:val="24"/>
        </w:rPr>
        <w:t>përgjegjëse për privatizimin e pronës shtetërore në ministrinë përgjegjëse për ekonominë, i përcjell dokumentacionin e privatizimit.</w:t>
      </w:r>
    </w:p>
    <w:p w14:paraId="3A774010" w14:textId="77777777"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Mbledhja e Komisionit zhvillohet vetëm pasi të sigurohet pjesëmarrja e jo më pak se 4 (katër) anëtarëve.</w:t>
      </w:r>
    </w:p>
    <w:p w14:paraId="0BE17C49" w14:textId="77777777"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Komisioni gjatë mbledhjeve asistohet nga Sekretariati i Komisionit, i cili përbëhet nga 1 (një) anëtar nga drejtoria përgjegjëse për privatizim, i cili emërohet dhe lirohet me urdhër të ministrit përgjegjës për ekonominë. Me kërkesë të kryetarit të Komisionit, sekretariati ka detyrimin të njoftojë anëtarët e Komisionit për vendin, datën, orën dhe agjendën e mbledhjes.</w:t>
      </w:r>
    </w:p>
    <w:p w14:paraId="6469A128" w14:textId="7B9918EC"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Komisioni i Shqyrtimit dhe Transparencës shqyrton materialin që i vjen nga drejtoria përgjegjëse për privatizimin dhe del me vendim</w:t>
      </w:r>
      <w:r w:rsidR="009F6D2D">
        <w:rPr>
          <w:rFonts w:ascii="Garamond" w:hAnsi="Garamond"/>
          <w:color w:val="000000"/>
          <w:sz w:val="24"/>
          <w:szCs w:val="24"/>
        </w:rPr>
        <w:t>,</w:t>
      </w:r>
      <w:r w:rsidRPr="009F6D2D">
        <w:rPr>
          <w:rFonts w:ascii="Garamond" w:hAnsi="Garamond"/>
          <w:color w:val="000000"/>
          <w:sz w:val="24"/>
          <w:szCs w:val="24"/>
        </w:rPr>
        <w:t xml:space="preserve"> brenda 7 (shtatë</w:t>
      </w:r>
      <w:r w:rsidR="009F6D2D">
        <w:rPr>
          <w:rFonts w:ascii="Garamond" w:hAnsi="Garamond"/>
          <w:color w:val="000000"/>
          <w:sz w:val="24"/>
          <w:szCs w:val="24"/>
        </w:rPr>
        <w:t>) ditëve pune</w:t>
      </w:r>
      <w:r w:rsidRPr="009F6D2D">
        <w:rPr>
          <w:rFonts w:ascii="Garamond" w:hAnsi="Garamond"/>
          <w:color w:val="000000"/>
          <w:sz w:val="24"/>
          <w:szCs w:val="24"/>
        </w:rPr>
        <w:t xml:space="preserve"> nga administrimi i dosjes në Komision.</w:t>
      </w:r>
    </w:p>
    <w:p w14:paraId="435874EA" w14:textId="439BE057"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Vendimet e anëtarëve në Komision merren me shumicë të anëtarëve të pranishëm në mbledhje. Si rregull gjatë votimit kryetari voton i fundit dhe në rast barazie votash, vota e kryetarit prevalon në vendimmarrje.</w:t>
      </w:r>
    </w:p>
    <w:p w14:paraId="53E3DB6F" w14:textId="77777777"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11.3 Komisioni i Shqyrtimit dhe Transparencës ka për detyrë të shqyrtojë dokumentacionin e vlerësimit për privatizimin e pronës shtetërore, i cili është përcjellë nga drejtoria përgjegjëse për privatizimin e pronës shtetërore.</w:t>
      </w:r>
    </w:p>
    <w:p w14:paraId="676603D1" w14:textId="147E8C9C"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lastRenderedPageBreak/>
        <w:t>Në përfundim t</w:t>
      </w:r>
      <w:r w:rsidR="00025E2C">
        <w:rPr>
          <w:rFonts w:ascii="Garamond" w:hAnsi="Garamond"/>
          <w:color w:val="000000"/>
          <w:sz w:val="24"/>
          <w:szCs w:val="24"/>
        </w:rPr>
        <w:t>ë</w:t>
      </w:r>
      <w:r w:rsidRPr="009F6D2D">
        <w:rPr>
          <w:rFonts w:ascii="Garamond" w:hAnsi="Garamond"/>
          <w:color w:val="000000"/>
          <w:sz w:val="24"/>
          <w:szCs w:val="24"/>
        </w:rPr>
        <w:t xml:space="preserve"> shqyrtimit, Komisioni i Shqyrtimit dhe Transparencës merr vendim për:</w:t>
      </w:r>
    </w:p>
    <w:p w14:paraId="4A92C991" w14:textId="3C6A527C"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 xml:space="preserve">- </w:t>
      </w:r>
      <w:r w:rsidR="00A868E1" w:rsidRPr="009F6D2D">
        <w:rPr>
          <w:rFonts w:ascii="Garamond" w:hAnsi="Garamond"/>
          <w:color w:val="000000"/>
          <w:sz w:val="24"/>
          <w:szCs w:val="24"/>
        </w:rPr>
        <w:t xml:space="preserve">t’i </w:t>
      </w:r>
      <w:r w:rsidRPr="009F6D2D">
        <w:rPr>
          <w:rFonts w:ascii="Garamond" w:hAnsi="Garamond"/>
          <w:color w:val="000000"/>
          <w:sz w:val="24"/>
          <w:szCs w:val="24"/>
        </w:rPr>
        <w:t>rekomandojë ministrit përgjegjës për ekonominë dërgimin e dokumentacionit të vlerësimit, në strukturën përgjegjëse për shitjen e pronës shtetërore, për të vijuar me procedurat e shitjes;</w:t>
      </w:r>
    </w:p>
    <w:p w14:paraId="7C4B8F8C" w14:textId="5613891A"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 xml:space="preserve">- </w:t>
      </w:r>
      <w:r w:rsidR="00A868E1" w:rsidRPr="009F6D2D">
        <w:rPr>
          <w:rFonts w:ascii="Garamond" w:hAnsi="Garamond"/>
          <w:color w:val="000000"/>
          <w:sz w:val="24"/>
          <w:szCs w:val="24"/>
        </w:rPr>
        <w:t xml:space="preserve">kthimin </w:t>
      </w:r>
      <w:r w:rsidRPr="009F6D2D">
        <w:rPr>
          <w:rFonts w:ascii="Garamond" w:hAnsi="Garamond"/>
          <w:color w:val="000000"/>
          <w:sz w:val="24"/>
          <w:szCs w:val="24"/>
        </w:rPr>
        <w:t>e dokumentacionit të vlerësimit (duke argumentuar arsyet e kthimit) pranë drejtorisë përgjegjëse për privatizimin, me qëllim që kjo e fundit ta kthejë këtë dokumentacion pranë degëve të shoqëriv</w:t>
      </w:r>
      <w:r w:rsidR="009F6D2D">
        <w:rPr>
          <w:rFonts w:ascii="Garamond" w:hAnsi="Garamond"/>
          <w:color w:val="000000"/>
          <w:sz w:val="24"/>
          <w:szCs w:val="24"/>
        </w:rPr>
        <w:t>e publike për plotësimin e tij.</w:t>
      </w:r>
    </w:p>
    <w:p w14:paraId="106D8622" w14:textId="7A708C62"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 xml:space="preserve">Bazuar në vendimin e Komisionit të Shqyrtimit dhe Transparencës drejtuar ministrit përgjegjës për ekonominë, dokumentacioni i vlerësimit i përcillet strukturës përgjegjëse për shitjen e pronës shtetërore, në </w:t>
      </w:r>
      <w:r w:rsidR="009F6D2D" w:rsidRPr="009F6D2D">
        <w:rPr>
          <w:rFonts w:ascii="Garamond" w:hAnsi="Garamond"/>
          <w:color w:val="000000"/>
          <w:sz w:val="24"/>
          <w:szCs w:val="24"/>
        </w:rPr>
        <w:t>minist</w:t>
      </w:r>
      <w:r w:rsidR="009F6D2D">
        <w:rPr>
          <w:rFonts w:ascii="Garamond" w:hAnsi="Garamond"/>
          <w:color w:val="000000"/>
          <w:sz w:val="24"/>
          <w:szCs w:val="24"/>
        </w:rPr>
        <w:t>rinë përgjegjëse për ekonominë.</w:t>
      </w:r>
    </w:p>
    <w:p w14:paraId="54BF9028" w14:textId="641AAA3B"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Vendimi i Komisionit të Shqyrtimit dhe Transparencës duhet të shoqërohet edhe me një kopje të procesverbalit të mbajtur gjatë mbledhjes së tij.</w:t>
      </w:r>
    </w:p>
    <w:p w14:paraId="243FFBBF" w14:textId="77777777"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11.4 Sekretariati mban përgjegjësi për:</w:t>
      </w:r>
    </w:p>
    <w:p w14:paraId="1665C4BD" w14:textId="157395BC"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 xml:space="preserve">a) </w:t>
      </w:r>
      <w:r w:rsidR="00A868E1" w:rsidRPr="009F6D2D">
        <w:rPr>
          <w:rFonts w:ascii="Garamond" w:hAnsi="Garamond"/>
          <w:color w:val="000000"/>
          <w:sz w:val="24"/>
          <w:szCs w:val="24"/>
        </w:rPr>
        <w:t xml:space="preserve">administrimin </w:t>
      </w:r>
      <w:r w:rsidRPr="009F6D2D">
        <w:rPr>
          <w:rFonts w:ascii="Garamond" w:hAnsi="Garamond"/>
          <w:color w:val="000000"/>
          <w:sz w:val="24"/>
          <w:szCs w:val="24"/>
        </w:rPr>
        <w:t>e dokumentacionit sipas inventarit fizik të tij, i cili i është vënë në dispozicion nga drejt</w:t>
      </w:r>
      <w:r w:rsidR="009F6D2D">
        <w:rPr>
          <w:rFonts w:ascii="Garamond" w:hAnsi="Garamond"/>
          <w:color w:val="000000"/>
          <w:sz w:val="24"/>
          <w:szCs w:val="24"/>
        </w:rPr>
        <w:t>oria përgjegjëse për privatizim;</w:t>
      </w:r>
    </w:p>
    <w:p w14:paraId="59395063" w14:textId="50B6793D"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 xml:space="preserve">b) </w:t>
      </w:r>
      <w:r w:rsidR="00A868E1" w:rsidRPr="009F6D2D">
        <w:rPr>
          <w:rFonts w:ascii="Garamond" w:hAnsi="Garamond"/>
          <w:color w:val="000000"/>
          <w:sz w:val="24"/>
          <w:szCs w:val="24"/>
        </w:rPr>
        <w:t xml:space="preserve">mbajtjen </w:t>
      </w:r>
      <w:r w:rsidRPr="009F6D2D">
        <w:rPr>
          <w:rFonts w:ascii="Garamond" w:hAnsi="Garamond"/>
          <w:color w:val="000000"/>
          <w:sz w:val="24"/>
          <w:szCs w:val="24"/>
        </w:rPr>
        <w:t>e procesverbalit të mbledhjes</w:t>
      </w:r>
      <w:r w:rsidR="009F6D2D">
        <w:rPr>
          <w:rFonts w:ascii="Garamond" w:hAnsi="Garamond"/>
          <w:color w:val="000000"/>
          <w:sz w:val="24"/>
          <w:szCs w:val="24"/>
        </w:rPr>
        <w:t>,</w:t>
      </w:r>
      <w:r w:rsidRPr="009F6D2D">
        <w:rPr>
          <w:rFonts w:ascii="Garamond" w:hAnsi="Garamond"/>
          <w:color w:val="000000"/>
          <w:sz w:val="24"/>
          <w:szCs w:val="24"/>
        </w:rPr>
        <w:t xml:space="preserve"> si dhe të gjitha akteve apo njoftimeve sipas kërkesave të Komisionit </w:t>
      </w:r>
      <w:r w:rsidR="009F6D2D">
        <w:rPr>
          <w:rFonts w:ascii="Garamond" w:hAnsi="Garamond"/>
          <w:color w:val="000000"/>
          <w:sz w:val="24"/>
          <w:szCs w:val="24"/>
        </w:rPr>
        <w:t>të Shqyrtimit dhe Transparencës;</w:t>
      </w:r>
    </w:p>
    <w:p w14:paraId="06CDDBFB" w14:textId="07F71E37"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 xml:space="preserve">c) </w:t>
      </w:r>
      <w:r w:rsidR="00A868E1" w:rsidRPr="009F6D2D">
        <w:rPr>
          <w:rFonts w:ascii="Garamond" w:hAnsi="Garamond"/>
          <w:color w:val="000000"/>
          <w:sz w:val="24"/>
          <w:szCs w:val="24"/>
        </w:rPr>
        <w:t xml:space="preserve">zbardhjen </w:t>
      </w:r>
      <w:r w:rsidRPr="009F6D2D">
        <w:rPr>
          <w:rFonts w:ascii="Garamond" w:hAnsi="Garamond"/>
          <w:color w:val="000000"/>
          <w:sz w:val="24"/>
          <w:szCs w:val="24"/>
        </w:rPr>
        <w:t>e vendimit të Komisionit të Shqyrtimit dhe Transparencës, të pasqyruar në procesverbalin e mbledhjes dhe të nënshkruar nga të gjithë a</w:t>
      </w:r>
      <w:r w:rsidR="009F6D2D">
        <w:rPr>
          <w:rFonts w:ascii="Garamond" w:hAnsi="Garamond"/>
          <w:color w:val="000000"/>
          <w:sz w:val="24"/>
          <w:szCs w:val="24"/>
        </w:rPr>
        <w:t>nëtarët e pranishëm në mbledhje;</w:t>
      </w:r>
    </w:p>
    <w:p w14:paraId="227CE2E2" w14:textId="19678B2D"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 xml:space="preserve">d) </w:t>
      </w:r>
      <w:r w:rsidR="00A868E1" w:rsidRPr="009F6D2D">
        <w:rPr>
          <w:rFonts w:ascii="Garamond" w:hAnsi="Garamond"/>
          <w:color w:val="000000"/>
          <w:sz w:val="24"/>
          <w:szCs w:val="24"/>
        </w:rPr>
        <w:t xml:space="preserve">përcjelljen </w:t>
      </w:r>
      <w:r w:rsidRPr="009F6D2D">
        <w:rPr>
          <w:rFonts w:ascii="Garamond" w:hAnsi="Garamond"/>
          <w:color w:val="000000"/>
          <w:sz w:val="24"/>
          <w:szCs w:val="24"/>
        </w:rPr>
        <w:t>e vendimit të Komisionit të Shqyrtimit dhe Transparencës së bashku me dokumentacionin e vlerësimit, tek ministri përgjegjës për ekonominë, të nënshkruar sipas vendimmarrjes nga të gjithë anëtarët e pranishëm në mbledhje.</w:t>
      </w:r>
      <w:r w:rsidR="009F6D2D">
        <w:rPr>
          <w:rFonts w:ascii="Garamond" w:hAnsi="Garamond"/>
          <w:color w:val="000000"/>
          <w:sz w:val="24"/>
          <w:szCs w:val="24"/>
        </w:rPr>
        <w:t>”.</w:t>
      </w:r>
    </w:p>
    <w:p w14:paraId="4CEAB6DD" w14:textId="5534D5B2"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10. Pikat 11.5 dhe 11.6 të udhëzimit shfuqizohen.</w:t>
      </w:r>
    </w:p>
    <w:p w14:paraId="44E8138A" w14:textId="297C53D9"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11. Në fund të pikës 26 të udhëzimit, shtohen paragrafët</w:t>
      </w:r>
      <w:r w:rsidR="009F6D2D">
        <w:rPr>
          <w:rFonts w:ascii="Garamond" w:hAnsi="Garamond"/>
          <w:color w:val="000000"/>
          <w:sz w:val="24"/>
          <w:szCs w:val="24"/>
        </w:rPr>
        <w:t>,</w:t>
      </w:r>
      <w:r w:rsidRPr="009F6D2D">
        <w:rPr>
          <w:rFonts w:ascii="Garamond" w:hAnsi="Garamond"/>
          <w:color w:val="000000"/>
          <w:sz w:val="24"/>
          <w:szCs w:val="24"/>
        </w:rPr>
        <w:t xml:space="preserve"> si më poshtë:</w:t>
      </w:r>
    </w:p>
    <w:p w14:paraId="16425D71" w14:textId="297A5C32" w:rsidR="00B739E6" w:rsidRPr="009F6D2D" w:rsidRDefault="009F6D2D" w:rsidP="00B739E6">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w:t>
      </w:r>
      <w:r w:rsidR="00B739E6" w:rsidRPr="009F6D2D">
        <w:rPr>
          <w:rFonts w:ascii="Garamond" w:hAnsi="Garamond"/>
          <w:color w:val="000000"/>
          <w:sz w:val="24"/>
          <w:szCs w:val="24"/>
        </w:rPr>
        <w:t>Blerësi, brenda 30 (tridhjetë) ditëve nga data e zhvillimit të ankandit, është i detyruar të bëjë pagesën, vetëm me lekë, për pjesën e mbetur, sipas çmimit të arritur në ankand, për objektin dhe truallin.</w:t>
      </w:r>
    </w:p>
    <w:p w14:paraId="0B077665" w14:textId="7D8833CA"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 xml:space="preserve">Në rastet kur nuk respektohet afati 30 (tridhjetë) ditor i pagesës së vlerës së plotë të objektit bashkë me truallin, për arsye objektive të justifikuara, me autorizim të </w:t>
      </w:r>
      <w:r w:rsidR="009F6D2D" w:rsidRPr="009F6D2D">
        <w:rPr>
          <w:rFonts w:ascii="Garamond" w:hAnsi="Garamond"/>
          <w:color w:val="000000"/>
          <w:sz w:val="24"/>
          <w:szCs w:val="24"/>
        </w:rPr>
        <w:t xml:space="preserve">drejtorit </w:t>
      </w:r>
      <w:r w:rsidRPr="009F6D2D">
        <w:rPr>
          <w:rFonts w:ascii="Garamond" w:hAnsi="Garamond"/>
          <w:color w:val="000000"/>
          <w:sz w:val="24"/>
          <w:szCs w:val="24"/>
        </w:rPr>
        <w:t>të</w:t>
      </w:r>
      <w:r w:rsidR="00A868E1">
        <w:rPr>
          <w:rFonts w:ascii="Garamond" w:hAnsi="Garamond"/>
          <w:color w:val="000000"/>
          <w:sz w:val="24"/>
          <w:szCs w:val="24"/>
        </w:rPr>
        <w:t xml:space="preserve"> </w:t>
      </w:r>
      <w:r w:rsidR="009F6D2D" w:rsidRPr="009F6D2D">
        <w:rPr>
          <w:rFonts w:ascii="Garamond" w:hAnsi="Garamond"/>
          <w:color w:val="000000"/>
          <w:sz w:val="24"/>
          <w:szCs w:val="24"/>
        </w:rPr>
        <w:t xml:space="preserve">strukturës </w:t>
      </w:r>
      <w:r w:rsidRPr="009F6D2D">
        <w:rPr>
          <w:rFonts w:ascii="Garamond" w:hAnsi="Garamond"/>
          <w:color w:val="000000"/>
          <w:sz w:val="24"/>
          <w:szCs w:val="24"/>
        </w:rPr>
        <w:t>përgjegjëse për shitjen e pronës publike afati zgjatet, por jo më shumë se 15 (pesëmbëdhjetë) ditë ng</w:t>
      </w:r>
      <w:r w:rsidR="009F6D2D">
        <w:rPr>
          <w:rFonts w:ascii="Garamond" w:hAnsi="Garamond"/>
          <w:color w:val="000000"/>
          <w:sz w:val="24"/>
          <w:szCs w:val="24"/>
        </w:rPr>
        <w:t>a përfundimi</w:t>
      </w:r>
      <w:r w:rsidR="00A868E1">
        <w:rPr>
          <w:rFonts w:ascii="Garamond" w:hAnsi="Garamond"/>
          <w:color w:val="000000"/>
          <w:sz w:val="24"/>
          <w:szCs w:val="24"/>
        </w:rPr>
        <w:t xml:space="preserve"> i afatit tridhjetë</w:t>
      </w:r>
      <w:r w:rsidRPr="009F6D2D">
        <w:rPr>
          <w:rFonts w:ascii="Garamond" w:hAnsi="Garamond"/>
          <w:color w:val="000000"/>
          <w:sz w:val="24"/>
          <w:szCs w:val="24"/>
        </w:rPr>
        <w:t>ditor.</w:t>
      </w:r>
      <w:r w:rsidR="009F6D2D">
        <w:rPr>
          <w:rFonts w:ascii="Garamond" w:hAnsi="Garamond"/>
          <w:color w:val="000000"/>
          <w:sz w:val="24"/>
          <w:szCs w:val="24"/>
        </w:rPr>
        <w:t>”.</w:t>
      </w:r>
    </w:p>
    <w:p w14:paraId="4BA59F04" w14:textId="54F45344"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12. Në fund të pikës 28 të udhëzimit, shtohet paragrafi</w:t>
      </w:r>
      <w:r w:rsidR="009F6D2D">
        <w:rPr>
          <w:rFonts w:ascii="Garamond" w:hAnsi="Garamond"/>
          <w:color w:val="000000"/>
          <w:sz w:val="24"/>
          <w:szCs w:val="24"/>
        </w:rPr>
        <w:t>,</w:t>
      </w:r>
      <w:r w:rsidRPr="009F6D2D">
        <w:rPr>
          <w:rFonts w:ascii="Garamond" w:hAnsi="Garamond"/>
          <w:color w:val="000000"/>
          <w:sz w:val="24"/>
          <w:szCs w:val="24"/>
        </w:rPr>
        <w:t xml:space="preserve"> si më poshtë:</w:t>
      </w:r>
    </w:p>
    <w:p w14:paraId="64DF8A6B" w14:textId="609EA387" w:rsidR="00B739E6" w:rsidRPr="009F6D2D" w:rsidRDefault="00A868E1" w:rsidP="009F6D2D">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w:t>
      </w:r>
      <w:r w:rsidR="00B739E6" w:rsidRPr="009F6D2D">
        <w:rPr>
          <w:rFonts w:ascii="Garamond" w:hAnsi="Garamond"/>
          <w:color w:val="000000"/>
          <w:sz w:val="24"/>
          <w:szCs w:val="24"/>
        </w:rPr>
        <w:t>Në rast se nga informacioni zyrtar i marrë nga Agjencia Shtetërore e Kadastrës rezulton se objekti i kontratës së qirasë me tarifë 1 euro/kontrata nuk është në regjistrat kadastralë, sipas akteve ligjore dhe nënligjore përkatëse, nëse plotësohen rrethanat e parashikuara në shkronjat “a” dhe “b”, të pikës 34, të kreut III, të VKM-së nr.926, datë 29.12.2014, trualli do të shitet nga struktura për shitjen e pronës publike dhe lidhja e kontratës bëhet sipas dispozitave të Kodit Civil, pasi të jetë bërë pagesa e plotë sipas vlerësimit të objekteve, bazuar dhe në vendimin e Komisionit të Shqyrtimit dhe Transparencës.”</w:t>
      </w:r>
      <w:r w:rsidR="009F6D2D">
        <w:rPr>
          <w:rFonts w:ascii="Garamond" w:hAnsi="Garamond"/>
          <w:color w:val="000000"/>
          <w:sz w:val="24"/>
          <w:szCs w:val="24"/>
        </w:rPr>
        <w:t>.</w:t>
      </w:r>
    </w:p>
    <w:p w14:paraId="721B9A54" w14:textId="30537582"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 xml:space="preserve">13. Pas pikës 33, të </w:t>
      </w:r>
      <w:r w:rsidR="009F6D2D" w:rsidRPr="009F6D2D">
        <w:rPr>
          <w:rFonts w:ascii="Garamond" w:hAnsi="Garamond"/>
          <w:color w:val="000000"/>
          <w:sz w:val="24"/>
          <w:szCs w:val="24"/>
        </w:rPr>
        <w:t xml:space="preserve">kreut </w:t>
      </w:r>
      <w:r w:rsidRPr="009F6D2D">
        <w:rPr>
          <w:rFonts w:ascii="Garamond" w:hAnsi="Garamond"/>
          <w:color w:val="000000"/>
          <w:sz w:val="24"/>
          <w:szCs w:val="24"/>
        </w:rPr>
        <w:t>III</w:t>
      </w:r>
      <w:r w:rsidRPr="00A868E1">
        <w:rPr>
          <w:rFonts w:ascii="Garamond" w:hAnsi="Garamond"/>
          <w:bCs/>
          <w:color w:val="000000"/>
          <w:sz w:val="24"/>
          <w:szCs w:val="24"/>
        </w:rPr>
        <w:t>,</w:t>
      </w:r>
      <w:r w:rsidRPr="009F6D2D">
        <w:rPr>
          <w:rFonts w:ascii="Garamond" w:hAnsi="Garamond"/>
          <w:color w:val="000000"/>
          <w:sz w:val="24"/>
          <w:szCs w:val="24"/>
        </w:rPr>
        <w:t xml:space="preserve"> të udhëzimit shtohet pika 33.1 me këtë përmbajtje:</w:t>
      </w:r>
    </w:p>
    <w:p w14:paraId="1B24AE7A" w14:textId="28CB6BC9" w:rsidR="00B739E6" w:rsidRPr="009F6D2D" w:rsidRDefault="009F6D2D" w:rsidP="00B739E6">
      <w:pPr>
        <w:autoSpaceDE w:val="0"/>
        <w:autoSpaceDN w:val="0"/>
        <w:adjustRightInd w:val="0"/>
        <w:spacing w:after="0" w:line="240" w:lineRule="auto"/>
        <w:ind w:firstLine="284"/>
        <w:jc w:val="both"/>
        <w:rPr>
          <w:rFonts w:ascii="Garamond" w:hAnsi="Garamond"/>
          <w:color w:val="000000"/>
          <w:sz w:val="24"/>
          <w:szCs w:val="24"/>
        </w:rPr>
      </w:pPr>
      <w:r>
        <w:rPr>
          <w:rFonts w:ascii="Garamond" w:hAnsi="Garamond"/>
          <w:color w:val="000000"/>
          <w:sz w:val="24"/>
          <w:szCs w:val="24"/>
        </w:rPr>
        <w:t>“</w:t>
      </w:r>
      <w:r w:rsidR="00B739E6" w:rsidRPr="009F6D2D">
        <w:rPr>
          <w:rFonts w:ascii="Garamond" w:hAnsi="Garamond"/>
          <w:color w:val="000000"/>
          <w:sz w:val="24"/>
          <w:szCs w:val="24"/>
        </w:rPr>
        <w:t xml:space="preserve">33.1 Në zbatim të pikës 33, të </w:t>
      </w:r>
      <w:r w:rsidRPr="009F6D2D">
        <w:rPr>
          <w:rFonts w:ascii="Garamond" w:hAnsi="Garamond"/>
          <w:color w:val="000000"/>
          <w:sz w:val="24"/>
          <w:szCs w:val="24"/>
        </w:rPr>
        <w:t xml:space="preserve">kreut </w:t>
      </w:r>
      <w:r w:rsidR="00B739E6" w:rsidRPr="009F6D2D">
        <w:rPr>
          <w:rFonts w:ascii="Garamond" w:hAnsi="Garamond"/>
          <w:color w:val="000000"/>
          <w:sz w:val="24"/>
          <w:szCs w:val="24"/>
        </w:rPr>
        <w:t xml:space="preserve">III, të VKM-së nr. 926 datë 29.12.2014, </w:t>
      </w:r>
      <w:r w:rsidRPr="009F6D2D">
        <w:rPr>
          <w:rFonts w:ascii="Garamond" w:hAnsi="Garamond"/>
          <w:color w:val="000000"/>
          <w:sz w:val="24"/>
          <w:szCs w:val="24"/>
        </w:rPr>
        <w:t xml:space="preserve">ministri </w:t>
      </w:r>
      <w:r w:rsidR="00B739E6" w:rsidRPr="009F6D2D">
        <w:rPr>
          <w:rFonts w:ascii="Garamond" w:hAnsi="Garamond"/>
          <w:color w:val="000000"/>
          <w:sz w:val="24"/>
          <w:szCs w:val="24"/>
        </w:rPr>
        <w:t>përgjegjës për ekonominë nxjerr urdhrin për përfshirjen në procedurë privatizimi të pronës shtetërore, objekt kontrate</w:t>
      </w:r>
      <w:r>
        <w:rPr>
          <w:rFonts w:ascii="Garamond" w:hAnsi="Garamond"/>
          <w:color w:val="000000"/>
          <w:sz w:val="24"/>
          <w:szCs w:val="24"/>
        </w:rPr>
        <w:t>,</w:t>
      </w:r>
      <w:r w:rsidR="00B739E6" w:rsidRPr="009F6D2D">
        <w:rPr>
          <w:rFonts w:ascii="Garamond" w:hAnsi="Garamond"/>
          <w:color w:val="000000"/>
          <w:sz w:val="24"/>
          <w:szCs w:val="24"/>
        </w:rPr>
        <w:t xml:space="preserve"> të dhënë me qira me tarifë 1 euro/kontrata, me sipërfaqe mbi</w:t>
      </w:r>
      <w:r>
        <w:rPr>
          <w:rFonts w:ascii="Garamond" w:hAnsi="Garamond"/>
          <w:color w:val="000000"/>
          <w:sz w:val="24"/>
          <w:szCs w:val="24"/>
        </w:rPr>
        <w:t xml:space="preserve"> 500 (pesëqind) m</w:t>
      </w:r>
      <w:r w:rsidRPr="009F6D2D">
        <w:rPr>
          <w:rFonts w:ascii="Garamond" w:hAnsi="Garamond"/>
          <w:color w:val="000000"/>
          <w:sz w:val="24"/>
          <w:szCs w:val="24"/>
          <w:vertAlign w:val="superscript"/>
        </w:rPr>
        <w:t>2</w:t>
      </w:r>
      <w:r w:rsidR="00B739E6" w:rsidRPr="009F6D2D">
        <w:rPr>
          <w:rFonts w:ascii="Garamond" w:hAnsi="Garamond"/>
          <w:color w:val="000000"/>
          <w:sz w:val="24"/>
          <w:szCs w:val="24"/>
        </w:rPr>
        <w:t>, përpara përfundimit të kontratës së qirasë.</w:t>
      </w:r>
      <w:r w:rsidR="00025E2C">
        <w:rPr>
          <w:rFonts w:ascii="Garamond" w:hAnsi="Garamond"/>
          <w:color w:val="000000"/>
          <w:sz w:val="24"/>
          <w:szCs w:val="24"/>
        </w:rPr>
        <w:t>”.</w:t>
      </w:r>
    </w:p>
    <w:p w14:paraId="46BFFBF6" w14:textId="2708CF32"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14. Ngarkohet Ministria e Ekonomisë dhe Inovacionit për zbatimin e këtij udhëzimi.</w:t>
      </w:r>
    </w:p>
    <w:p w14:paraId="6996053A" w14:textId="45D0A671"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r w:rsidRPr="009F6D2D">
        <w:rPr>
          <w:rFonts w:ascii="Garamond" w:hAnsi="Garamond"/>
          <w:color w:val="000000"/>
          <w:sz w:val="24"/>
          <w:szCs w:val="24"/>
        </w:rPr>
        <w:t xml:space="preserve">Ky </w:t>
      </w:r>
      <w:r w:rsidR="00025E2C" w:rsidRPr="009F6D2D">
        <w:rPr>
          <w:rFonts w:ascii="Garamond" w:hAnsi="Garamond"/>
          <w:color w:val="000000"/>
          <w:sz w:val="24"/>
          <w:szCs w:val="24"/>
        </w:rPr>
        <w:t xml:space="preserve">udhëzim </w:t>
      </w:r>
      <w:r w:rsidRPr="009F6D2D">
        <w:rPr>
          <w:rFonts w:ascii="Garamond" w:hAnsi="Garamond"/>
          <w:color w:val="000000"/>
          <w:sz w:val="24"/>
          <w:szCs w:val="24"/>
        </w:rPr>
        <w:t>hyn në</w:t>
      </w:r>
      <w:r w:rsidR="00025E2C">
        <w:rPr>
          <w:rFonts w:ascii="Garamond" w:hAnsi="Garamond"/>
          <w:color w:val="000000"/>
          <w:sz w:val="24"/>
          <w:szCs w:val="24"/>
        </w:rPr>
        <w:t xml:space="preserve"> fuqi menjëherë pas botimit në Fletoren Zyrtare</w:t>
      </w:r>
      <w:r w:rsidRPr="009F6D2D">
        <w:rPr>
          <w:rFonts w:ascii="Garamond" w:hAnsi="Garamond"/>
          <w:color w:val="000000"/>
          <w:sz w:val="24"/>
          <w:szCs w:val="24"/>
        </w:rPr>
        <w:t>.</w:t>
      </w:r>
    </w:p>
    <w:p w14:paraId="0E785424" w14:textId="77777777" w:rsidR="00B739E6" w:rsidRPr="009F6D2D" w:rsidRDefault="00B739E6" w:rsidP="00B739E6">
      <w:pPr>
        <w:autoSpaceDE w:val="0"/>
        <w:autoSpaceDN w:val="0"/>
        <w:adjustRightInd w:val="0"/>
        <w:spacing w:after="0" w:line="240" w:lineRule="auto"/>
        <w:ind w:firstLine="284"/>
        <w:jc w:val="both"/>
        <w:rPr>
          <w:rFonts w:ascii="Garamond" w:hAnsi="Garamond"/>
          <w:color w:val="000000"/>
          <w:sz w:val="24"/>
          <w:szCs w:val="24"/>
        </w:rPr>
      </w:pPr>
    </w:p>
    <w:p w14:paraId="6CEBF7C2" w14:textId="6040446C" w:rsidR="00B739E6" w:rsidRPr="009F6D2D" w:rsidRDefault="00B739E6" w:rsidP="00B739E6">
      <w:pPr>
        <w:autoSpaceDE w:val="0"/>
        <w:autoSpaceDN w:val="0"/>
        <w:adjustRightInd w:val="0"/>
        <w:spacing w:after="0" w:line="240" w:lineRule="auto"/>
        <w:ind w:firstLine="284"/>
        <w:jc w:val="right"/>
        <w:rPr>
          <w:rFonts w:ascii="Garamond" w:hAnsi="Garamond"/>
          <w:bCs/>
          <w:color w:val="000000"/>
          <w:sz w:val="24"/>
          <w:szCs w:val="24"/>
        </w:rPr>
      </w:pPr>
      <w:r w:rsidRPr="009F6D2D">
        <w:rPr>
          <w:rFonts w:ascii="Garamond" w:hAnsi="Garamond"/>
          <w:bCs/>
          <w:color w:val="000000"/>
          <w:sz w:val="24"/>
          <w:szCs w:val="24"/>
        </w:rPr>
        <w:t>MINISTËR I EKONOMISË DHE INOVACIONIT</w:t>
      </w:r>
    </w:p>
    <w:p w14:paraId="338CBB2C" w14:textId="1C8DDE32" w:rsidR="00B739E6" w:rsidRPr="009F6D2D" w:rsidRDefault="00B739E6" w:rsidP="00B739E6">
      <w:pPr>
        <w:autoSpaceDE w:val="0"/>
        <w:autoSpaceDN w:val="0"/>
        <w:adjustRightInd w:val="0"/>
        <w:spacing w:after="0" w:line="240" w:lineRule="auto"/>
        <w:ind w:firstLine="284"/>
        <w:jc w:val="right"/>
        <w:rPr>
          <w:rFonts w:ascii="Garamond" w:hAnsi="Garamond"/>
          <w:b/>
          <w:bCs/>
          <w:color w:val="000000"/>
          <w:sz w:val="24"/>
          <w:szCs w:val="24"/>
        </w:rPr>
      </w:pPr>
      <w:r w:rsidRPr="009F6D2D">
        <w:rPr>
          <w:rFonts w:ascii="Garamond" w:hAnsi="Garamond"/>
          <w:b/>
          <w:bCs/>
          <w:color w:val="000000"/>
          <w:sz w:val="24"/>
          <w:szCs w:val="24"/>
        </w:rPr>
        <w:t>Delina Ibrahimaj</w:t>
      </w:r>
    </w:p>
    <w:sectPr w:rsidR="00B739E6" w:rsidRPr="009F6D2D" w:rsidSect="00D2624D">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9FD7C3" w14:textId="77777777" w:rsidR="00A00898" w:rsidRDefault="00A00898" w:rsidP="002660D9">
      <w:pPr>
        <w:spacing w:after="0" w:line="240" w:lineRule="auto"/>
      </w:pPr>
      <w:r>
        <w:separator/>
      </w:r>
    </w:p>
  </w:endnote>
  <w:endnote w:type="continuationSeparator" w:id="0">
    <w:p w14:paraId="167839CE" w14:textId="77777777" w:rsidR="00A00898" w:rsidRDefault="00A00898" w:rsidP="00266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C45CB5" w14:textId="77777777" w:rsidR="00A00898" w:rsidRDefault="00A00898" w:rsidP="002660D9">
      <w:pPr>
        <w:spacing w:after="0" w:line="240" w:lineRule="auto"/>
      </w:pPr>
      <w:r>
        <w:separator/>
      </w:r>
    </w:p>
  </w:footnote>
  <w:footnote w:type="continuationSeparator" w:id="0">
    <w:p w14:paraId="0EF37BBE" w14:textId="77777777" w:rsidR="00A00898" w:rsidRDefault="00A00898" w:rsidP="002660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1402E"/>
    <w:multiLevelType w:val="hybridMultilevel"/>
    <w:tmpl w:val="99DAD324"/>
    <w:lvl w:ilvl="0" w:tplc="C15A2616">
      <w:start w:val="4"/>
      <w:numFmt w:val="decimal"/>
      <w:lvlText w:val="%1."/>
      <w:lvlJc w:val="left"/>
      <w:pPr>
        <w:ind w:left="900" w:hanging="360"/>
      </w:pPr>
      <w:rPr>
        <w:rFonts w:eastAsia="Calibri"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061465F8"/>
    <w:multiLevelType w:val="hybridMultilevel"/>
    <w:tmpl w:val="D6841276"/>
    <w:lvl w:ilvl="0" w:tplc="7388C00C">
      <w:start w:val="1"/>
      <w:numFmt w:val="decimal"/>
      <w:lvlText w:val="%1."/>
      <w:lvlJc w:val="left"/>
      <w:pPr>
        <w:ind w:left="81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7706D"/>
    <w:multiLevelType w:val="hybridMultilevel"/>
    <w:tmpl w:val="2EF4D5CC"/>
    <w:lvl w:ilvl="0" w:tplc="78F6E8A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23740C"/>
    <w:multiLevelType w:val="hybridMultilevel"/>
    <w:tmpl w:val="DB724FDE"/>
    <w:lvl w:ilvl="0" w:tplc="9F6A1B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BF0322"/>
    <w:multiLevelType w:val="hybridMultilevel"/>
    <w:tmpl w:val="7FE61E5C"/>
    <w:lvl w:ilvl="0" w:tplc="F9C0D54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A6E129B"/>
    <w:multiLevelType w:val="hybridMultilevel"/>
    <w:tmpl w:val="00C4B874"/>
    <w:lvl w:ilvl="0" w:tplc="BE762C3A">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15:restartNumberingAfterBreak="0">
    <w:nsid w:val="24F460A3"/>
    <w:multiLevelType w:val="hybridMultilevel"/>
    <w:tmpl w:val="A03C8CD2"/>
    <w:lvl w:ilvl="0" w:tplc="7416F7D0">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 w15:restartNumberingAfterBreak="0">
    <w:nsid w:val="25654B99"/>
    <w:multiLevelType w:val="hybridMultilevel"/>
    <w:tmpl w:val="0F604F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694246"/>
    <w:multiLevelType w:val="hybridMultilevel"/>
    <w:tmpl w:val="0F64F68A"/>
    <w:lvl w:ilvl="0" w:tplc="8B7211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A86A11"/>
    <w:multiLevelType w:val="hybridMultilevel"/>
    <w:tmpl w:val="9E04894A"/>
    <w:lvl w:ilvl="0" w:tplc="34FC2834">
      <w:start w:val="1"/>
      <w:numFmt w:val="lowerRoman"/>
      <w:lvlText w:val="%1."/>
      <w:lvlJc w:val="left"/>
      <w:pPr>
        <w:ind w:left="1560" w:hanging="72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0" w15:restartNumberingAfterBreak="0">
    <w:nsid w:val="31594DF3"/>
    <w:multiLevelType w:val="hybridMultilevel"/>
    <w:tmpl w:val="5A828856"/>
    <w:lvl w:ilvl="0" w:tplc="44A4CC40">
      <w:start w:val="1"/>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5F03AA"/>
    <w:multiLevelType w:val="hybridMultilevel"/>
    <w:tmpl w:val="0340EB1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755459"/>
    <w:multiLevelType w:val="hybridMultilevel"/>
    <w:tmpl w:val="BB5688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6A626B"/>
    <w:multiLevelType w:val="hybridMultilevel"/>
    <w:tmpl w:val="33D27BD4"/>
    <w:lvl w:ilvl="0" w:tplc="25A221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36964A6"/>
    <w:multiLevelType w:val="hybridMultilevel"/>
    <w:tmpl w:val="90801938"/>
    <w:lvl w:ilvl="0" w:tplc="AA32F592">
      <w:start w:val="1"/>
      <w:numFmt w:val="lowerLetter"/>
      <w:lvlText w:val="%1)"/>
      <w:lvlJc w:val="left"/>
      <w:pPr>
        <w:ind w:left="780" w:hanging="360"/>
      </w:pPr>
      <w:rPr>
        <w:rFonts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15" w15:restartNumberingAfterBreak="0">
    <w:nsid w:val="468929A1"/>
    <w:multiLevelType w:val="hybridMultilevel"/>
    <w:tmpl w:val="D444CCE2"/>
    <w:lvl w:ilvl="0" w:tplc="DFAA10C6">
      <w:start w:val="1"/>
      <w:numFmt w:val="upperLetter"/>
      <w:lvlText w:val="%1."/>
      <w:lvlJc w:val="left"/>
      <w:pPr>
        <w:ind w:left="1215" w:hanging="36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16" w15:restartNumberingAfterBreak="0">
    <w:nsid w:val="4CB745E3"/>
    <w:multiLevelType w:val="hybridMultilevel"/>
    <w:tmpl w:val="7FD44A66"/>
    <w:lvl w:ilvl="0" w:tplc="B52271D2">
      <w:start w:val="1"/>
      <w:numFmt w:val="decimal"/>
      <w:lvlText w:val="%1."/>
      <w:lvlJc w:val="left"/>
      <w:pPr>
        <w:ind w:left="720" w:hanging="720"/>
      </w:pPr>
      <w:rPr>
        <w:rFonts w:hint="default"/>
        <w:i w:val="0"/>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7" w15:restartNumberingAfterBreak="0">
    <w:nsid w:val="4CFD4E96"/>
    <w:multiLevelType w:val="hybridMultilevel"/>
    <w:tmpl w:val="DB2CD9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341A6A"/>
    <w:multiLevelType w:val="multilevel"/>
    <w:tmpl w:val="F9B4F2DA"/>
    <w:lvl w:ilvl="0">
      <w:start w:val="3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6096543"/>
    <w:multiLevelType w:val="hybridMultilevel"/>
    <w:tmpl w:val="5F5EF52C"/>
    <w:lvl w:ilvl="0" w:tplc="AE6E432C">
      <w:start w:val="1"/>
      <w:numFmt w:val="upperRoman"/>
      <w:lvlText w:val="%1."/>
      <w:lvlJc w:val="left"/>
      <w:pPr>
        <w:ind w:left="90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56F36A3A"/>
    <w:multiLevelType w:val="hybridMultilevel"/>
    <w:tmpl w:val="B22CDC96"/>
    <w:lvl w:ilvl="0" w:tplc="A1C8FA08">
      <w:start w:val="3"/>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EC3B29"/>
    <w:multiLevelType w:val="multilevel"/>
    <w:tmpl w:val="C5CA922E"/>
    <w:lvl w:ilvl="0">
      <w:start w:val="33"/>
      <w:numFmt w:val="decimal"/>
      <w:lvlText w:val="%1"/>
      <w:lvlJc w:val="left"/>
      <w:pPr>
        <w:ind w:left="420" w:hanging="420"/>
      </w:pPr>
      <w:rPr>
        <w:rFonts w:hint="default"/>
        <w:i/>
      </w:rPr>
    </w:lvl>
    <w:lvl w:ilvl="1">
      <w:start w:val="1"/>
      <w:numFmt w:val="decimal"/>
      <w:lvlText w:val="%1.%2"/>
      <w:lvlJc w:val="left"/>
      <w:pPr>
        <w:ind w:left="870" w:hanging="420"/>
      </w:pPr>
      <w:rPr>
        <w:rFonts w:hint="default"/>
        <w:i/>
      </w:rPr>
    </w:lvl>
    <w:lvl w:ilvl="2">
      <w:start w:val="1"/>
      <w:numFmt w:val="decimal"/>
      <w:lvlText w:val="%1.%2.%3"/>
      <w:lvlJc w:val="left"/>
      <w:pPr>
        <w:ind w:left="1620" w:hanging="720"/>
      </w:pPr>
      <w:rPr>
        <w:rFonts w:hint="default"/>
        <w:i/>
      </w:rPr>
    </w:lvl>
    <w:lvl w:ilvl="3">
      <w:start w:val="1"/>
      <w:numFmt w:val="decimal"/>
      <w:lvlText w:val="%1.%2.%3.%4"/>
      <w:lvlJc w:val="left"/>
      <w:pPr>
        <w:ind w:left="2070" w:hanging="720"/>
      </w:pPr>
      <w:rPr>
        <w:rFonts w:hint="default"/>
        <w:i/>
      </w:rPr>
    </w:lvl>
    <w:lvl w:ilvl="4">
      <w:start w:val="1"/>
      <w:numFmt w:val="decimal"/>
      <w:lvlText w:val="%1.%2.%3.%4.%5"/>
      <w:lvlJc w:val="left"/>
      <w:pPr>
        <w:ind w:left="2880" w:hanging="1080"/>
      </w:pPr>
      <w:rPr>
        <w:rFonts w:hint="default"/>
        <w:i/>
      </w:rPr>
    </w:lvl>
    <w:lvl w:ilvl="5">
      <w:start w:val="1"/>
      <w:numFmt w:val="decimal"/>
      <w:lvlText w:val="%1.%2.%3.%4.%5.%6"/>
      <w:lvlJc w:val="left"/>
      <w:pPr>
        <w:ind w:left="3330" w:hanging="1080"/>
      </w:pPr>
      <w:rPr>
        <w:rFonts w:hint="default"/>
        <w:i/>
      </w:rPr>
    </w:lvl>
    <w:lvl w:ilvl="6">
      <w:start w:val="1"/>
      <w:numFmt w:val="decimal"/>
      <w:lvlText w:val="%1.%2.%3.%4.%5.%6.%7"/>
      <w:lvlJc w:val="left"/>
      <w:pPr>
        <w:ind w:left="4140" w:hanging="1440"/>
      </w:pPr>
      <w:rPr>
        <w:rFonts w:hint="default"/>
        <w:i/>
      </w:rPr>
    </w:lvl>
    <w:lvl w:ilvl="7">
      <w:start w:val="1"/>
      <w:numFmt w:val="decimal"/>
      <w:lvlText w:val="%1.%2.%3.%4.%5.%6.%7.%8"/>
      <w:lvlJc w:val="left"/>
      <w:pPr>
        <w:ind w:left="4590" w:hanging="1440"/>
      </w:pPr>
      <w:rPr>
        <w:rFonts w:hint="default"/>
        <w:i/>
      </w:rPr>
    </w:lvl>
    <w:lvl w:ilvl="8">
      <w:start w:val="1"/>
      <w:numFmt w:val="decimal"/>
      <w:lvlText w:val="%1.%2.%3.%4.%5.%6.%7.%8.%9"/>
      <w:lvlJc w:val="left"/>
      <w:pPr>
        <w:ind w:left="5400" w:hanging="1800"/>
      </w:pPr>
      <w:rPr>
        <w:rFonts w:hint="default"/>
        <w:i/>
      </w:rPr>
    </w:lvl>
  </w:abstractNum>
  <w:abstractNum w:abstractNumId="22" w15:restartNumberingAfterBreak="0">
    <w:nsid w:val="5D402266"/>
    <w:multiLevelType w:val="hybridMultilevel"/>
    <w:tmpl w:val="8850C9D4"/>
    <w:lvl w:ilvl="0" w:tplc="FFFFFFFF">
      <w:start w:val="1"/>
      <w:numFmt w:val="decimal"/>
      <w:lvlText w:val="%1."/>
      <w:lvlJc w:val="left"/>
      <w:pPr>
        <w:ind w:left="81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0585F1D"/>
    <w:multiLevelType w:val="hybridMultilevel"/>
    <w:tmpl w:val="AD7C184E"/>
    <w:lvl w:ilvl="0" w:tplc="44F6E8B2">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4" w15:restartNumberingAfterBreak="0">
    <w:nsid w:val="62AA59D3"/>
    <w:multiLevelType w:val="hybridMultilevel"/>
    <w:tmpl w:val="A41E8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A84FF8"/>
    <w:multiLevelType w:val="hybridMultilevel"/>
    <w:tmpl w:val="4C801E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FE5FA4"/>
    <w:multiLevelType w:val="hybridMultilevel"/>
    <w:tmpl w:val="E0104260"/>
    <w:lvl w:ilvl="0" w:tplc="6F42AB3E">
      <w:start w:val="4"/>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24C1642"/>
    <w:multiLevelType w:val="hybridMultilevel"/>
    <w:tmpl w:val="707A6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DD62FC"/>
    <w:multiLevelType w:val="hybridMultilevel"/>
    <w:tmpl w:val="17183EA8"/>
    <w:lvl w:ilvl="0" w:tplc="1F926AEA">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72ED4C73"/>
    <w:multiLevelType w:val="hybridMultilevel"/>
    <w:tmpl w:val="3E1418B6"/>
    <w:lvl w:ilvl="0" w:tplc="03FC453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3BC4839"/>
    <w:multiLevelType w:val="multilevel"/>
    <w:tmpl w:val="00122286"/>
    <w:lvl w:ilvl="0">
      <w:start w:val="3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6D4716D"/>
    <w:multiLevelType w:val="hybridMultilevel"/>
    <w:tmpl w:val="C472048A"/>
    <w:lvl w:ilvl="0" w:tplc="AFAE16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7857880"/>
    <w:multiLevelType w:val="hybridMultilevel"/>
    <w:tmpl w:val="B9C6550E"/>
    <w:lvl w:ilvl="0" w:tplc="60E8FA3E">
      <w:start w:val="1"/>
      <w:numFmt w:val="upp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7910206E"/>
    <w:multiLevelType w:val="hybridMultilevel"/>
    <w:tmpl w:val="C5E8CBD0"/>
    <w:lvl w:ilvl="0" w:tplc="04090017">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792F48E4"/>
    <w:multiLevelType w:val="hybridMultilevel"/>
    <w:tmpl w:val="78A26148"/>
    <w:lvl w:ilvl="0" w:tplc="EA6CD4CE">
      <w:start w:val="1"/>
      <w:numFmt w:val="upp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5" w15:restartNumberingAfterBreak="0">
    <w:nsid w:val="793118F9"/>
    <w:multiLevelType w:val="hybridMultilevel"/>
    <w:tmpl w:val="414C5EA6"/>
    <w:lvl w:ilvl="0" w:tplc="DA463CAE">
      <w:start w:val="1"/>
      <w:numFmt w:val="lowerLetter"/>
      <w:lvlText w:val="%1)"/>
      <w:lvlJc w:val="left"/>
      <w:pPr>
        <w:ind w:left="1080" w:hanging="360"/>
      </w:pPr>
      <w:rPr>
        <w:rFonts w:eastAsia="Calibr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E444883"/>
    <w:multiLevelType w:val="hybridMultilevel"/>
    <w:tmpl w:val="0AA6E9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35"/>
  </w:num>
  <w:num w:numId="3">
    <w:abstractNumId w:val="17"/>
  </w:num>
  <w:num w:numId="4">
    <w:abstractNumId w:val="20"/>
  </w:num>
  <w:num w:numId="5">
    <w:abstractNumId w:val="11"/>
  </w:num>
  <w:num w:numId="6">
    <w:abstractNumId w:val="6"/>
  </w:num>
  <w:num w:numId="7">
    <w:abstractNumId w:val="4"/>
  </w:num>
  <w:num w:numId="8">
    <w:abstractNumId w:val="0"/>
  </w:num>
  <w:num w:numId="9">
    <w:abstractNumId w:val="26"/>
  </w:num>
  <w:num w:numId="10">
    <w:abstractNumId w:val="14"/>
  </w:num>
  <w:num w:numId="11">
    <w:abstractNumId w:val="19"/>
  </w:num>
  <w:num w:numId="12">
    <w:abstractNumId w:val="24"/>
  </w:num>
  <w:num w:numId="13">
    <w:abstractNumId w:val="33"/>
  </w:num>
  <w:num w:numId="14">
    <w:abstractNumId w:val="5"/>
  </w:num>
  <w:num w:numId="15">
    <w:abstractNumId w:val="27"/>
  </w:num>
  <w:num w:numId="16">
    <w:abstractNumId w:val="12"/>
  </w:num>
  <w:num w:numId="17">
    <w:abstractNumId w:val="36"/>
  </w:num>
  <w:num w:numId="18">
    <w:abstractNumId w:val="25"/>
  </w:num>
  <w:num w:numId="19">
    <w:abstractNumId w:val="1"/>
  </w:num>
  <w:num w:numId="20">
    <w:abstractNumId w:val="10"/>
  </w:num>
  <w:num w:numId="21">
    <w:abstractNumId w:val="3"/>
  </w:num>
  <w:num w:numId="22">
    <w:abstractNumId w:val="13"/>
  </w:num>
  <w:num w:numId="23">
    <w:abstractNumId w:val="29"/>
  </w:num>
  <w:num w:numId="24">
    <w:abstractNumId w:val="9"/>
  </w:num>
  <w:num w:numId="25">
    <w:abstractNumId w:val="8"/>
  </w:num>
  <w:num w:numId="26">
    <w:abstractNumId w:val="7"/>
  </w:num>
  <w:num w:numId="27">
    <w:abstractNumId w:val="32"/>
  </w:num>
  <w:num w:numId="28">
    <w:abstractNumId w:val="15"/>
  </w:num>
  <w:num w:numId="29">
    <w:abstractNumId w:val="23"/>
  </w:num>
  <w:num w:numId="30">
    <w:abstractNumId w:val="28"/>
  </w:num>
  <w:num w:numId="31">
    <w:abstractNumId w:val="34"/>
  </w:num>
  <w:num w:numId="32">
    <w:abstractNumId w:val="2"/>
  </w:num>
  <w:num w:numId="33">
    <w:abstractNumId w:val="31"/>
  </w:num>
  <w:num w:numId="34">
    <w:abstractNumId w:val="22"/>
  </w:num>
  <w:num w:numId="35">
    <w:abstractNumId w:val="21"/>
  </w:num>
  <w:num w:numId="36">
    <w:abstractNumId w:val="30"/>
  </w:num>
  <w:num w:numId="37">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D4E"/>
    <w:rsid w:val="000000DC"/>
    <w:rsid w:val="000063C1"/>
    <w:rsid w:val="00010A7F"/>
    <w:rsid w:val="00010D4E"/>
    <w:rsid w:val="000110E0"/>
    <w:rsid w:val="0001147B"/>
    <w:rsid w:val="00012BDB"/>
    <w:rsid w:val="00016BB9"/>
    <w:rsid w:val="00021676"/>
    <w:rsid w:val="00022005"/>
    <w:rsid w:val="00023142"/>
    <w:rsid w:val="00025E2C"/>
    <w:rsid w:val="0002626F"/>
    <w:rsid w:val="00027F09"/>
    <w:rsid w:val="000358E0"/>
    <w:rsid w:val="000359E3"/>
    <w:rsid w:val="00042EE4"/>
    <w:rsid w:val="000462E7"/>
    <w:rsid w:val="000509FC"/>
    <w:rsid w:val="00051FE0"/>
    <w:rsid w:val="00053AB5"/>
    <w:rsid w:val="00053CDF"/>
    <w:rsid w:val="00055D2F"/>
    <w:rsid w:val="000658B0"/>
    <w:rsid w:val="000721DA"/>
    <w:rsid w:val="00086135"/>
    <w:rsid w:val="0008650C"/>
    <w:rsid w:val="00093091"/>
    <w:rsid w:val="000944DA"/>
    <w:rsid w:val="000948E5"/>
    <w:rsid w:val="00097B18"/>
    <w:rsid w:val="000A17E6"/>
    <w:rsid w:val="000A2320"/>
    <w:rsid w:val="000A2487"/>
    <w:rsid w:val="000A5D83"/>
    <w:rsid w:val="000A5FA1"/>
    <w:rsid w:val="000B0AD3"/>
    <w:rsid w:val="000B36CA"/>
    <w:rsid w:val="000B5FA5"/>
    <w:rsid w:val="000B60D3"/>
    <w:rsid w:val="000B6E58"/>
    <w:rsid w:val="000B7EAE"/>
    <w:rsid w:val="000C3BBC"/>
    <w:rsid w:val="000C481D"/>
    <w:rsid w:val="000C4D11"/>
    <w:rsid w:val="000C6E30"/>
    <w:rsid w:val="000C7708"/>
    <w:rsid w:val="000D1949"/>
    <w:rsid w:val="000D75DD"/>
    <w:rsid w:val="000D7A64"/>
    <w:rsid w:val="000E23C7"/>
    <w:rsid w:val="000E6D2E"/>
    <w:rsid w:val="000F2750"/>
    <w:rsid w:val="000F2B95"/>
    <w:rsid w:val="000F4143"/>
    <w:rsid w:val="000F492B"/>
    <w:rsid w:val="00100C66"/>
    <w:rsid w:val="0010182B"/>
    <w:rsid w:val="001040DD"/>
    <w:rsid w:val="00110A81"/>
    <w:rsid w:val="0011125D"/>
    <w:rsid w:val="0011206F"/>
    <w:rsid w:val="00112090"/>
    <w:rsid w:val="001134C1"/>
    <w:rsid w:val="001220C4"/>
    <w:rsid w:val="00122592"/>
    <w:rsid w:val="00123F86"/>
    <w:rsid w:val="00124C76"/>
    <w:rsid w:val="00125BB7"/>
    <w:rsid w:val="00125F99"/>
    <w:rsid w:val="00131057"/>
    <w:rsid w:val="00131114"/>
    <w:rsid w:val="00132AA0"/>
    <w:rsid w:val="001349AE"/>
    <w:rsid w:val="00134A50"/>
    <w:rsid w:val="00135623"/>
    <w:rsid w:val="00135E35"/>
    <w:rsid w:val="00141CE4"/>
    <w:rsid w:val="001439D8"/>
    <w:rsid w:val="00143CDB"/>
    <w:rsid w:val="0014686A"/>
    <w:rsid w:val="00147BCB"/>
    <w:rsid w:val="001508A2"/>
    <w:rsid w:val="0016458C"/>
    <w:rsid w:val="00167EB4"/>
    <w:rsid w:val="00170170"/>
    <w:rsid w:val="00173730"/>
    <w:rsid w:val="0018103F"/>
    <w:rsid w:val="0018181D"/>
    <w:rsid w:val="00187A52"/>
    <w:rsid w:val="001918BB"/>
    <w:rsid w:val="00191E80"/>
    <w:rsid w:val="00193BD6"/>
    <w:rsid w:val="00193D73"/>
    <w:rsid w:val="0019489B"/>
    <w:rsid w:val="001A002B"/>
    <w:rsid w:val="001A7E19"/>
    <w:rsid w:val="001B190E"/>
    <w:rsid w:val="001B5C42"/>
    <w:rsid w:val="001C05E3"/>
    <w:rsid w:val="001C26CC"/>
    <w:rsid w:val="001C3986"/>
    <w:rsid w:val="001C4104"/>
    <w:rsid w:val="001C5707"/>
    <w:rsid w:val="001D00C6"/>
    <w:rsid w:val="001D1798"/>
    <w:rsid w:val="001D76D5"/>
    <w:rsid w:val="001E1005"/>
    <w:rsid w:val="001E4ECD"/>
    <w:rsid w:val="001F0022"/>
    <w:rsid w:val="001F6E09"/>
    <w:rsid w:val="00206346"/>
    <w:rsid w:val="00211B29"/>
    <w:rsid w:val="00213ACE"/>
    <w:rsid w:val="002149D0"/>
    <w:rsid w:val="00222FA9"/>
    <w:rsid w:val="00224222"/>
    <w:rsid w:val="00225CEC"/>
    <w:rsid w:val="00225D66"/>
    <w:rsid w:val="0022781F"/>
    <w:rsid w:val="00230BD7"/>
    <w:rsid w:val="00231D10"/>
    <w:rsid w:val="00231E18"/>
    <w:rsid w:val="00232F52"/>
    <w:rsid w:val="0023704A"/>
    <w:rsid w:val="00241026"/>
    <w:rsid w:val="00242A1E"/>
    <w:rsid w:val="00244A70"/>
    <w:rsid w:val="0024671F"/>
    <w:rsid w:val="00254DA2"/>
    <w:rsid w:val="00255208"/>
    <w:rsid w:val="00257AAF"/>
    <w:rsid w:val="002660D9"/>
    <w:rsid w:val="002704C3"/>
    <w:rsid w:val="00272899"/>
    <w:rsid w:val="00272E77"/>
    <w:rsid w:val="00273E37"/>
    <w:rsid w:val="00275BAD"/>
    <w:rsid w:val="002771C5"/>
    <w:rsid w:val="00277978"/>
    <w:rsid w:val="00284ED2"/>
    <w:rsid w:val="002909FA"/>
    <w:rsid w:val="00293FE5"/>
    <w:rsid w:val="00296E5D"/>
    <w:rsid w:val="00297C8A"/>
    <w:rsid w:val="002A126A"/>
    <w:rsid w:val="002A1384"/>
    <w:rsid w:val="002A4495"/>
    <w:rsid w:val="002A50B5"/>
    <w:rsid w:val="002A6335"/>
    <w:rsid w:val="002B0E48"/>
    <w:rsid w:val="002B1139"/>
    <w:rsid w:val="002B1A31"/>
    <w:rsid w:val="002B599E"/>
    <w:rsid w:val="002B5CE4"/>
    <w:rsid w:val="002C0182"/>
    <w:rsid w:val="002C09C2"/>
    <w:rsid w:val="002C7A74"/>
    <w:rsid w:val="002D4806"/>
    <w:rsid w:val="002D595A"/>
    <w:rsid w:val="002D798D"/>
    <w:rsid w:val="002E12C1"/>
    <w:rsid w:val="002E3A1B"/>
    <w:rsid w:val="002E6103"/>
    <w:rsid w:val="002E781F"/>
    <w:rsid w:val="002F0664"/>
    <w:rsid w:val="002F0C15"/>
    <w:rsid w:val="002F2438"/>
    <w:rsid w:val="002F48FC"/>
    <w:rsid w:val="0030142F"/>
    <w:rsid w:val="00301A3F"/>
    <w:rsid w:val="003030EB"/>
    <w:rsid w:val="003049B6"/>
    <w:rsid w:val="00305318"/>
    <w:rsid w:val="00313F37"/>
    <w:rsid w:val="00316409"/>
    <w:rsid w:val="00316FE5"/>
    <w:rsid w:val="00341795"/>
    <w:rsid w:val="003425D0"/>
    <w:rsid w:val="00345A7C"/>
    <w:rsid w:val="00347E7E"/>
    <w:rsid w:val="00355216"/>
    <w:rsid w:val="003608AA"/>
    <w:rsid w:val="00360B07"/>
    <w:rsid w:val="00366FC9"/>
    <w:rsid w:val="00370197"/>
    <w:rsid w:val="003770A2"/>
    <w:rsid w:val="00380151"/>
    <w:rsid w:val="00381FD0"/>
    <w:rsid w:val="00382EEC"/>
    <w:rsid w:val="00386A8E"/>
    <w:rsid w:val="00395286"/>
    <w:rsid w:val="0039586D"/>
    <w:rsid w:val="003962FC"/>
    <w:rsid w:val="003A1150"/>
    <w:rsid w:val="003A3CEA"/>
    <w:rsid w:val="003A3DC0"/>
    <w:rsid w:val="003A3E0D"/>
    <w:rsid w:val="003A58A4"/>
    <w:rsid w:val="003A64E8"/>
    <w:rsid w:val="003B36EB"/>
    <w:rsid w:val="003B4A2A"/>
    <w:rsid w:val="003B4A86"/>
    <w:rsid w:val="003B632A"/>
    <w:rsid w:val="003C19D9"/>
    <w:rsid w:val="003D1714"/>
    <w:rsid w:val="003D1A99"/>
    <w:rsid w:val="003D6DCF"/>
    <w:rsid w:val="003D736C"/>
    <w:rsid w:val="003E1E81"/>
    <w:rsid w:val="003E2AE1"/>
    <w:rsid w:val="003F04F0"/>
    <w:rsid w:val="003F3AF3"/>
    <w:rsid w:val="003F3CB6"/>
    <w:rsid w:val="003F5FE7"/>
    <w:rsid w:val="003F6C5C"/>
    <w:rsid w:val="003F7D5B"/>
    <w:rsid w:val="00405125"/>
    <w:rsid w:val="0040744A"/>
    <w:rsid w:val="00416A19"/>
    <w:rsid w:val="00417216"/>
    <w:rsid w:val="00417565"/>
    <w:rsid w:val="00417C09"/>
    <w:rsid w:val="00423B60"/>
    <w:rsid w:val="0042402B"/>
    <w:rsid w:val="00431141"/>
    <w:rsid w:val="00431207"/>
    <w:rsid w:val="0043440B"/>
    <w:rsid w:val="00436E52"/>
    <w:rsid w:val="004421D6"/>
    <w:rsid w:val="0044245E"/>
    <w:rsid w:val="004472AC"/>
    <w:rsid w:val="00447DD7"/>
    <w:rsid w:val="00450D46"/>
    <w:rsid w:val="004522FC"/>
    <w:rsid w:val="00453CA1"/>
    <w:rsid w:val="00454AB1"/>
    <w:rsid w:val="0045595F"/>
    <w:rsid w:val="00456B63"/>
    <w:rsid w:val="004607CA"/>
    <w:rsid w:val="004615E0"/>
    <w:rsid w:val="0046310B"/>
    <w:rsid w:val="00466360"/>
    <w:rsid w:val="00471B68"/>
    <w:rsid w:val="00480F51"/>
    <w:rsid w:val="004811D1"/>
    <w:rsid w:val="0048130F"/>
    <w:rsid w:val="004816E0"/>
    <w:rsid w:val="00487D63"/>
    <w:rsid w:val="004919E0"/>
    <w:rsid w:val="004954B9"/>
    <w:rsid w:val="004A0D68"/>
    <w:rsid w:val="004B172F"/>
    <w:rsid w:val="004B235D"/>
    <w:rsid w:val="004B5948"/>
    <w:rsid w:val="004B7907"/>
    <w:rsid w:val="004C02D0"/>
    <w:rsid w:val="004C1136"/>
    <w:rsid w:val="004C69B9"/>
    <w:rsid w:val="004D5697"/>
    <w:rsid w:val="004D7648"/>
    <w:rsid w:val="004D79DE"/>
    <w:rsid w:val="004E1758"/>
    <w:rsid w:val="004E27B3"/>
    <w:rsid w:val="004E3126"/>
    <w:rsid w:val="004E6990"/>
    <w:rsid w:val="004E6F4D"/>
    <w:rsid w:val="004E6FAC"/>
    <w:rsid w:val="004F0CA8"/>
    <w:rsid w:val="004F3588"/>
    <w:rsid w:val="004F36A7"/>
    <w:rsid w:val="004F5827"/>
    <w:rsid w:val="004F73D8"/>
    <w:rsid w:val="004F7948"/>
    <w:rsid w:val="0050187D"/>
    <w:rsid w:val="00504CE4"/>
    <w:rsid w:val="005108BC"/>
    <w:rsid w:val="005115E0"/>
    <w:rsid w:val="00513992"/>
    <w:rsid w:val="005139E0"/>
    <w:rsid w:val="00514815"/>
    <w:rsid w:val="00523551"/>
    <w:rsid w:val="005238CE"/>
    <w:rsid w:val="00524F9D"/>
    <w:rsid w:val="00532094"/>
    <w:rsid w:val="005322DF"/>
    <w:rsid w:val="005328F5"/>
    <w:rsid w:val="00533210"/>
    <w:rsid w:val="00537456"/>
    <w:rsid w:val="0054442B"/>
    <w:rsid w:val="005474D4"/>
    <w:rsid w:val="005501E4"/>
    <w:rsid w:val="00552319"/>
    <w:rsid w:val="005549FE"/>
    <w:rsid w:val="00555671"/>
    <w:rsid w:val="005603EF"/>
    <w:rsid w:val="005617E2"/>
    <w:rsid w:val="00563A84"/>
    <w:rsid w:val="00565922"/>
    <w:rsid w:val="005825A4"/>
    <w:rsid w:val="00583B26"/>
    <w:rsid w:val="005A0B32"/>
    <w:rsid w:val="005A4634"/>
    <w:rsid w:val="005A7EDE"/>
    <w:rsid w:val="005B04D6"/>
    <w:rsid w:val="005B38DF"/>
    <w:rsid w:val="005B5C50"/>
    <w:rsid w:val="005C2F82"/>
    <w:rsid w:val="005C33CF"/>
    <w:rsid w:val="005C3BD8"/>
    <w:rsid w:val="005C4C93"/>
    <w:rsid w:val="005C52EE"/>
    <w:rsid w:val="005C6B01"/>
    <w:rsid w:val="005E30A9"/>
    <w:rsid w:val="005E5A14"/>
    <w:rsid w:val="005E5E0B"/>
    <w:rsid w:val="005F2B37"/>
    <w:rsid w:val="005F5048"/>
    <w:rsid w:val="005F59B9"/>
    <w:rsid w:val="005F71B9"/>
    <w:rsid w:val="00600B6D"/>
    <w:rsid w:val="00603396"/>
    <w:rsid w:val="0060660F"/>
    <w:rsid w:val="006068F6"/>
    <w:rsid w:val="00611716"/>
    <w:rsid w:val="006176B0"/>
    <w:rsid w:val="006217FF"/>
    <w:rsid w:val="0062226B"/>
    <w:rsid w:val="00624170"/>
    <w:rsid w:val="00625133"/>
    <w:rsid w:val="00630200"/>
    <w:rsid w:val="006302AB"/>
    <w:rsid w:val="006317DB"/>
    <w:rsid w:val="00644A1F"/>
    <w:rsid w:val="00644C40"/>
    <w:rsid w:val="00651339"/>
    <w:rsid w:val="006518C7"/>
    <w:rsid w:val="006539C3"/>
    <w:rsid w:val="00653D29"/>
    <w:rsid w:val="006556B4"/>
    <w:rsid w:val="00657416"/>
    <w:rsid w:val="00660770"/>
    <w:rsid w:val="00661C56"/>
    <w:rsid w:val="0066798A"/>
    <w:rsid w:val="006706C0"/>
    <w:rsid w:val="00670A5D"/>
    <w:rsid w:val="00674420"/>
    <w:rsid w:val="00675F82"/>
    <w:rsid w:val="00684DB4"/>
    <w:rsid w:val="006855F1"/>
    <w:rsid w:val="00691786"/>
    <w:rsid w:val="006933D4"/>
    <w:rsid w:val="0069490B"/>
    <w:rsid w:val="006A0E86"/>
    <w:rsid w:val="006A3206"/>
    <w:rsid w:val="006A4505"/>
    <w:rsid w:val="006B4440"/>
    <w:rsid w:val="006B649E"/>
    <w:rsid w:val="006B6BC3"/>
    <w:rsid w:val="006C08FD"/>
    <w:rsid w:val="006C128F"/>
    <w:rsid w:val="006C4456"/>
    <w:rsid w:val="006D0A9E"/>
    <w:rsid w:val="006D4D11"/>
    <w:rsid w:val="006D7A42"/>
    <w:rsid w:val="006E18DE"/>
    <w:rsid w:val="006E2B5E"/>
    <w:rsid w:val="006E546A"/>
    <w:rsid w:val="006E6F4E"/>
    <w:rsid w:val="006E76F8"/>
    <w:rsid w:val="006F0E9E"/>
    <w:rsid w:val="006F2792"/>
    <w:rsid w:val="006F6129"/>
    <w:rsid w:val="007016FA"/>
    <w:rsid w:val="00703EDD"/>
    <w:rsid w:val="0070430A"/>
    <w:rsid w:val="00706AFF"/>
    <w:rsid w:val="00714D11"/>
    <w:rsid w:val="007167F8"/>
    <w:rsid w:val="0071718C"/>
    <w:rsid w:val="00721DD7"/>
    <w:rsid w:val="00732886"/>
    <w:rsid w:val="0074097F"/>
    <w:rsid w:val="007417DD"/>
    <w:rsid w:val="007423E5"/>
    <w:rsid w:val="007462B0"/>
    <w:rsid w:val="00747F84"/>
    <w:rsid w:val="00766E4B"/>
    <w:rsid w:val="00767065"/>
    <w:rsid w:val="00767C70"/>
    <w:rsid w:val="007704DA"/>
    <w:rsid w:val="00771715"/>
    <w:rsid w:val="00780063"/>
    <w:rsid w:val="007836C6"/>
    <w:rsid w:val="0078552B"/>
    <w:rsid w:val="00790C20"/>
    <w:rsid w:val="00790C2F"/>
    <w:rsid w:val="007928EE"/>
    <w:rsid w:val="00794F9C"/>
    <w:rsid w:val="00795AA1"/>
    <w:rsid w:val="007A1364"/>
    <w:rsid w:val="007A2AE9"/>
    <w:rsid w:val="007B103B"/>
    <w:rsid w:val="007B5EF9"/>
    <w:rsid w:val="007C05A1"/>
    <w:rsid w:val="007C1335"/>
    <w:rsid w:val="007C1DF8"/>
    <w:rsid w:val="007C5637"/>
    <w:rsid w:val="007C62DF"/>
    <w:rsid w:val="007C6D0C"/>
    <w:rsid w:val="007D51D5"/>
    <w:rsid w:val="007D599F"/>
    <w:rsid w:val="007E2C42"/>
    <w:rsid w:val="007E48EA"/>
    <w:rsid w:val="007E6E9D"/>
    <w:rsid w:val="007F6DED"/>
    <w:rsid w:val="00803ADE"/>
    <w:rsid w:val="00807292"/>
    <w:rsid w:val="008138C1"/>
    <w:rsid w:val="00817BA8"/>
    <w:rsid w:val="00821E0F"/>
    <w:rsid w:val="0083291E"/>
    <w:rsid w:val="008329AD"/>
    <w:rsid w:val="0083544B"/>
    <w:rsid w:val="0084235F"/>
    <w:rsid w:val="00844D03"/>
    <w:rsid w:val="00852355"/>
    <w:rsid w:val="00854450"/>
    <w:rsid w:val="008554A7"/>
    <w:rsid w:val="008558E4"/>
    <w:rsid w:val="00856F1C"/>
    <w:rsid w:val="00857E01"/>
    <w:rsid w:val="008600C6"/>
    <w:rsid w:val="0086025F"/>
    <w:rsid w:val="00864D06"/>
    <w:rsid w:val="00866971"/>
    <w:rsid w:val="00867A33"/>
    <w:rsid w:val="008702BE"/>
    <w:rsid w:val="00873597"/>
    <w:rsid w:val="00873F71"/>
    <w:rsid w:val="00882E8C"/>
    <w:rsid w:val="00882FD7"/>
    <w:rsid w:val="00885411"/>
    <w:rsid w:val="008855B7"/>
    <w:rsid w:val="00890E84"/>
    <w:rsid w:val="00893E37"/>
    <w:rsid w:val="00893E50"/>
    <w:rsid w:val="008949F1"/>
    <w:rsid w:val="00895A4D"/>
    <w:rsid w:val="0089686D"/>
    <w:rsid w:val="008A118B"/>
    <w:rsid w:val="008A3618"/>
    <w:rsid w:val="008A3751"/>
    <w:rsid w:val="008A4084"/>
    <w:rsid w:val="008A709E"/>
    <w:rsid w:val="008A77CE"/>
    <w:rsid w:val="008B1806"/>
    <w:rsid w:val="008B1C98"/>
    <w:rsid w:val="008B4168"/>
    <w:rsid w:val="008B521E"/>
    <w:rsid w:val="008B6F3C"/>
    <w:rsid w:val="008C2F71"/>
    <w:rsid w:val="008C6627"/>
    <w:rsid w:val="008D0A39"/>
    <w:rsid w:val="008D363D"/>
    <w:rsid w:val="008D468A"/>
    <w:rsid w:val="008E4F3D"/>
    <w:rsid w:val="008E6775"/>
    <w:rsid w:val="008F2C16"/>
    <w:rsid w:val="00903B6B"/>
    <w:rsid w:val="009048E3"/>
    <w:rsid w:val="0090581A"/>
    <w:rsid w:val="00905B0D"/>
    <w:rsid w:val="00907946"/>
    <w:rsid w:val="009113C0"/>
    <w:rsid w:val="009165E5"/>
    <w:rsid w:val="00917A0D"/>
    <w:rsid w:val="00917A30"/>
    <w:rsid w:val="00926F55"/>
    <w:rsid w:val="00927E0A"/>
    <w:rsid w:val="00930938"/>
    <w:rsid w:val="00932AE1"/>
    <w:rsid w:val="009350AF"/>
    <w:rsid w:val="0093561F"/>
    <w:rsid w:val="009400AC"/>
    <w:rsid w:val="00943DB4"/>
    <w:rsid w:val="00945EFE"/>
    <w:rsid w:val="009462BA"/>
    <w:rsid w:val="00952A23"/>
    <w:rsid w:val="00954389"/>
    <w:rsid w:val="0096356A"/>
    <w:rsid w:val="00965563"/>
    <w:rsid w:val="009768AE"/>
    <w:rsid w:val="009836D2"/>
    <w:rsid w:val="00984B9B"/>
    <w:rsid w:val="009927D3"/>
    <w:rsid w:val="009A571F"/>
    <w:rsid w:val="009A6ABF"/>
    <w:rsid w:val="009A6AC7"/>
    <w:rsid w:val="009B06E8"/>
    <w:rsid w:val="009B163F"/>
    <w:rsid w:val="009B1A5C"/>
    <w:rsid w:val="009C4014"/>
    <w:rsid w:val="009C5E9A"/>
    <w:rsid w:val="009C64C7"/>
    <w:rsid w:val="009D086B"/>
    <w:rsid w:val="009D759E"/>
    <w:rsid w:val="009E3E12"/>
    <w:rsid w:val="009E7AB7"/>
    <w:rsid w:val="009F0278"/>
    <w:rsid w:val="009F3CAA"/>
    <w:rsid w:val="009F6D2D"/>
    <w:rsid w:val="00A00898"/>
    <w:rsid w:val="00A008DD"/>
    <w:rsid w:val="00A01BE3"/>
    <w:rsid w:val="00A03C5C"/>
    <w:rsid w:val="00A04E49"/>
    <w:rsid w:val="00A04E56"/>
    <w:rsid w:val="00A11BC3"/>
    <w:rsid w:val="00A12BC1"/>
    <w:rsid w:val="00A1323B"/>
    <w:rsid w:val="00A1502C"/>
    <w:rsid w:val="00A158F6"/>
    <w:rsid w:val="00A16FC4"/>
    <w:rsid w:val="00A1746E"/>
    <w:rsid w:val="00A236EF"/>
    <w:rsid w:val="00A255C0"/>
    <w:rsid w:val="00A26A5C"/>
    <w:rsid w:val="00A3120F"/>
    <w:rsid w:val="00A41219"/>
    <w:rsid w:val="00A5236E"/>
    <w:rsid w:val="00A5250D"/>
    <w:rsid w:val="00A54C14"/>
    <w:rsid w:val="00A55C8D"/>
    <w:rsid w:val="00A56F73"/>
    <w:rsid w:val="00A57543"/>
    <w:rsid w:val="00A61F45"/>
    <w:rsid w:val="00A62D64"/>
    <w:rsid w:val="00A67DAA"/>
    <w:rsid w:val="00A72214"/>
    <w:rsid w:val="00A868E1"/>
    <w:rsid w:val="00A95CF7"/>
    <w:rsid w:val="00A975C9"/>
    <w:rsid w:val="00AA7915"/>
    <w:rsid w:val="00AA7E84"/>
    <w:rsid w:val="00AB2215"/>
    <w:rsid w:val="00AB4610"/>
    <w:rsid w:val="00AC3270"/>
    <w:rsid w:val="00AC3C3C"/>
    <w:rsid w:val="00AC4D5D"/>
    <w:rsid w:val="00AC5AA7"/>
    <w:rsid w:val="00AD690F"/>
    <w:rsid w:val="00AD73FA"/>
    <w:rsid w:val="00AE0C58"/>
    <w:rsid w:val="00AE0E4D"/>
    <w:rsid w:val="00AE3B91"/>
    <w:rsid w:val="00AE4398"/>
    <w:rsid w:val="00AF7440"/>
    <w:rsid w:val="00AF78EF"/>
    <w:rsid w:val="00B155DD"/>
    <w:rsid w:val="00B15B10"/>
    <w:rsid w:val="00B21A32"/>
    <w:rsid w:val="00B244BB"/>
    <w:rsid w:val="00B27DE0"/>
    <w:rsid w:val="00B3423B"/>
    <w:rsid w:val="00B3441B"/>
    <w:rsid w:val="00B40B08"/>
    <w:rsid w:val="00B421BD"/>
    <w:rsid w:val="00B45E8E"/>
    <w:rsid w:val="00B46385"/>
    <w:rsid w:val="00B473CC"/>
    <w:rsid w:val="00B51BFD"/>
    <w:rsid w:val="00B52524"/>
    <w:rsid w:val="00B53D45"/>
    <w:rsid w:val="00B55AF6"/>
    <w:rsid w:val="00B63B41"/>
    <w:rsid w:val="00B711BE"/>
    <w:rsid w:val="00B717A9"/>
    <w:rsid w:val="00B739E6"/>
    <w:rsid w:val="00B747D7"/>
    <w:rsid w:val="00B74890"/>
    <w:rsid w:val="00B76009"/>
    <w:rsid w:val="00B80792"/>
    <w:rsid w:val="00B81256"/>
    <w:rsid w:val="00B84687"/>
    <w:rsid w:val="00B867C0"/>
    <w:rsid w:val="00B900E1"/>
    <w:rsid w:val="00B96084"/>
    <w:rsid w:val="00B97442"/>
    <w:rsid w:val="00BA0387"/>
    <w:rsid w:val="00BA39C1"/>
    <w:rsid w:val="00BA539A"/>
    <w:rsid w:val="00BA57D7"/>
    <w:rsid w:val="00BB0EC5"/>
    <w:rsid w:val="00BB4B14"/>
    <w:rsid w:val="00BB6D67"/>
    <w:rsid w:val="00BC0900"/>
    <w:rsid w:val="00BC5106"/>
    <w:rsid w:val="00BC524A"/>
    <w:rsid w:val="00BD26AF"/>
    <w:rsid w:val="00BD48AA"/>
    <w:rsid w:val="00BE382E"/>
    <w:rsid w:val="00BE3FA1"/>
    <w:rsid w:val="00BE4126"/>
    <w:rsid w:val="00BE6E1D"/>
    <w:rsid w:val="00C11F6F"/>
    <w:rsid w:val="00C12640"/>
    <w:rsid w:val="00C151B1"/>
    <w:rsid w:val="00C176E9"/>
    <w:rsid w:val="00C17CE0"/>
    <w:rsid w:val="00C21279"/>
    <w:rsid w:val="00C22119"/>
    <w:rsid w:val="00C232C1"/>
    <w:rsid w:val="00C24098"/>
    <w:rsid w:val="00C3018F"/>
    <w:rsid w:val="00C33EAC"/>
    <w:rsid w:val="00C40C97"/>
    <w:rsid w:val="00C5165B"/>
    <w:rsid w:val="00C51AB8"/>
    <w:rsid w:val="00C51EE5"/>
    <w:rsid w:val="00C53BA2"/>
    <w:rsid w:val="00C55F12"/>
    <w:rsid w:val="00C564CD"/>
    <w:rsid w:val="00C57866"/>
    <w:rsid w:val="00C64BA6"/>
    <w:rsid w:val="00C6680D"/>
    <w:rsid w:val="00C67C66"/>
    <w:rsid w:val="00C7357E"/>
    <w:rsid w:val="00C73FAC"/>
    <w:rsid w:val="00C74243"/>
    <w:rsid w:val="00C83EB1"/>
    <w:rsid w:val="00C84A4A"/>
    <w:rsid w:val="00C9057A"/>
    <w:rsid w:val="00C920CC"/>
    <w:rsid w:val="00C92E98"/>
    <w:rsid w:val="00C935A9"/>
    <w:rsid w:val="00C96E8F"/>
    <w:rsid w:val="00CA0406"/>
    <w:rsid w:val="00CA1180"/>
    <w:rsid w:val="00CA1E73"/>
    <w:rsid w:val="00CA3BCA"/>
    <w:rsid w:val="00CB0003"/>
    <w:rsid w:val="00CB5496"/>
    <w:rsid w:val="00CB5DBF"/>
    <w:rsid w:val="00CB5DFE"/>
    <w:rsid w:val="00CC1262"/>
    <w:rsid w:val="00CC1AC8"/>
    <w:rsid w:val="00CD0611"/>
    <w:rsid w:val="00CD09B7"/>
    <w:rsid w:val="00CD1CAC"/>
    <w:rsid w:val="00CD39E0"/>
    <w:rsid w:val="00CD6D88"/>
    <w:rsid w:val="00CE76A9"/>
    <w:rsid w:val="00CF147C"/>
    <w:rsid w:val="00CF2B83"/>
    <w:rsid w:val="00CF42EC"/>
    <w:rsid w:val="00CF55B4"/>
    <w:rsid w:val="00CF6608"/>
    <w:rsid w:val="00CF7467"/>
    <w:rsid w:val="00D02959"/>
    <w:rsid w:val="00D108A5"/>
    <w:rsid w:val="00D13E7D"/>
    <w:rsid w:val="00D304AA"/>
    <w:rsid w:val="00D30E1A"/>
    <w:rsid w:val="00D3277A"/>
    <w:rsid w:val="00D41D51"/>
    <w:rsid w:val="00D4516F"/>
    <w:rsid w:val="00D45427"/>
    <w:rsid w:val="00D46DDC"/>
    <w:rsid w:val="00D52E16"/>
    <w:rsid w:val="00D55BB0"/>
    <w:rsid w:val="00D57455"/>
    <w:rsid w:val="00D65373"/>
    <w:rsid w:val="00D6706E"/>
    <w:rsid w:val="00D70F92"/>
    <w:rsid w:val="00D71743"/>
    <w:rsid w:val="00D740E8"/>
    <w:rsid w:val="00D77EC3"/>
    <w:rsid w:val="00D80074"/>
    <w:rsid w:val="00D81593"/>
    <w:rsid w:val="00D87760"/>
    <w:rsid w:val="00D931DC"/>
    <w:rsid w:val="00DA4E0A"/>
    <w:rsid w:val="00DA7C94"/>
    <w:rsid w:val="00DB1629"/>
    <w:rsid w:val="00DB1748"/>
    <w:rsid w:val="00DC1FA4"/>
    <w:rsid w:val="00DC3C22"/>
    <w:rsid w:val="00DC52DB"/>
    <w:rsid w:val="00DD0BC5"/>
    <w:rsid w:val="00DE16F5"/>
    <w:rsid w:val="00DE1906"/>
    <w:rsid w:val="00DE380B"/>
    <w:rsid w:val="00DF2023"/>
    <w:rsid w:val="00DF2240"/>
    <w:rsid w:val="00DF248B"/>
    <w:rsid w:val="00DF3618"/>
    <w:rsid w:val="00DF43B6"/>
    <w:rsid w:val="00DF4C47"/>
    <w:rsid w:val="00DF75D4"/>
    <w:rsid w:val="00E01ADB"/>
    <w:rsid w:val="00E03906"/>
    <w:rsid w:val="00E06149"/>
    <w:rsid w:val="00E11F3B"/>
    <w:rsid w:val="00E120EA"/>
    <w:rsid w:val="00E13092"/>
    <w:rsid w:val="00E135A7"/>
    <w:rsid w:val="00E1447A"/>
    <w:rsid w:val="00E17A69"/>
    <w:rsid w:val="00E20C96"/>
    <w:rsid w:val="00E223BF"/>
    <w:rsid w:val="00E22A81"/>
    <w:rsid w:val="00E31078"/>
    <w:rsid w:val="00E32D13"/>
    <w:rsid w:val="00E35599"/>
    <w:rsid w:val="00E357A3"/>
    <w:rsid w:val="00E36BB7"/>
    <w:rsid w:val="00E41287"/>
    <w:rsid w:val="00E47460"/>
    <w:rsid w:val="00E47BE9"/>
    <w:rsid w:val="00E51ECA"/>
    <w:rsid w:val="00E56FBB"/>
    <w:rsid w:val="00E61F30"/>
    <w:rsid w:val="00E63D60"/>
    <w:rsid w:val="00E66E3C"/>
    <w:rsid w:val="00E756B8"/>
    <w:rsid w:val="00E76BEE"/>
    <w:rsid w:val="00E82EE5"/>
    <w:rsid w:val="00E8339A"/>
    <w:rsid w:val="00E847A0"/>
    <w:rsid w:val="00E96787"/>
    <w:rsid w:val="00E97177"/>
    <w:rsid w:val="00EC7C92"/>
    <w:rsid w:val="00ED5122"/>
    <w:rsid w:val="00ED53E4"/>
    <w:rsid w:val="00ED7026"/>
    <w:rsid w:val="00EE3D3A"/>
    <w:rsid w:val="00EE4E1B"/>
    <w:rsid w:val="00EE60C6"/>
    <w:rsid w:val="00EF2BF1"/>
    <w:rsid w:val="00EF381D"/>
    <w:rsid w:val="00EF4991"/>
    <w:rsid w:val="00EF5991"/>
    <w:rsid w:val="00EF70F2"/>
    <w:rsid w:val="00EF7593"/>
    <w:rsid w:val="00EF7CAE"/>
    <w:rsid w:val="00F00790"/>
    <w:rsid w:val="00F026C5"/>
    <w:rsid w:val="00F031FF"/>
    <w:rsid w:val="00F0736C"/>
    <w:rsid w:val="00F07B5A"/>
    <w:rsid w:val="00F1660B"/>
    <w:rsid w:val="00F233C6"/>
    <w:rsid w:val="00F269FD"/>
    <w:rsid w:val="00F274A1"/>
    <w:rsid w:val="00F32CDE"/>
    <w:rsid w:val="00F349F5"/>
    <w:rsid w:val="00F37841"/>
    <w:rsid w:val="00F423EB"/>
    <w:rsid w:val="00F42572"/>
    <w:rsid w:val="00F446DB"/>
    <w:rsid w:val="00F47184"/>
    <w:rsid w:val="00F5019B"/>
    <w:rsid w:val="00F52265"/>
    <w:rsid w:val="00F56127"/>
    <w:rsid w:val="00F568CB"/>
    <w:rsid w:val="00F57479"/>
    <w:rsid w:val="00F65B2F"/>
    <w:rsid w:val="00F66BFF"/>
    <w:rsid w:val="00F742A1"/>
    <w:rsid w:val="00F77FE4"/>
    <w:rsid w:val="00F81705"/>
    <w:rsid w:val="00F828F1"/>
    <w:rsid w:val="00F82D3D"/>
    <w:rsid w:val="00F86CE0"/>
    <w:rsid w:val="00F91BF6"/>
    <w:rsid w:val="00F94CEA"/>
    <w:rsid w:val="00F95FCC"/>
    <w:rsid w:val="00FA18CD"/>
    <w:rsid w:val="00FA7B19"/>
    <w:rsid w:val="00FB0497"/>
    <w:rsid w:val="00FB2BF8"/>
    <w:rsid w:val="00FB4A27"/>
    <w:rsid w:val="00FB6802"/>
    <w:rsid w:val="00FB787B"/>
    <w:rsid w:val="00FC19EB"/>
    <w:rsid w:val="00FC50B3"/>
    <w:rsid w:val="00FC708A"/>
    <w:rsid w:val="00FD5892"/>
    <w:rsid w:val="00FD6AE9"/>
    <w:rsid w:val="00FE12E0"/>
    <w:rsid w:val="00FE682D"/>
    <w:rsid w:val="00FE7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36ED9F"/>
  <w15:chartTrackingRefBased/>
  <w15:docId w15:val="{FB5407DB-FDF6-4AA4-8328-1BEE0C3C5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48FC"/>
    <w:pPr>
      <w:spacing w:after="200" w:line="276" w:lineRule="auto"/>
    </w:pPr>
    <w:rPr>
      <w:sz w:val="22"/>
      <w:szCs w:val="2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010D4E"/>
    <w:pPr>
      <w:ind w:left="720"/>
      <w:contextualSpacing/>
    </w:pPr>
  </w:style>
  <w:style w:type="table" w:styleId="TableGrid">
    <w:name w:val="Table Grid"/>
    <w:basedOn w:val="TableNormal"/>
    <w:uiPriority w:val="59"/>
    <w:rsid w:val="00010D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60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0D9"/>
  </w:style>
  <w:style w:type="paragraph" w:styleId="Footer">
    <w:name w:val="footer"/>
    <w:basedOn w:val="Normal"/>
    <w:link w:val="FooterChar"/>
    <w:uiPriority w:val="99"/>
    <w:unhideWhenUsed/>
    <w:rsid w:val="002660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0D9"/>
  </w:style>
  <w:style w:type="paragraph" w:styleId="BalloonText">
    <w:name w:val="Balloon Text"/>
    <w:basedOn w:val="Normal"/>
    <w:link w:val="BalloonTextChar"/>
    <w:uiPriority w:val="99"/>
    <w:semiHidden/>
    <w:unhideWhenUsed/>
    <w:rsid w:val="002660D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660D9"/>
    <w:rPr>
      <w:rFonts w:ascii="Tahoma" w:hAnsi="Tahoma" w:cs="Tahoma"/>
      <w:sz w:val="16"/>
      <w:szCs w:val="16"/>
    </w:rPr>
  </w:style>
  <w:style w:type="paragraph" w:styleId="ListParagraph">
    <w:name w:val="List Paragraph"/>
    <w:basedOn w:val="Normal"/>
    <w:uiPriority w:val="34"/>
    <w:qFormat/>
    <w:rsid w:val="001E1005"/>
    <w:pPr>
      <w:ind w:left="720"/>
    </w:pPr>
  </w:style>
  <w:style w:type="paragraph" w:styleId="NormalWeb">
    <w:name w:val="Normal (Web)"/>
    <w:basedOn w:val="Normal"/>
    <w:uiPriority w:val="99"/>
    <w:unhideWhenUsed/>
    <w:rsid w:val="00D4516F"/>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CD0611"/>
    <w:rPr>
      <w:rFonts w:ascii="Times New Roman" w:eastAsia="Times New Roman" w:hAnsi="Times New Roman"/>
      <w:sz w:val="24"/>
      <w:szCs w:val="24"/>
      <w:lang w:val="de-DE" w:eastAsia="de-DE"/>
    </w:rPr>
  </w:style>
  <w:style w:type="paragraph" w:customStyle="1" w:styleId="ColorfulList-Accent110">
    <w:name w:val="Colorful List - Accent 11"/>
    <w:basedOn w:val="Normal"/>
    <w:uiPriority w:val="34"/>
    <w:qFormat/>
    <w:rsid w:val="007A1364"/>
    <w:pPr>
      <w:ind w:left="720"/>
      <w:contextualSpacing/>
    </w:pPr>
  </w:style>
  <w:style w:type="character" w:customStyle="1" w:styleId="apple-converted-space">
    <w:name w:val="apple-converted-space"/>
    <w:rsid w:val="000D75DD"/>
  </w:style>
  <w:style w:type="paragraph" w:customStyle="1" w:styleId="Default">
    <w:name w:val="Default"/>
    <w:rsid w:val="00854450"/>
    <w:pPr>
      <w:autoSpaceDE w:val="0"/>
      <w:autoSpaceDN w:val="0"/>
      <w:adjustRightInd w:val="0"/>
    </w:pPr>
    <w:rPr>
      <w:rFonts w:ascii="Times New Roman" w:hAnsi="Times New Roman"/>
      <w:color w:val="000000"/>
      <w:sz w:val="24"/>
      <w:szCs w:val="24"/>
    </w:rPr>
  </w:style>
  <w:style w:type="table" w:styleId="LightGrid-Accent5">
    <w:name w:val="Light Grid Accent 5"/>
    <w:basedOn w:val="TableNormal"/>
    <w:uiPriority w:val="62"/>
    <w:rsid w:val="008A3751"/>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DengXian" w:eastAsia="Times New Roman" w:hAnsi="DengXian"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DengXian" w:eastAsia="Times New Roman" w:hAnsi="DengXian"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TableGrid1">
    <w:name w:val="Table Grid1"/>
    <w:basedOn w:val="TableNormal"/>
    <w:next w:val="TableGrid"/>
    <w:uiPriority w:val="59"/>
    <w:rsid w:val="005F504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70A5D"/>
    <w:rPr>
      <w:sz w:val="22"/>
      <w:szCs w:val="22"/>
      <w:lang w:val="sq-AL"/>
    </w:rPr>
  </w:style>
  <w:style w:type="character" w:styleId="CommentReference">
    <w:name w:val="annotation reference"/>
    <w:uiPriority w:val="99"/>
    <w:semiHidden/>
    <w:unhideWhenUsed/>
    <w:rsid w:val="0040744A"/>
    <w:rPr>
      <w:sz w:val="16"/>
      <w:szCs w:val="16"/>
    </w:rPr>
  </w:style>
  <w:style w:type="paragraph" w:styleId="CommentText">
    <w:name w:val="annotation text"/>
    <w:basedOn w:val="Normal"/>
    <w:link w:val="CommentTextChar"/>
    <w:uiPriority w:val="99"/>
    <w:unhideWhenUsed/>
    <w:rsid w:val="0040744A"/>
    <w:rPr>
      <w:sz w:val="20"/>
      <w:szCs w:val="20"/>
    </w:rPr>
  </w:style>
  <w:style w:type="character" w:customStyle="1" w:styleId="CommentTextChar">
    <w:name w:val="Comment Text Char"/>
    <w:link w:val="CommentText"/>
    <w:uiPriority w:val="99"/>
    <w:rsid w:val="0040744A"/>
    <w:rPr>
      <w:lang w:val="sq-AL"/>
    </w:rPr>
  </w:style>
  <w:style w:type="paragraph" w:styleId="CommentSubject">
    <w:name w:val="annotation subject"/>
    <w:basedOn w:val="CommentText"/>
    <w:next w:val="CommentText"/>
    <w:link w:val="CommentSubjectChar"/>
    <w:uiPriority w:val="99"/>
    <w:semiHidden/>
    <w:unhideWhenUsed/>
    <w:rsid w:val="0040744A"/>
    <w:rPr>
      <w:b/>
      <w:bCs/>
    </w:rPr>
  </w:style>
  <w:style w:type="character" w:customStyle="1" w:styleId="CommentSubjectChar">
    <w:name w:val="Comment Subject Char"/>
    <w:link w:val="CommentSubject"/>
    <w:uiPriority w:val="99"/>
    <w:semiHidden/>
    <w:rsid w:val="0040744A"/>
    <w:rPr>
      <w:b/>
      <w:bCs/>
      <w:lang w:val="sq-AL"/>
    </w:rPr>
  </w:style>
  <w:style w:type="character" w:styleId="Hyperlink">
    <w:name w:val="Hyperlink"/>
    <w:uiPriority w:val="99"/>
    <w:unhideWhenUsed/>
    <w:rsid w:val="00D8007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500066">
      <w:bodyDiv w:val="1"/>
      <w:marLeft w:val="0"/>
      <w:marRight w:val="0"/>
      <w:marTop w:val="0"/>
      <w:marBottom w:val="0"/>
      <w:divBdr>
        <w:top w:val="none" w:sz="0" w:space="0" w:color="auto"/>
        <w:left w:val="none" w:sz="0" w:space="0" w:color="auto"/>
        <w:bottom w:val="none" w:sz="0" w:space="0" w:color="auto"/>
        <w:right w:val="none" w:sz="0" w:space="0" w:color="auto"/>
      </w:divBdr>
      <w:divsChild>
        <w:div w:id="548762996">
          <w:marLeft w:val="0"/>
          <w:marRight w:val="0"/>
          <w:marTop w:val="15"/>
          <w:marBottom w:val="0"/>
          <w:divBdr>
            <w:top w:val="none" w:sz="0" w:space="0" w:color="auto"/>
            <w:left w:val="none" w:sz="0" w:space="0" w:color="auto"/>
            <w:bottom w:val="none" w:sz="0" w:space="0" w:color="auto"/>
            <w:right w:val="none" w:sz="0" w:space="0" w:color="auto"/>
          </w:divBdr>
          <w:divsChild>
            <w:div w:id="776603796">
              <w:marLeft w:val="0"/>
              <w:marRight w:val="0"/>
              <w:marTop w:val="0"/>
              <w:marBottom w:val="0"/>
              <w:divBdr>
                <w:top w:val="single" w:sz="6" w:space="0" w:color="808080"/>
                <w:left w:val="single" w:sz="6" w:space="0" w:color="808080"/>
                <w:bottom w:val="single" w:sz="6" w:space="0" w:color="808080"/>
                <w:right w:val="single" w:sz="6" w:space="0" w:color="808080"/>
              </w:divBdr>
              <w:divsChild>
                <w:div w:id="69561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433094">
          <w:marLeft w:val="0"/>
          <w:marRight w:val="0"/>
          <w:marTop w:val="15"/>
          <w:marBottom w:val="0"/>
          <w:divBdr>
            <w:top w:val="none" w:sz="0" w:space="0" w:color="auto"/>
            <w:left w:val="none" w:sz="0" w:space="0" w:color="auto"/>
            <w:bottom w:val="none" w:sz="0" w:space="0" w:color="auto"/>
            <w:right w:val="none" w:sz="0" w:space="0" w:color="auto"/>
          </w:divBdr>
          <w:divsChild>
            <w:div w:id="448210007">
              <w:marLeft w:val="0"/>
              <w:marRight w:val="0"/>
              <w:marTop w:val="0"/>
              <w:marBottom w:val="0"/>
              <w:divBdr>
                <w:top w:val="single" w:sz="6" w:space="0" w:color="808080"/>
                <w:left w:val="single" w:sz="6" w:space="0" w:color="808080"/>
                <w:bottom w:val="single" w:sz="6" w:space="0" w:color="808080"/>
                <w:right w:val="single" w:sz="6" w:space="0" w:color="808080"/>
              </w:divBdr>
              <w:divsChild>
                <w:div w:id="78604900">
                  <w:marLeft w:val="0"/>
                  <w:marRight w:val="0"/>
                  <w:marTop w:val="0"/>
                  <w:marBottom w:val="0"/>
                  <w:divBdr>
                    <w:top w:val="none" w:sz="0" w:space="0" w:color="auto"/>
                    <w:left w:val="none" w:sz="0" w:space="0" w:color="auto"/>
                    <w:bottom w:val="none" w:sz="0" w:space="0" w:color="auto"/>
                    <w:right w:val="none" w:sz="0" w:space="0" w:color="auto"/>
                  </w:divBdr>
                </w:div>
                <w:div w:id="134226193">
                  <w:marLeft w:val="0"/>
                  <w:marRight w:val="0"/>
                  <w:marTop w:val="0"/>
                  <w:marBottom w:val="0"/>
                  <w:divBdr>
                    <w:top w:val="none" w:sz="0" w:space="0" w:color="auto"/>
                    <w:left w:val="none" w:sz="0" w:space="0" w:color="auto"/>
                    <w:bottom w:val="none" w:sz="0" w:space="0" w:color="auto"/>
                    <w:right w:val="none" w:sz="0" w:space="0" w:color="auto"/>
                  </w:divBdr>
                </w:div>
                <w:div w:id="416246369">
                  <w:marLeft w:val="0"/>
                  <w:marRight w:val="0"/>
                  <w:marTop w:val="0"/>
                  <w:marBottom w:val="0"/>
                  <w:divBdr>
                    <w:top w:val="none" w:sz="0" w:space="0" w:color="auto"/>
                    <w:left w:val="none" w:sz="0" w:space="0" w:color="auto"/>
                    <w:bottom w:val="none" w:sz="0" w:space="0" w:color="auto"/>
                    <w:right w:val="none" w:sz="0" w:space="0" w:color="auto"/>
                  </w:divBdr>
                </w:div>
                <w:div w:id="497304956">
                  <w:marLeft w:val="0"/>
                  <w:marRight w:val="0"/>
                  <w:marTop w:val="0"/>
                  <w:marBottom w:val="0"/>
                  <w:divBdr>
                    <w:top w:val="none" w:sz="0" w:space="0" w:color="auto"/>
                    <w:left w:val="none" w:sz="0" w:space="0" w:color="auto"/>
                    <w:bottom w:val="none" w:sz="0" w:space="0" w:color="auto"/>
                    <w:right w:val="none" w:sz="0" w:space="0" w:color="auto"/>
                  </w:divBdr>
                </w:div>
                <w:div w:id="562788927">
                  <w:marLeft w:val="0"/>
                  <w:marRight w:val="0"/>
                  <w:marTop w:val="0"/>
                  <w:marBottom w:val="0"/>
                  <w:divBdr>
                    <w:top w:val="none" w:sz="0" w:space="0" w:color="auto"/>
                    <w:left w:val="none" w:sz="0" w:space="0" w:color="auto"/>
                    <w:bottom w:val="none" w:sz="0" w:space="0" w:color="auto"/>
                    <w:right w:val="none" w:sz="0" w:space="0" w:color="auto"/>
                  </w:divBdr>
                </w:div>
                <w:div w:id="615872764">
                  <w:marLeft w:val="0"/>
                  <w:marRight w:val="0"/>
                  <w:marTop w:val="0"/>
                  <w:marBottom w:val="0"/>
                  <w:divBdr>
                    <w:top w:val="none" w:sz="0" w:space="0" w:color="auto"/>
                    <w:left w:val="none" w:sz="0" w:space="0" w:color="auto"/>
                    <w:bottom w:val="none" w:sz="0" w:space="0" w:color="auto"/>
                    <w:right w:val="none" w:sz="0" w:space="0" w:color="auto"/>
                  </w:divBdr>
                </w:div>
                <w:div w:id="729311335">
                  <w:marLeft w:val="0"/>
                  <w:marRight w:val="0"/>
                  <w:marTop w:val="0"/>
                  <w:marBottom w:val="0"/>
                  <w:divBdr>
                    <w:top w:val="none" w:sz="0" w:space="0" w:color="auto"/>
                    <w:left w:val="none" w:sz="0" w:space="0" w:color="auto"/>
                    <w:bottom w:val="none" w:sz="0" w:space="0" w:color="auto"/>
                    <w:right w:val="none" w:sz="0" w:space="0" w:color="auto"/>
                  </w:divBdr>
                </w:div>
                <w:div w:id="862132622">
                  <w:marLeft w:val="0"/>
                  <w:marRight w:val="0"/>
                  <w:marTop w:val="0"/>
                  <w:marBottom w:val="0"/>
                  <w:divBdr>
                    <w:top w:val="none" w:sz="0" w:space="0" w:color="auto"/>
                    <w:left w:val="none" w:sz="0" w:space="0" w:color="auto"/>
                    <w:bottom w:val="none" w:sz="0" w:space="0" w:color="auto"/>
                    <w:right w:val="none" w:sz="0" w:space="0" w:color="auto"/>
                  </w:divBdr>
                </w:div>
                <w:div w:id="917711524">
                  <w:marLeft w:val="0"/>
                  <w:marRight w:val="0"/>
                  <w:marTop w:val="0"/>
                  <w:marBottom w:val="0"/>
                  <w:divBdr>
                    <w:top w:val="none" w:sz="0" w:space="0" w:color="auto"/>
                    <w:left w:val="none" w:sz="0" w:space="0" w:color="auto"/>
                    <w:bottom w:val="none" w:sz="0" w:space="0" w:color="auto"/>
                    <w:right w:val="none" w:sz="0" w:space="0" w:color="auto"/>
                  </w:divBdr>
                </w:div>
                <w:div w:id="1474450095">
                  <w:marLeft w:val="0"/>
                  <w:marRight w:val="0"/>
                  <w:marTop w:val="0"/>
                  <w:marBottom w:val="0"/>
                  <w:divBdr>
                    <w:top w:val="none" w:sz="0" w:space="0" w:color="auto"/>
                    <w:left w:val="none" w:sz="0" w:space="0" w:color="auto"/>
                    <w:bottom w:val="none" w:sz="0" w:space="0" w:color="auto"/>
                    <w:right w:val="none" w:sz="0" w:space="0" w:color="auto"/>
                  </w:divBdr>
                </w:div>
                <w:div w:id="1487890790">
                  <w:marLeft w:val="0"/>
                  <w:marRight w:val="0"/>
                  <w:marTop w:val="0"/>
                  <w:marBottom w:val="0"/>
                  <w:divBdr>
                    <w:top w:val="none" w:sz="0" w:space="0" w:color="auto"/>
                    <w:left w:val="none" w:sz="0" w:space="0" w:color="auto"/>
                    <w:bottom w:val="none" w:sz="0" w:space="0" w:color="auto"/>
                    <w:right w:val="none" w:sz="0" w:space="0" w:color="auto"/>
                  </w:divBdr>
                </w:div>
                <w:div w:id="1543589651">
                  <w:marLeft w:val="0"/>
                  <w:marRight w:val="0"/>
                  <w:marTop w:val="0"/>
                  <w:marBottom w:val="0"/>
                  <w:divBdr>
                    <w:top w:val="none" w:sz="0" w:space="0" w:color="auto"/>
                    <w:left w:val="none" w:sz="0" w:space="0" w:color="auto"/>
                    <w:bottom w:val="none" w:sz="0" w:space="0" w:color="auto"/>
                    <w:right w:val="none" w:sz="0" w:space="0" w:color="auto"/>
                  </w:divBdr>
                </w:div>
                <w:div w:id="1602370958">
                  <w:marLeft w:val="0"/>
                  <w:marRight w:val="0"/>
                  <w:marTop w:val="0"/>
                  <w:marBottom w:val="0"/>
                  <w:divBdr>
                    <w:top w:val="none" w:sz="0" w:space="0" w:color="auto"/>
                    <w:left w:val="none" w:sz="0" w:space="0" w:color="auto"/>
                    <w:bottom w:val="none" w:sz="0" w:space="0" w:color="auto"/>
                    <w:right w:val="none" w:sz="0" w:space="0" w:color="auto"/>
                  </w:divBdr>
                </w:div>
                <w:div w:id="1628002545">
                  <w:marLeft w:val="0"/>
                  <w:marRight w:val="0"/>
                  <w:marTop w:val="0"/>
                  <w:marBottom w:val="0"/>
                  <w:divBdr>
                    <w:top w:val="none" w:sz="0" w:space="0" w:color="auto"/>
                    <w:left w:val="none" w:sz="0" w:space="0" w:color="auto"/>
                    <w:bottom w:val="none" w:sz="0" w:space="0" w:color="auto"/>
                    <w:right w:val="none" w:sz="0" w:space="0" w:color="auto"/>
                  </w:divBdr>
                </w:div>
                <w:div w:id="1701517586">
                  <w:marLeft w:val="0"/>
                  <w:marRight w:val="0"/>
                  <w:marTop w:val="0"/>
                  <w:marBottom w:val="0"/>
                  <w:divBdr>
                    <w:top w:val="none" w:sz="0" w:space="0" w:color="auto"/>
                    <w:left w:val="none" w:sz="0" w:space="0" w:color="auto"/>
                    <w:bottom w:val="none" w:sz="0" w:space="0" w:color="auto"/>
                    <w:right w:val="none" w:sz="0" w:space="0" w:color="auto"/>
                  </w:divBdr>
                </w:div>
                <w:div w:id="182854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9647165">
      <w:bodyDiv w:val="1"/>
      <w:marLeft w:val="0"/>
      <w:marRight w:val="0"/>
      <w:marTop w:val="0"/>
      <w:marBottom w:val="0"/>
      <w:divBdr>
        <w:top w:val="none" w:sz="0" w:space="0" w:color="auto"/>
        <w:left w:val="none" w:sz="0" w:space="0" w:color="auto"/>
        <w:bottom w:val="none" w:sz="0" w:space="0" w:color="auto"/>
        <w:right w:val="none" w:sz="0" w:space="0" w:color="auto"/>
      </w:divBdr>
      <w:divsChild>
        <w:div w:id="721833330">
          <w:marLeft w:val="0"/>
          <w:marRight w:val="0"/>
          <w:marTop w:val="0"/>
          <w:marBottom w:val="0"/>
          <w:divBdr>
            <w:top w:val="none" w:sz="0" w:space="0" w:color="auto"/>
            <w:left w:val="none" w:sz="0" w:space="0" w:color="auto"/>
            <w:bottom w:val="none" w:sz="0" w:space="0" w:color="auto"/>
            <w:right w:val="none" w:sz="0" w:space="0" w:color="auto"/>
          </w:divBdr>
        </w:div>
        <w:div w:id="1078553304">
          <w:marLeft w:val="0"/>
          <w:marRight w:val="0"/>
          <w:marTop w:val="0"/>
          <w:marBottom w:val="0"/>
          <w:divBdr>
            <w:top w:val="none" w:sz="0" w:space="0" w:color="auto"/>
            <w:left w:val="none" w:sz="0" w:space="0" w:color="auto"/>
            <w:bottom w:val="none" w:sz="0" w:space="0" w:color="auto"/>
            <w:right w:val="none" w:sz="0" w:space="0" w:color="auto"/>
          </w:divBdr>
        </w:div>
        <w:div w:id="2009211232">
          <w:marLeft w:val="0"/>
          <w:marRight w:val="0"/>
          <w:marTop w:val="0"/>
          <w:marBottom w:val="0"/>
          <w:divBdr>
            <w:top w:val="none" w:sz="0" w:space="0" w:color="auto"/>
            <w:left w:val="none" w:sz="0" w:space="0" w:color="auto"/>
            <w:bottom w:val="none" w:sz="0" w:space="0" w:color="auto"/>
            <w:right w:val="none" w:sz="0" w:space="0" w:color="auto"/>
          </w:divBdr>
        </w:div>
        <w:div w:id="2050565921">
          <w:marLeft w:val="0"/>
          <w:marRight w:val="0"/>
          <w:marTop w:val="0"/>
          <w:marBottom w:val="0"/>
          <w:divBdr>
            <w:top w:val="none" w:sz="0" w:space="0" w:color="auto"/>
            <w:left w:val="none" w:sz="0" w:space="0" w:color="auto"/>
            <w:bottom w:val="none" w:sz="0" w:space="0" w:color="auto"/>
            <w:right w:val="none" w:sz="0" w:space="0" w:color="auto"/>
          </w:divBdr>
        </w:div>
      </w:divsChild>
    </w:div>
    <w:div w:id="392658235">
      <w:bodyDiv w:val="1"/>
      <w:marLeft w:val="0"/>
      <w:marRight w:val="0"/>
      <w:marTop w:val="0"/>
      <w:marBottom w:val="0"/>
      <w:divBdr>
        <w:top w:val="none" w:sz="0" w:space="0" w:color="auto"/>
        <w:left w:val="none" w:sz="0" w:space="0" w:color="auto"/>
        <w:bottom w:val="none" w:sz="0" w:space="0" w:color="auto"/>
        <w:right w:val="none" w:sz="0" w:space="0" w:color="auto"/>
      </w:divBdr>
    </w:div>
    <w:div w:id="430664515">
      <w:bodyDiv w:val="1"/>
      <w:marLeft w:val="0"/>
      <w:marRight w:val="0"/>
      <w:marTop w:val="0"/>
      <w:marBottom w:val="0"/>
      <w:divBdr>
        <w:top w:val="none" w:sz="0" w:space="0" w:color="auto"/>
        <w:left w:val="none" w:sz="0" w:space="0" w:color="auto"/>
        <w:bottom w:val="none" w:sz="0" w:space="0" w:color="auto"/>
        <w:right w:val="none" w:sz="0" w:space="0" w:color="auto"/>
      </w:divBdr>
    </w:div>
    <w:div w:id="554317196">
      <w:bodyDiv w:val="1"/>
      <w:marLeft w:val="0"/>
      <w:marRight w:val="0"/>
      <w:marTop w:val="0"/>
      <w:marBottom w:val="0"/>
      <w:divBdr>
        <w:top w:val="none" w:sz="0" w:space="0" w:color="auto"/>
        <w:left w:val="none" w:sz="0" w:space="0" w:color="auto"/>
        <w:bottom w:val="none" w:sz="0" w:space="0" w:color="auto"/>
        <w:right w:val="none" w:sz="0" w:space="0" w:color="auto"/>
      </w:divBdr>
      <w:divsChild>
        <w:div w:id="796217855">
          <w:marLeft w:val="0"/>
          <w:marRight w:val="0"/>
          <w:marTop w:val="0"/>
          <w:marBottom w:val="0"/>
          <w:divBdr>
            <w:top w:val="none" w:sz="0" w:space="0" w:color="auto"/>
            <w:left w:val="none" w:sz="0" w:space="0" w:color="auto"/>
            <w:bottom w:val="none" w:sz="0" w:space="0" w:color="auto"/>
            <w:right w:val="none" w:sz="0" w:space="0" w:color="auto"/>
          </w:divBdr>
        </w:div>
        <w:div w:id="1024554384">
          <w:marLeft w:val="0"/>
          <w:marRight w:val="0"/>
          <w:marTop w:val="0"/>
          <w:marBottom w:val="0"/>
          <w:divBdr>
            <w:top w:val="none" w:sz="0" w:space="0" w:color="auto"/>
            <w:left w:val="none" w:sz="0" w:space="0" w:color="auto"/>
            <w:bottom w:val="none" w:sz="0" w:space="0" w:color="auto"/>
            <w:right w:val="none" w:sz="0" w:space="0" w:color="auto"/>
          </w:divBdr>
        </w:div>
        <w:div w:id="1089931939">
          <w:marLeft w:val="0"/>
          <w:marRight w:val="0"/>
          <w:marTop w:val="0"/>
          <w:marBottom w:val="0"/>
          <w:divBdr>
            <w:top w:val="none" w:sz="0" w:space="0" w:color="auto"/>
            <w:left w:val="none" w:sz="0" w:space="0" w:color="auto"/>
            <w:bottom w:val="none" w:sz="0" w:space="0" w:color="auto"/>
            <w:right w:val="none" w:sz="0" w:space="0" w:color="auto"/>
          </w:divBdr>
        </w:div>
      </w:divsChild>
    </w:div>
    <w:div w:id="559481189">
      <w:bodyDiv w:val="1"/>
      <w:marLeft w:val="0"/>
      <w:marRight w:val="0"/>
      <w:marTop w:val="0"/>
      <w:marBottom w:val="0"/>
      <w:divBdr>
        <w:top w:val="none" w:sz="0" w:space="0" w:color="auto"/>
        <w:left w:val="none" w:sz="0" w:space="0" w:color="auto"/>
        <w:bottom w:val="none" w:sz="0" w:space="0" w:color="auto"/>
        <w:right w:val="none" w:sz="0" w:space="0" w:color="auto"/>
      </w:divBdr>
      <w:divsChild>
        <w:div w:id="220137667">
          <w:marLeft w:val="0"/>
          <w:marRight w:val="0"/>
          <w:marTop w:val="15"/>
          <w:marBottom w:val="0"/>
          <w:divBdr>
            <w:top w:val="none" w:sz="0" w:space="0" w:color="auto"/>
            <w:left w:val="none" w:sz="0" w:space="0" w:color="auto"/>
            <w:bottom w:val="none" w:sz="0" w:space="0" w:color="auto"/>
            <w:right w:val="none" w:sz="0" w:space="0" w:color="auto"/>
          </w:divBdr>
          <w:divsChild>
            <w:div w:id="890657215">
              <w:marLeft w:val="0"/>
              <w:marRight w:val="0"/>
              <w:marTop w:val="0"/>
              <w:marBottom w:val="0"/>
              <w:divBdr>
                <w:top w:val="single" w:sz="6" w:space="0" w:color="808080"/>
                <w:left w:val="single" w:sz="6" w:space="0" w:color="808080"/>
                <w:bottom w:val="single" w:sz="6" w:space="0" w:color="808080"/>
                <w:right w:val="single" w:sz="6" w:space="0" w:color="808080"/>
              </w:divBdr>
              <w:divsChild>
                <w:div w:id="196827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158735">
          <w:marLeft w:val="0"/>
          <w:marRight w:val="0"/>
          <w:marTop w:val="15"/>
          <w:marBottom w:val="0"/>
          <w:divBdr>
            <w:top w:val="none" w:sz="0" w:space="0" w:color="auto"/>
            <w:left w:val="none" w:sz="0" w:space="0" w:color="auto"/>
            <w:bottom w:val="none" w:sz="0" w:space="0" w:color="auto"/>
            <w:right w:val="none" w:sz="0" w:space="0" w:color="auto"/>
          </w:divBdr>
          <w:divsChild>
            <w:div w:id="1851293325">
              <w:marLeft w:val="0"/>
              <w:marRight w:val="0"/>
              <w:marTop w:val="0"/>
              <w:marBottom w:val="0"/>
              <w:divBdr>
                <w:top w:val="single" w:sz="6" w:space="0" w:color="808080"/>
                <w:left w:val="single" w:sz="6" w:space="0" w:color="808080"/>
                <w:bottom w:val="single" w:sz="6" w:space="0" w:color="808080"/>
                <w:right w:val="single" w:sz="6" w:space="0" w:color="808080"/>
              </w:divBdr>
              <w:divsChild>
                <w:div w:id="363211607">
                  <w:marLeft w:val="0"/>
                  <w:marRight w:val="0"/>
                  <w:marTop w:val="0"/>
                  <w:marBottom w:val="0"/>
                  <w:divBdr>
                    <w:top w:val="none" w:sz="0" w:space="0" w:color="auto"/>
                    <w:left w:val="none" w:sz="0" w:space="0" w:color="auto"/>
                    <w:bottom w:val="none" w:sz="0" w:space="0" w:color="auto"/>
                    <w:right w:val="none" w:sz="0" w:space="0" w:color="auto"/>
                  </w:divBdr>
                </w:div>
                <w:div w:id="461994847">
                  <w:marLeft w:val="0"/>
                  <w:marRight w:val="0"/>
                  <w:marTop w:val="0"/>
                  <w:marBottom w:val="0"/>
                  <w:divBdr>
                    <w:top w:val="none" w:sz="0" w:space="0" w:color="auto"/>
                    <w:left w:val="none" w:sz="0" w:space="0" w:color="auto"/>
                    <w:bottom w:val="none" w:sz="0" w:space="0" w:color="auto"/>
                    <w:right w:val="none" w:sz="0" w:space="0" w:color="auto"/>
                  </w:divBdr>
                </w:div>
                <w:div w:id="694354097">
                  <w:marLeft w:val="0"/>
                  <w:marRight w:val="0"/>
                  <w:marTop w:val="0"/>
                  <w:marBottom w:val="0"/>
                  <w:divBdr>
                    <w:top w:val="none" w:sz="0" w:space="0" w:color="auto"/>
                    <w:left w:val="none" w:sz="0" w:space="0" w:color="auto"/>
                    <w:bottom w:val="none" w:sz="0" w:space="0" w:color="auto"/>
                    <w:right w:val="none" w:sz="0" w:space="0" w:color="auto"/>
                  </w:divBdr>
                </w:div>
                <w:div w:id="746154550">
                  <w:marLeft w:val="0"/>
                  <w:marRight w:val="0"/>
                  <w:marTop w:val="0"/>
                  <w:marBottom w:val="0"/>
                  <w:divBdr>
                    <w:top w:val="none" w:sz="0" w:space="0" w:color="auto"/>
                    <w:left w:val="none" w:sz="0" w:space="0" w:color="auto"/>
                    <w:bottom w:val="none" w:sz="0" w:space="0" w:color="auto"/>
                    <w:right w:val="none" w:sz="0" w:space="0" w:color="auto"/>
                  </w:divBdr>
                </w:div>
                <w:div w:id="1281840457">
                  <w:marLeft w:val="0"/>
                  <w:marRight w:val="0"/>
                  <w:marTop w:val="0"/>
                  <w:marBottom w:val="0"/>
                  <w:divBdr>
                    <w:top w:val="none" w:sz="0" w:space="0" w:color="auto"/>
                    <w:left w:val="none" w:sz="0" w:space="0" w:color="auto"/>
                    <w:bottom w:val="none" w:sz="0" w:space="0" w:color="auto"/>
                    <w:right w:val="none" w:sz="0" w:space="0" w:color="auto"/>
                  </w:divBdr>
                </w:div>
                <w:div w:id="180604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515669">
      <w:bodyDiv w:val="1"/>
      <w:marLeft w:val="0"/>
      <w:marRight w:val="0"/>
      <w:marTop w:val="0"/>
      <w:marBottom w:val="0"/>
      <w:divBdr>
        <w:top w:val="none" w:sz="0" w:space="0" w:color="auto"/>
        <w:left w:val="none" w:sz="0" w:space="0" w:color="auto"/>
        <w:bottom w:val="none" w:sz="0" w:space="0" w:color="auto"/>
        <w:right w:val="none" w:sz="0" w:space="0" w:color="auto"/>
      </w:divBdr>
      <w:divsChild>
        <w:div w:id="671445439">
          <w:marLeft w:val="0"/>
          <w:marRight w:val="0"/>
          <w:marTop w:val="0"/>
          <w:marBottom w:val="0"/>
          <w:divBdr>
            <w:top w:val="none" w:sz="0" w:space="0" w:color="auto"/>
            <w:left w:val="none" w:sz="0" w:space="0" w:color="auto"/>
            <w:bottom w:val="none" w:sz="0" w:space="0" w:color="auto"/>
            <w:right w:val="none" w:sz="0" w:space="0" w:color="auto"/>
          </w:divBdr>
        </w:div>
        <w:div w:id="1094715153">
          <w:marLeft w:val="0"/>
          <w:marRight w:val="0"/>
          <w:marTop w:val="0"/>
          <w:marBottom w:val="0"/>
          <w:divBdr>
            <w:top w:val="none" w:sz="0" w:space="0" w:color="auto"/>
            <w:left w:val="none" w:sz="0" w:space="0" w:color="auto"/>
            <w:bottom w:val="none" w:sz="0" w:space="0" w:color="auto"/>
            <w:right w:val="none" w:sz="0" w:space="0" w:color="auto"/>
          </w:divBdr>
        </w:div>
        <w:div w:id="1661274304">
          <w:marLeft w:val="0"/>
          <w:marRight w:val="0"/>
          <w:marTop w:val="0"/>
          <w:marBottom w:val="0"/>
          <w:divBdr>
            <w:top w:val="none" w:sz="0" w:space="0" w:color="auto"/>
            <w:left w:val="none" w:sz="0" w:space="0" w:color="auto"/>
            <w:bottom w:val="none" w:sz="0" w:space="0" w:color="auto"/>
            <w:right w:val="none" w:sz="0" w:space="0" w:color="auto"/>
          </w:divBdr>
        </w:div>
      </w:divsChild>
    </w:div>
    <w:div w:id="949315194">
      <w:bodyDiv w:val="1"/>
      <w:marLeft w:val="0"/>
      <w:marRight w:val="0"/>
      <w:marTop w:val="0"/>
      <w:marBottom w:val="0"/>
      <w:divBdr>
        <w:top w:val="none" w:sz="0" w:space="0" w:color="auto"/>
        <w:left w:val="none" w:sz="0" w:space="0" w:color="auto"/>
        <w:bottom w:val="none" w:sz="0" w:space="0" w:color="auto"/>
        <w:right w:val="none" w:sz="0" w:space="0" w:color="auto"/>
      </w:divBdr>
      <w:divsChild>
        <w:div w:id="65883675">
          <w:marLeft w:val="0"/>
          <w:marRight w:val="0"/>
          <w:marTop w:val="0"/>
          <w:marBottom w:val="0"/>
          <w:divBdr>
            <w:top w:val="none" w:sz="0" w:space="0" w:color="auto"/>
            <w:left w:val="none" w:sz="0" w:space="0" w:color="auto"/>
            <w:bottom w:val="none" w:sz="0" w:space="0" w:color="auto"/>
            <w:right w:val="none" w:sz="0" w:space="0" w:color="auto"/>
          </w:divBdr>
        </w:div>
        <w:div w:id="987126852">
          <w:marLeft w:val="0"/>
          <w:marRight w:val="0"/>
          <w:marTop w:val="0"/>
          <w:marBottom w:val="0"/>
          <w:divBdr>
            <w:top w:val="none" w:sz="0" w:space="0" w:color="auto"/>
            <w:left w:val="none" w:sz="0" w:space="0" w:color="auto"/>
            <w:bottom w:val="none" w:sz="0" w:space="0" w:color="auto"/>
            <w:right w:val="none" w:sz="0" w:space="0" w:color="auto"/>
          </w:divBdr>
        </w:div>
        <w:div w:id="1677223851">
          <w:marLeft w:val="0"/>
          <w:marRight w:val="0"/>
          <w:marTop w:val="0"/>
          <w:marBottom w:val="0"/>
          <w:divBdr>
            <w:top w:val="none" w:sz="0" w:space="0" w:color="auto"/>
            <w:left w:val="none" w:sz="0" w:space="0" w:color="auto"/>
            <w:bottom w:val="none" w:sz="0" w:space="0" w:color="auto"/>
            <w:right w:val="none" w:sz="0" w:space="0" w:color="auto"/>
          </w:divBdr>
        </w:div>
        <w:div w:id="1890998601">
          <w:marLeft w:val="0"/>
          <w:marRight w:val="0"/>
          <w:marTop w:val="0"/>
          <w:marBottom w:val="0"/>
          <w:divBdr>
            <w:top w:val="none" w:sz="0" w:space="0" w:color="auto"/>
            <w:left w:val="none" w:sz="0" w:space="0" w:color="auto"/>
            <w:bottom w:val="none" w:sz="0" w:space="0" w:color="auto"/>
            <w:right w:val="none" w:sz="0" w:space="0" w:color="auto"/>
          </w:divBdr>
        </w:div>
        <w:div w:id="1921743997">
          <w:marLeft w:val="0"/>
          <w:marRight w:val="0"/>
          <w:marTop w:val="0"/>
          <w:marBottom w:val="0"/>
          <w:divBdr>
            <w:top w:val="none" w:sz="0" w:space="0" w:color="auto"/>
            <w:left w:val="none" w:sz="0" w:space="0" w:color="auto"/>
            <w:bottom w:val="none" w:sz="0" w:space="0" w:color="auto"/>
            <w:right w:val="none" w:sz="0" w:space="0" w:color="auto"/>
          </w:divBdr>
        </w:div>
      </w:divsChild>
    </w:div>
    <w:div w:id="995187266">
      <w:bodyDiv w:val="1"/>
      <w:marLeft w:val="0"/>
      <w:marRight w:val="0"/>
      <w:marTop w:val="0"/>
      <w:marBottom w:val="0"/>
      <w:divBdr>
        <w:top w:val="none" w:sz="0" w:space="0" w:color="auto"/>
        <w:left w:val="none" w:sz="0" w:space="0" w:color="auto"/>
        <w:bottom w:val="none" w:sz="0" w:space="0" w:color="auto"/>
        <w:right w:val="none" w:sz="0" w:space="0" w:color="auto"/>
      </w:divBdr>
    </w:div>
    <w:div w:id="1021737457">
      <w:bodyDiv w:val="1"/>
      <w:marLeft w:val="0"/>
      <w:marRight w:val="0"/>
      <w:marTop w:val="0"/>
      <w:marBottom w:val="0"/>
      <w:divBdr>
        <w:top w:val="none" w:sz="0" w:space="0" w:color="auto"/>
        <w:left w:val="none" w:sz="0" w:space="0" w:color="auto"/>
        <w:bottom w:val="none" w:sz="0" w:space="0" w:color="auto"/>
        <w:right w:val="none" w:sz="0" w:space="0" w:color="auto"/>
      </w:divBdr>
      <w:divsChild>
        <w:div w:id="389425621">
          <w:marLeft w:val="0"/>
          <w:marRight w:val="0"/>
          <w:marTop w:val="0"/>
          <w:marBottom w:val="0"/>
          <w:divBdr>
            <w:top w:val="none" w:sz="0" w:space="0" w:color="auto"/>
            <w:left w:val="none" w:sz="0" w:space="0" w:color="auto"/>
            <w:bottom w:val="none" w:sz="0" w:space="0" w:color="auto"/>
            <w:right w:val="none" w:sz="0" w:space="0" w:color="auto"/>
          </w:divBdr>
        </w:div>
        <w:div w:id="418793058">
          <w:marLeft w:val="0"/>
          <w:marRight w:val="0"/>
          <w:marTop w:val="0"/>
          <w:marBottom w:val="0"/>
          <w:divBdr>
            <w:top w:val="none" w:sz="0" w:space="0" w:color="auto"/>
            <w:left w:val="none" w:sz="0" w:space="0" w:color="auto"/>
            <w:bottom w:val="none" w:sz="0" w:space="0" w:color="auto"/>
            <w:right w:val="none" w:sz="0" w:space="0" w:color="auto"/>
          </w:divBdr>
        </w:div>
        <w:div w:id="856430884">
          <w:marLeft w:val="0"/>
          <w:marRight w:val="0"/>
          <w:marTop w:val="0"/>
          <w:marBottom w:val="0"/>
          <w:divBdr>
            <w:top w:val="none" w:sz="0" w:space="0" w:color="auto"/>
            <w:left w:val="none" w:sz="0" w:space="0" w:color="auto"/>
            <w:bottom w:val="none" w:sz="0" w:space="0" w:color="auto"/>
            <w:right w:val="none" w:sz="0" w:space="0" w:color="auto"/>
          </w:divBdr>
        </w:div>
        <w:div w:id="1326010055">
          <w:marLeft w:val="0"/>
          <w:marRight w:val="0"/>
          <w:marTop w:val="0"/>
          <w:marBottom w:val="0"/>
          <w:divBdr>
            <w:top w:val="none" w:sz="0" w:space="0" w:color="auto"/>
            <w:left w:val="none" w:sz="0" w:space="0" w:color="auto"/>
            <w:bottom w:val="none" w:sz="0" w:space="0" w:color="auto"/>
            <w:right w:val="none" w:sz="0" w:space="0" w:color="auto"/>
          </w:divBdr>
        </w:div>
        <w:div w:id="1405682039">
          <w:marLeft w:val="0"/>
          <w:marRight w:val="0"/>
          <w:marTop w:val="0"/>
          <w:marBottom w:val="0"/>
          <w:divBdr>
            <w:top w:val="none" w:sz="0" w:space="0" w:color="auto"/>
            <w:left w:val="none" w:sz="0" w:space="0" w:color="auto"/>
            <w:bottom w:val="none" w:sz="0" w:space="0" w:color="auto"/>
            <w:right w:val="none" w:sz="0" w:space="0" w:color="auto"/>
          </w:divBdr>
        </w:div>
        <w:div w:id="1724481101">
          <w:marLeft w:val="0"/>
          <w:marRight w:val="0"/>
          <w:marTop w:val="0"/>
          <w:marBottom w:val="0"/>
          <w:divBdr>
            <w:top w:val="none" w:sz="0" w:space="0" w:color="auto"/>
            <w:left w:val="none" w:sz="0" w:space="0" w:color="auto"/>
            <w:bottom w:val="none" w:sz="0" w:space="0" w:color="auto"/>
            <w:right w:val="none" w:sz="0" w:space="0" w:color="auto"/>
          </w:divBdr>
        </w:div>
        <w:div w:id="1748840613">
          <w:marLeft w:val="0"/>
          <w:marRight w:val="0"/>
          <w:marTop w:val="0"/>
          <w:marBottom w:val="0"/>
          <w:divBdr>
            <w:top w:val="none" w:sz="0" w:space="0" w:color="auto"/>
            <w:left w:val="none" w:sz="0" w:space="0" w:color="auto"/>
            <w:bottom w:val="none" w:sz="0" w:space="0" w:color="auto"/>
            <w:right w:val="none" w:sz="0" w:space="0" w:color="auto"/>
          </w:divBdr>
        </w:div>
        <w:div w:id="2026664018">
          <w:marLeft w:val="0"/>
          <w:marRight w:val="0"/>
          <w:marTop w:val="0"/>
          <w:marBottom w:val="0"/>
          <w:divBdr>
            <w:top w:val="none" w:sz="0" w:space="0" w:color="auto"/>
            <w:left w:val="none" w:sz="0" w:space="0" w:color="auto"/>
            <w:bottom w:val="none" w:sz="0" w:space="0" w:color="auto"/>
            <w:right w:val="none" w:sz="0" w:space="0" w:color="auto"/>
          </w:divBdr>
        </w:div>
      </w:divsChild>
    </w:div>
    <w:div w:id="1058088987">
      <w:bodyDiv w:val="1"/>
      <w:marLeft w:val="0"/>
      <w:marRight w:val="0"/>
      <w:marTop w:val="0"/>
      <w:marBottom w:val="0"/>
      <w:divBdr>
        <w:top w:val="none" w:sz="0" w:space="0" w:color="auto"/>
        <w:left w:val="none" w:sz="0" w:space="0" w:color="auto"/>
        <w:bottom w:val="none" w:sz="0" w:space="0" w:color="auto"/>
        <w:right w:val="none" w:sz="0" w:space="0" w:color="auto"/>
      </w:divBdr>
      <w:divsChild>
        <w:div w:id="41222251">
          <w:marLeft w:val="0"/>
          <w:marRight w:val="0"/>
          <w:marTop w:val="0"/>
          <w:marBottom w:val="0"/>
          <w:divBdr>
            <w:top w:val="none" w:sz="0" w:space="0" w:color="auto"/>
            <w:left w:val="none" w:sz="0" w:space="0" w:color="auto"/>
            <w:bottom w:val="none" w:sz="0" w:space="0" w:color="auto"/>
            <w:right w:val="none" w:sz="0" w:space="0" w:color="auto"/>
          </w:divBdr>
        </w:div>
        <w:div w:id="389690974">
          <w:marLeft w:val="0"/>
          <w:marRight w:val="0"/>
          <w:marTop w:val="0"/>
          <w:marBottom w:val="0"/>
          <w:divBdr>
            <w:top w:val="none" w:sz="0" w:space="0" w:color="auto"/>
            <w:left w:val="none" w:sz="0" w:space="0" w:color="auto"/>
            <w:bottom w:val="none" w:sz="0" w:space="0" w:color="auto"/>
            <w:right w:val="none" w:sz="0" w:space="0" w:color="auto"/>
          </w:divBdr>
        </w:div>
        <w:div w:id="428429545">
          <w:marLeft w:val="0"/>
          <w:marRight w:val="0"/>
          <w:marTop w:val="0"/>
          <w:marBottom w:val="0"/>
          <w:divBdr>
            <w:top w:val="none" w:sz="0" w:space="0" w:color="auto"/>
            <w:left w:val="none" w:sz="0" w:space="0" w:color="auto"/>
            <w:bottom w:val="none" w:sz="0" w:space="0" w:color="auto"/>
            <w:right w:val="none" w:sz="0" w:space="0" w:color="auto"/>
          </w:divBdr>
        </w:div>
        <w:div w:id="492917171">
          <w:marLeft w:val="0"/>
          <w:marRight w:val="0"/>
          <w:marTop w:val="0"/>
          <w:marBottom w:val="0"/>
          <w:divBdr>
            <w:top w:val="none" w:sz="0" w:space="0" w:color="auto"/>
            <w:left w:val="none" w:sz="0" w:space="0" w:color="auto"/>
            <w:bottom w:val="none" w:sz="0" w:space="0" w:color="auto"/>
            <w:right w:val="none" w:sz="0" w:space="0" w:color="auto"/>
          </w:divBdr>
        </w:div>
        <w:div w:id="493448294">
          <w:marLeft w:val="0"/>
          <w:marRight w:val="0"/>
          <w:marTop w:val="0"/>
          <w:marBottom w:val="0"/>
          <w:divBdr>
            <w:top w:val="none" w:sz="0" w:space="0" w:color="auto"/>
            <w:left w:val="none" w:sz="0" w:space="0" w:color="auto"/>
            <w:bottom w:val="none" w:sz="0" w:space="0" w:color="auto"/>
            <w:right w:val="none" w:sz="0" w:space="0" w:color="auto"/>
          </w:divBdr>
        </w:div>
        <w:div w:id="602762582">
          <w:marLeft w:val="0"/>
          <w:marRight w:val="0"/>
          <w:marTop w:val="0"/>
          <w:marBottom w:val="0"/>
          <w:divBdr>
            <w:top w:val="none" w:sz="0" w:space="0" w:color="auto"/>
            <w:left w:val="none" w:sz="0" w:space="0" w:color="auto"/>
            <w:bottom w:val="none" w:sz="0" w:space="0" w:color="auto"/>
            <w:right w:val="none" w:sz="0" w:space="0" w:color="auto"/>
          </w:divBdr>
        </w:div>
        <w:div w:id="777874056">
          <w:marLeft w:val="0"/>
          <w:marRight w:val="0"/>
          <w:marTop w:val="0"/>
          <w:marBottom w:val="0"/>
          <w:divBdr>
            <w:top w:val="none" w:sz="0" w:space="0" w:color="auto"/>
            <w:left w:val="none" w:sz="0" w:space="0" w:color="auto"/>
            <w:bottom w:val="none" w:sz="0" w:space="0" w:color="auto"/>
            <w:right w:val="none" w:sz="0" w:space="0" w:color="auto"/>
          </w:divBdr>
        </w:div>
        <w:div w:id="1731926392">
          <w:marLeft w:val="0"/>
          <w:marRight w:val="0"/>
          <w:marTop w:val="0"/>
          <w:marBottom w:val="0"/>
          <w:divBdr>
            <w:top w:val="none" w:sz="0" w:space="0" w:color="auto"/>
            <w:left w:val="none" w:sz="0" w:space="0" w:color="auto"/>
            <w:bottom w:val="none" w:sz="0" w:space="0" w:color="auto"/>
            <w:right w:val="none" w:sz="0" w:space="0" w:color="auto"/>
          </w:divBdr>
        </w:div>
      </w:divsChild>
    </w:div>
    <w:div w:id="1115053309">
      <w:bodyDiv w:val="1"/>
      <w:marLeft w:val="0"/>
      <w:marRight w:val="0"/>
      <w:marTop w:val="0"/>
      <w:marBottom w:val="0"/>
      <w:divBdr>
        <w:top w:val="none" w:sz="0" w:space="0" w:color="auto"/>
        <w:left w:val="none" w:sz="0" w:space="0" w:color="auto"/>
        <w:bottom w:val="none" w:sz="0" w:space="0" w:color="auto"/>
        <w:right w:val="none" w:sz="0" w:space="0" w:color="auto"/>
      </w:divBdr>
      <w:divsChild>
        <w:div w:id="931595256">
          <w:marLeft w:val="0"/>
          <w:marRight w:val="0"/>
          <w:marTop w:val="15"/>
          <w:marBottom w:val="0"/>
          <w:divBdr>
            <w:top w:val="none" w:sz="0" w:space="0" w:color="auto"/>
            <w:left w:val="none" w:sz="0" w:space="0" w:color="auto"/>
            <w:bottom w:val="none" w:sz="0" w:space="0" w:color="auto"/>
            <w:right w:val="none" w:sz="0" w:space="0" w:color="auto"/>
          </w:divBdr>
          <w:divsChild>
            <w:div w:id="331104959">
              <w:marLeft w:val="0"/>
              <w:marRight w:val="0"/>
              <w:marTop w:val="0"/>
              <w:marBottom w:val="0"/>
              <w:divBdr>
                <w:top w:val="single" w:sz="6" w:space="0" w:color="808080"/>
                <w:left w:val="single" w:sz="6" w:space="0" w:color="808080"/>
                <w:bottom w:val="single" w:sz="6" w:space="0" w:color="808080"/>
                <w:right w:val="single" w:sz="6" w:space="0" w:color="808080"/>
              </w:divBdr>
              <w:divsChild>
                <w:div w:id="454522903">
                  <w:marLeft w:val="0"/>
                  <w:marRight w:val="0"/>
                  <w:marTop w:val="0"/>
                  <w:marBottom w:val="0"/>
                  <w:divBdr>
                    <w:top w:val="none" w:sz="0" w:space="0" w:color="auto"/>
                    <w:left w:val="none" w:sz="0" w:space="0" w:color="auto"/>
                    <w:bottom w:val="none" w:sz="0" w:space="0" w:color="auto"/>
                    <w:right w:val="none" w:sz="0" w:space="0" w:color="auto"/>
                  </w:divBdr>
                </w:div>
                <w:div w:id="528110980">
                  <w:marLeft w:val="0"/>
                  <w:marRight w:val="0"/>
                  <w:marTop w:val="0"/>
                  <w:marBottom w:val="0"/>
                  <w:divBdr>
                    <w:top w:val="none" w:sz="0" w:space="0" w:color="auto"/>
                    <w:left w:val="none" w:sz="0" w:space="0" w:color="auto"/>
                    <w:bottom w:val="none" w:sz="0" w:space="0" w:color="auto"/>
                    <w:right w:val="none" w:sz="0" w:space="0" w:color="auto"/>
                  </w:divBdr>
                </w:div>
                <w:div w:id="872231044">
                  <w:marLeft w:val="0"/>
                  <w:marRight w:val="0"/>
                  <w:marTop w:val="0"/>
                  <w:marBottom w:val="0"/>
                  <w:divBdr>
                    <w:top w:val="none" w:sz="0" w:space="0" w:color="auto"/>
                    <w:left w:val="none" w:sz="0" w:space="0" w:color="auto"/>
                    <w:bottom w:val="none" w:sz="0" w:space="0" w:color="auto"/>
                    <w:right w:val="none" w:sz="0" w:space="0" w:color="auto"/>
                  </w:divBdr>
                </w:div>
                <w:div w:id="1131629705">
                  <w:marLeft w:val="0"/>
                  <w:marRight w:val="0"/>
                  <w:marTop w:val="0"/>
                  <w:marBottom w:val="0"/>
                  <w:divBdr>
                    <w:top w:val="none" w:sz="0" w:space="0" w:color="auto"/>
                    <w:left w:val="none" w:sz="0" w:space="0" w:color="auto"/>
                    <w:bottom w:val="none" w:sz="0" w:space="0" w:color="auto"/>
                    <w:right w:val="none" w:sz="0" w:space="0" w:color="auto"/>
                  </w:divBdr>
                </w:div>
                <w:div w:id="1240867271">
                  <w:marLeft w:val="0"/>
                  <w:marRight w:val="0"/>
                  <w:marTop w:val="0"/>
                  <w:marBottom w:val="0"/>
                  <w:divBdr>
                    <w:top w:val="none" w:sz="0" w:space="0" w:color="auto"/>
                    <w:left w:val="none" w:sz="0" w:space="0" w:color="auto"/>
                    <w:bottom w:val="none" w:sz="0" w:space="0" w:color="auto"/>
                    <w:right w:val="none" w:sz="0" w:space="0" w:color="auto"/>
                  </w:divBdr>
                </w:div>
                <w:div w:id="1281305430">
                  <w:marLeft w:val="0"/>
                  <w:marRight w:val="0"/>
                  <w:marTop w:val="0"/>
                  <w:marBottom w:val="0"/>
                  <w:divBdr>
                    <w:top w:val="none" w:sz="0" w:space="0" w:color="auto"/>
                    <w:left w:val="none" w:sz="0" w:space="0" w:color="auto"/>
                    <w:bottom w:val="none" w:sz="0" w:space="0" w:color="auto"/>
                    <w:right w:val="none" w:sz="0" w:space="0" w:color="auto"/>
                  </w:divBdr>
                </w:div>
                <w:div w:id="1326011223">
                  <w:marLeft w:val="0"/>
                  <w:marRight w:val="0"/>
                  <w:marTop w:val="0"/>
                  <w:marBottom w:val="0"/>
                  <w:divBdr>
                    <w:top w:val="none" w:sz="0" w:space="0" w:color="auto"/>
                    <w:left w:val="none" w:sz="0" w:space="0" w:color="auto"/>
                    <w:bottom w:val="none" w:sz="0" w:space="0" w:color="auto"/>
                    <w:right w:val="none" w:sz="0" w:space="0" w:color="auto"/>
                  </w:divBdr>
                </w:div>
                <w:div w:id="1403484294">
                  <w:marLeft w:val="0"/>
                  <w:marRight w:val="0"/>
                  <w:marTop w:val="0"/>
                  <w:marBottom w:val="0"/>
                  <w:divBdr>
                    <w:top w:val="none" w:sz="0" w:space="0" w:color="auto"/>
                    <w:left w:val="none" w:sz="0" w:space="0" w:color="auto"/>
                    <w:bottom w:val="none" w:sz="0" w:space="0" w:color="auto"/>
                    <w:right w:val="none" w:sz="0" w:space="0" w:color="auto"/>
                  </w:divBdr>
                </w:div>
                <w:div w:id="1442726055">
                  <w:marLeft w:val="0"/>
                  <w:marRight w:val="0"/>
                  <w:marTop w:val="0"/>
                  <w:marBottom w:val="0"/>
                  <w:divBdr>
                    <w:top w:val="none" w:sz="0" w:space="0" w:color="auto"/>
                    <w:left w:val="none" w:sz="0" w:space="0" w:color="auto"/>
                    <w:bottom w:val="none" w:sz="0" w:space="0" w:color="auto"/>
                    <w:right w:val="none" w:sz="0" w:space="0" w:color="auto"/>
                  </w:divBdr>
                </w:div>
                <w:div w:id="1580016925">
                  <w:marLeft w:val="0"/>
                  <w:marRight w:val="0"/>
                  <w:marTop w:val="0"/>
                  <w:marBottom w:val="0"/>
                  <w:divBdr>
                    <w:top w:val="none" w:sz="0" w:space="0" w:color="auto"/>
                    <w:left w:val="none" w:sz="0" w:space="0" w:color="auto"/>
                    <w:bottom w:val="none" w:sz="0" w:space="0" w:color="auto"/>
                    <w:right w:val="none" w:sz="0" w:space="0" w:color="auto"/>
                  </w:divBdr>
                </w:div>
                <w:div w:id="1605529177">
                  <w:marLeft w:val="0"/>
                  <w:marRight w:val="0"/>
                  <w:marTop w:val="0"/>
                  <w:marBottom w:val="0"/>
                  <w:divBdr>
                    <w:top w:val="none" w:sz="0" w:space="0" w:color="auto"/>
                    <w:left w:val="none" w:sz="0" w:space="0" w:color="auto"/>
                    <w:bottom w:val="none" w:sz="0" w:space="0" w:color="auto"/>
                    <w:right w:val="none" w:sz="0" w:space="0" w:color="auto"/>
                  </w:divBdr>
                </w:div>
                <w:div w:id="1680963481">
                  <w:marLeft w:val="0"/>
                  <w:marRight w:val="0"/>
                  <w:marTop w:val="0"/>
                  <w:marBottom w:val="0"/>
                  <w:divBdr>
                    <w:top w:val="none" w:sz="0" w:space="0" w:color="auto"/>
                    <w:left w:val="none" w:sz="0" w:space="0" w:color="auto"/>
                    <w:bottom w:val="none" w:sz="0" w:space="0" w:color="auto"/>
                    <w:right w:val="none" w:sz="0" w:space="0" w:color="auto"/>
                  </w:divBdr>
                </w:div>
                <w:div w:id="1798449225">
                  <w:marLeft w:val="0"/>
                  <w:marRight w:val="0"/>
                  <w:marTop w:val="0"/>
                  <w:marBottom w:val="0"/>
                  <w:divBdr>
                    <w:top w:val="none" w:sz="0" w:space="0" w:color="auto"/>
                    <w:left w:val="none" w:sz="0" w:space="0" w:color="auto"/>
                    <w:bottom w:val="none" w:sz="0" w:space="0" w:color="auto"/>
                    <w:right w:val="none" w:sz="0" w:space="0" w:color="auto"/>
                  </w:divBdr>
                </w:div>
                <w:div w:id="1885671379">
                  <w:marLeft w:val="0"/>
                  <w:marRight w:val="0"/>
                  <w:marTop w:val="0"/>
                  <w:marBottom w:val="0"/>
                  <w:divBdr>
                    <w:top w:val="none" w:sz="0" w:space="0" w:color="auto"/>
                    <w:left w:val="none" w:sz="0" w:space="0" w:color="auto"/>
                    <w:bottom w:val="none" w:sz="0" w:space="0" w:color="auto"/>
                    <w:right w:val="none" w:sz="0" w:space="0" w:color="auto"/>
                  </w:divBdr>
                </w:div>
                <w:div w:id="1902515901">
                  <w:marLeft w:val="0"/>
                  <w:marRight w:val="0"/>
                  <w:marTop w:val="0"/>
                  <w:marBottom w:val="0"/>
                  <w:divBdr>
                    <w:top w:val="none" w:sz="0" w:space="0" w:color="auto"/>
                    <w:left w:val="none" w:sz="0" w:space="0" w:color="auto"/>
                    <w:bottom w:val="none" w:sz="0" w:space="0" w:color="auto"/>
                    <w:right w:val="none" w:sz="0" w:space="0" w:color="auto"/>
                  </w:divBdr>
                </w:div>
                <w:div w:id="191380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682567">
          <w:marLeft w:val="0"/>
          <w:marRight w:val="0"/>
          <w:marTop w:val="15"/>
          <w:marBottom w:val="0"/>
          <w:divBdr>
            <w:top w:val="none" w:sz="0" w:space="0" w:color="auto"/>
            <w:left w:val="none" w:sz="0" w:space="0" w:color="auto"/>
            <w:bottom w:val="none" w:sz="0" w:space="0" w:color="auto"/>
            <w:right w:val="none" w:sz="0" w:space="0" w:color="auto"/>
          </w:divBdr>
          <w:divsChild>
            <w:div w:id="2052613639">
              <w:marLeft w:val="0"/>
              <w:marRight w:val="0"/>
              <w:marTop w:val="0"/>
              <w:marBottom w:val="0"/>
              <w:divBdr>
                <w:top w:val="single" w:sz="6" w:space="0" w:color="808080"/>
                <w:left w:val="single" w:sz="6" w:space="0" w:color="808080"/>
                <w:bottom w:val="single" w:sz="6" w:space="0" w:color="808080"/>
                <w:right w:val="single" w:sz="6" w:space="0" w:color="808080"/>
              </w:divBdr>
              <w:divsChild>
                <w:div w:id="134421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538098">
      <w:bodyDiv w:val="1"/>
      <w:marLeft w:val="0"/>
      <w:marRight w:val="0"/>
      <w:marTop w:val="0"/>
      <w:marBottom w:val="0"/>
      <w:divBdr>
        <w:top w:val="none" w:sz="0" w:space="0" w:color="auto"/>
        <w:left w:val="none" w:sz="0" w:space="0" w:color="auto"/>
        <w:bottom w:val="none" w:sz="0" w:space="0" w:color="auto"/>
        <w:right w:val="none" w:sz="0" w:space="0" w:color="auto"/>
      </w:divBdr>
      <w:divsChild>
        <w:div w:id="234825413">
          <w:marLeft w:val="0"/>
          <w:marRight w:val="0"/>
          <w:marTop w:val="0"/>
          <w:marBottom w:val="0"/>
          <w:divBdr>
            <w:top w:val="none" w:sz="0" w:space="0" w:color="auto"/>
            <w:left w:val="none" w:sz="0" w:space="0" w:color="auto"/>
            <w:bottom w:val="none" w:sz="0" w:space="0" w:color="auto"/>
            <w:right w:val="none" w:sz="0" w:space="0" w:color="auto"/>
          </w:divBdr>
        </w:div>
        <w:div w:id="372272639">
          <w:marLeft w:val="0"/>
          <w:marRight w:val="0"/>
          <w:marTop w:val="0"/>
          <w:marBottom w:val="0"/>
          <w:divBdr>
            <w:top w:val="none" w:sz="0" w:space="0" w:color="auto"/>
            <w:left w:val="none" w:sz="0" w:space="0" w:color="auto"/>
            <w:bottom w:val="none" w:sz="0" w:space="0" w:color="auto"/>
            <w:right w:val="none" w:sz="0" w:space="0" w:color="auto"/>
          </w:divBdr>
        </w:div>
        <w:div w:id="428352892">
          <w:marLeft w:val="0"/>
          <w:marRight w:val="0"/>
          <w:marTop w:val="0"/>
          <w:marBottom w:val="0"/>
          <w:divBdr>
            <w:top w:val="none" w:sz="0" w:space="0" w:color="auto"/>
            <w:left w:val="none" w:sz="0" w:space="0" w:color="auto"/>
            <w:bottom w:val="none" w:sz="0" w:space="0" w:color="auto"/>
            <w:right w:val="none" w:sz="0" w:space="0" w:color="auto"/>
          </w:divBdr>
        </w:div>
        <w:div w:id="1035891249">
          <w:marLeft w:val="0"/>
          <w:marRight w:val="0"/>
          <w:marTop w:val="0"/>
          <w:marBottom w:val="0"/>
          <w:divBdr>
            <w:top w:val="none" w:sz="0" w:space="0" w:color="auto"/>
            <w:left w:val="none" w:sz="0" w:space="0" w:color="auto"/>
            <w:bottom w:val="none" w:sz="0" w:space="0" w:color="auto"/>
            <w:right w:val="none" w:sz="0" w:space="0" w:color="auto"/>
          </w:divBdr>
        </w:div>
        <w:div w:id="1211724824">
          <w:marLeft w:val="0"/>
          <w:marRight w:val="0"/>
          <w:marTop w:val="0"/>
          <w:marBottom w:val="0"/>
          <w:divBdr>
            <w:top w:val="none" w:sz="0" w:space="0" w:color="auto"/>
            <w:left w:val="none" w:sz="0" w:space="0" w:color="auto"/>
            <w:bottom w:val="none" w:sz="0" w:space="0" w:color="auto"/>
            <w:right w:val="none" w:sz="0" w:space="0" w:color="auto"/>
          </w:divBdr>
        </w:div>
        <w:div w:id="1516843794">
          <w:marLeft w:val="0"/>
          <w:marRight w:val="0"/>
          <w:marTop w:val="0"/>
          <w:marBottom w:val="0"/>
          <w:divBdr>
            <w:top w:val="none" w:sz="0" w:space="0" w:color="auto"/>
            <w:left w:val="none" w:sz="0" w:space="0" w:color="auto"/>
            <w:bottom w:val="none" w:sz="0" w:space="0" w:color="auto"/>
            <w:right w:val="none" w:sz="0" w:space="0" w:color="auto"/>
          </w:divBdr>
        </w:div>
        <w:div w:id="1520849873">
          <w:marLeft w:val="0"/>
          <w:marRight w:val="0"/>
          <w:marTop w:val="0"/>
          <w:marBottom w:val="0"/>
          <w:divBdr>
            <w:top w:val="none" w:sz="0" w:space="0" w:color="auto"/>
            <w:left w:val="none" w:sz="0" w:space="0" w:color="auto"/>
            <w:bottom w:val="none" w:sz="0" w:space="0" w:color="auto"/>
            <w:right w:val="none" w:sz="0" w:space="0" w:color="auto"/>
          </w:divBdr>
        </w:div>
        <w:div w:id="1646356849">
          <w:marLeft w:val="0"/>
          <w:marRight w:val="0"/>
          <w:marTop w:val="0"/>
          <w:marBottom w:val="0"/>
          <w:divBdr>
            <w:top w:val="none" w:sz="0" w:space="0" w:color="auto"/>
            <w:left w:val="none" w:sz="0" w:space="0" w:color="auto"/>
            <w:bottom w:val="none" w:sz="0" w:space="0" w:color="auto"/>
            <w:right w:val="none" w:sz="0" w:space="0" w:color="auto"/>
          </w:divBdr>
        </w:div>
        <w:div w:id="1767118631">
          <w:marLeft w:val="0"/>
          <w:marRight w:val="0"/>
          <w:marTop w:val="0"/>
          <w:marBottom w:val="0"/>
          <w:divBdr>
            <w:top w:val="none" w:sz="0" w:space="0" w:color="auto"/>
            <w:left w:val="none" w:sz="0" w:space="0" w:color="auto"/>
            <w:bottom w:val="none" w:sz="0" w:space="0" w:color="auto"/>
            <w:right w:val="none" w:sz="0" w:space="0" w:color="auto"/>
          </w:divBdr>
        </w:div>
        <w:div w:id="1803420772">
          <w:marLeft w:val="0"/>
          <w:marRight w:val="0"/>
          <w:marTop w:val="0"/>
          <w:marBottom w:val="0"/>
          <w:divBdr>
            <w:top w:val="none" w:sz="0" w:space="0" w:color="auto"/>
            <w:left w:val="none" w:sz="0" w:space="0" w:color="auto"/>
            <w:bottom w:val="none" w:sz="0" w:space="0" w:color="auto"/>
            <w:right w:val="none" w:sz="0" w:space="0" w:color="auto"/>
          </w:divBdr>
        </w:div>
        <w:div w:id="2012025479">
          <w:marLeft w:val="0"/>
          <w:marRight w:val="0"/>
          <w:marTop w:val="0"/>
          <w:marBottom w:val="0"/>
          <w:divBdr>
            <w:top w:val="none" w:sz="0" w:space="0" w:color="auto"/>
            <w:left w:val="none" w:sz="0" w:space="0" w:color="auto"/>
            <w:bottom w:val="none" w:sz="0" w:space="0" w:color="auto"/>
            <w:right w:val="none" w:sz="0" w:space="0" w:color="auto"/>
          </w:divBdr>
        </w:div>
      </w:divsChild>
    </w:div>
    <w:div w:id="1675301142">
      <w:bodyDiv w:val="1"/>
      <w:marLeft w:val="0"/>
      <w:marRight w:val="0"/>
      <w:marTop w:val="0"/>
      <w:marBottom w:val="0"/>
      <w:divBdr>
        <w:top w:val="none" w:sz="0" w:space="0" w:color="auto"/>
        <w:left w:val="none" w:sz="0" w:space="0" w:color="auto"/>
        <w:bottom w:val="none" w:sz="0" w:space="0" w:color="auto"/>
        <w:right w:val="none" w:sz="0" w:space="0" w:color="auto"/>
      </w:divBdr>
      <w:divsChild>
        <w:div w:id="656955297">
          <w:marLeft w:val="0"/>
          <w:marRight w:val="0"/>
          <w:marTop w:val="0"/>
          <w:marBottom w:val="0"/>
          <w:divBdr>
            <w:top w:val="none" w:sz="0" w:space="0" w:color="auto"/>
            <w:left w:val="none" w:sz="0" w:space="0" w:color="auto"/>
            <w:bottom w:val="none" w:sz="0" w:space="0" w:color="auto"/>
            <w:right w:val="none" w:sz="0" w:space="0" w:color="auto"/>
          </w:divBdr>
        </w:div>
        <w:div w:id="1135833693">
          <w:marLeft w:val="0"/>
          <w:marRight w:val="0"/>
          <w:marTop w:val="0"/>
          <w:marBottom w:val="0"/>
          <w:divBdr>
            <w:top w:val="none" w:sz="0" w:space="0" w:color="auto"/>
            <w:left w:val="none" w:sz="0" w:space="0" w:color="auto"/>
            <w:bottom w:val="none" w:sz="0" w:space="0" w:color="auto"/>
            <w:right w:val="none" w:sz="0" w:space="0" w:color="auto"/>
          </w:divBdr>
        </w:div>
        <w:div w:id="1955747383">
          <w:marLeft w:val="0"/>
          <w:marRight w:val="0"/>
          <w:marTop w:val="0"/>
          <w:marBottom w:val="0"/>
          <w:divBdr>
            <w:top w:val="none" w:sz="0" w:space="0" w:color="auto"/>
            <w:left w:val="none" w:sz="0" w:space="0" w:color="auto"/>
            <w:bottom w:val="none" w:sz="0" w:space="0" w:color="auto"/>
            <w:right w:val="none" w:sz="0" w:space="0" w:color="auto"/>
          </w:divBdr>
        </w:div>
      </w:divsChild>
    </w:div>
    <w:div w:id="1749618868">
      <w:bodyDiv w:val="1"/>
      <w:marLeft w:val="0"/>
      <w:marRight w:val="0"/>
      <w:marTop w:val="0"/>
      <w:marBottom w:val="0"/>
      <w:divBdr>
        <w:top w:val="none" w:sz="0" w:space="0" w:color="auto"/>
        <w:left w:val="none" w:sz="0" w:space="0" w:color="auto"/>
        <w:bottom w:val="none" w:sz="0" w:space="0" w:color="auto"/>
        <w:right w:val="none" w:sz="0" w:space="0" w:color="auto"/>
      </w:divBdr>
    </w:div>
    <w:div w:id="1760562489">
      <w:bodyDiv w:val="1"/>
      <w:marLeft w:val="0"/>
      <w:marRight w:val="0"/>
      <w:marTop w:val="0"/>
      <w:marBottom w:val="0"/>
      <w:divBdr>
        <w:top w:val="none" w:sz="0" w:space="0" w:color="auto"/>
        <w:left w:val="none" w:sz="0" w:space="0" w:color="auto"/>
        <w:bottom w:val="none" w:sz="0" w:space="0" w:color="auto"/>
        <w:right w:val="none" w:sz="0" w:space="0" w:color="auto"/>
      </w:divBdr>
    </w:div>
    <w:div w:id="1762292522">
      <w:bodyDiv w:val="1"/>
      <w:marLeft w:val="0"/>
      <w:marRight w:val="0"/>
      <w:marTop w:val="0"/>
      <w:marBottom w:val="0"/>
      <w:divBdr>
        <w:top w:val="none" w:sz="0" w:space="0" w:color="auto"/>
        <w:left w:val="none" w:sz="0" w:space="0" w:color="auto"/>
        <w:bottom w:val="none" w:sz="0" w:space="0" w:color="auto"/>
        <w:right w:val="none" w:sz="0" w:space="0" w:color="auto"/>
      </w:divBdr>
      <w:divsChild>
        <w:div w:id="411585596">
          <w:marLeft w:val="0"/>
          <w:marRight w:val="0"/>
          <w:marTop w:val="0"/>
          <w:marBottom w:val="0"/>
          <w:divBdr>
            <w:top w:val="none" w:sz="0" w:space="0" w:color="auto"/>
            <w:left w:val="none" w:sz="0" w:space="0" w:color="auto"/>
            <w:bottom w:val="none" w:sz="0" w:space="0" w:color="auto"/>
            <w:right w:val="none" w:sz="0" w:space="0" w:color="auto"/>
          </w:divBdr>
        </w:div>
        <w:div w:id="444933261">
          <w:marLeft w:val="0"/>
          <w:marRight w:val="0"/>
          <w:marTop w:val="0"/>
          <w:marBottom w:val="0"/>
          <w:divBdr>
            <w:top w:val="none" w:sz="0" w:space="0" w:color="auto"/>
            <w:left w:val="none" w:sz="0" w:space="0" w:color="auto"/>
            <w:bottom w:val="none" w:sz="0" w:space="0" w:color="auto"/>
            <w:right w:val="none" w:sz="0" w:space="0" w:color="auto"/>
          </w:divBdr>
        </w:div>
        <w:div w:id="558634293">
          <w:marLeft w:val="0"/>
          <w:marRight w:val="0"/>
          <w:marTop w:val="0"/>
          <w:marBottom w:val="0"/>
          <w:divBdr>
            <w:top w:val="none" w:sz="0" w:space="0" w:color="auto"/>
            <w:left w:val="none" w:sz="0" w:space="0" w:color="auto"/>
            <w:bottom w:val="none" w:sz="0" w:space="0" w:color="auto"/>
            <w:right w:val="none" w:sz="0" w:space="0" w:color="auto"/>
          </w:divBdr>
        </w:div>
        <w:div w:id="1160927725">
          <w:marLeft w:val="0"/>
          <w:marRight w:val="0"/>
          <w:marTop w:val="0"/>
          <w:marBottom w:val="0"/>
          <w:divBdr>
            <w:top w:val="none" w:sz="0" w:space="0" w:color="auto"/>
            <w:left w:val="none" w:sz="0" w:space="0" w:color="auto"/>
            <w:bottom w:val="none" w:sz="0" w:space="0" w:color="auto"/>
            <w:right w:val="none" w:sz="0" w:space="0" w:color="auto"/>
          </w:divBdr>
        </w:div>
        <w:div w:id="1231846024">
          <w:marLeft w:val="0"/>
          <w:marRight w:val="0"/>
          <w:marTop w:val="0"/>
          <w:marBottom w:val="0"/>
          <w:divBdr>
            <w:top w:val="none" w:sz="0" w:space="0" w:color="auto"/>
            <w:left w:val="none" w:sz="0" w:space="0" w:color="auto"/>
            <w:bottom w:val="none" w:sz="0" w:space="0" w:color="auto"/>
            <w:right w:val="none" w:sz="0" w:space="0" w:color="auto"/>
          </w:divBdr>
        </w:div>
        <w:div w:id="1335298735">
          <w:marLeft w:val="0"/>
          <w:marRight w:val="0"/>
          <w:marTop w:val="0"/>
          <w:marBottom w:val="0"/>
          <w:divBdr>
            <w:top w:val="none" w:sz="0" w:space="0" w:color="auto"/>
            <w:left w:val="none" w:sz="0" w:space="0" w:color="auto"/>
            <w:bottom w:val="none" w:sz="0" w:space="0" w:color="auto"/>
            <w:right w:val="none" w:sz="0" w:space="0" w:color="auto"/>
          </w:divBdr>
        </w:div>
        <w:div w:id="1678535735">
          <w:marLeft w:val="0"/>
          <w:marRight w:val="0"/>
          <w:marTop w:val="0"/>
          <w:marBottom w:val="0"/>
          <w:divBdr>
            <w:top w:val="none" w:sz="0" w:space="0" w:color="auto"/>
            <w:left w:val="none" w:sz="0" w:space="0" w:color="auto"/>
            <w:bottom w:val="none" w:sz="0" w:space="0" w:color="auto"/>
            <w:right w:val="none" w:sz="0" w:space="0" w:color="auto"/>
          </w:divBdr>
        </w:div>
        <w:div w:id="1728185144">
          <w:marLeft w:val="0"/>
          <w:marRight w:val="0"/>
          <w:marTop w:val="0"/>
          <w:marBottom w:val="0"/>
          <w:divBdr>
            <w:top w:val="none" w:sz="0" w:space="0" w:color="auto"/>
            <w:left w:val="none" w:sz="0" w:space="0" w:color="auto"/>
            <w:bottom w:val="none" w:sz="0" w:space="0" w:color="auto"/>
            <w:right w:val="none" w:sz="0" w:space="0" w:color="auto"/>
          </w:divBdr>
        </w:div>
        <w:div w:id="1896550185">
          <w:marLeft w:val="0"/>
          <w:marRight w:val="0"/>
          <w:marTop w:val="0"/>
          <w:marBottom w:val="0"/>
          <w:divBdr>
            <w:top w:val="none" w:sz="0" w:space="0" w:color="auto"/>
            <w:left w:val="none" w:sz="0" w:space="0" w:color="auto"/>
            <w:bottom w:val="none" w:sz="0" w:space="0" w:color="auto"/>
            <w:right w:val="none" w:sz="0" w:space="0" w:color="auto"/>
          </w:divBdr>
        </w:div>
        <w:div w:id="1936088994">
          <w:marLeft w:val="0"/>
          <w:marRight w:val="0"/>
          <w:marTop w:val="0"/>
          <w:marBottom w:val="0"/>
          <w:divBdr>
            <w:top w:val="none" w:sz="0" w:space="0" w:color="auto"/>
            <w:left w:val="none" w:sz="0" w:space="0" w:color="auto"/>
            <w:bottom w:val="none" w:sz="0" w:space="0" w:color="auto"/>
            <w:right w:val="none" w:sz="0" w:space="0" w:color="auto"/>
          </w:divBdr>
        </w:div>
        <w:div w:id="2142258627">
          <w:marLeft w:val="0"/>
          <w:marRight w:val="0"/>
          <w:marTop w:val="0"/>
          <w:marBottom w:val="0"/>
          <w:divBdr>
            <w:top w:val="none" w:sz="0" w:space="0" w:color="auto"/>
            <w:left w:val="none" w:sz="0" w:space="0" w:color="auto"/>
            <w:bottom w:val="none" w:sz="0" w:space="0" w:color="auto"/>
            <w:right w:val="none" w:sz="0" w:space="0" w:color="auto"/>
          </w:divBdr>
        </w:div>
      </w:divsChild>
    </w:div>
    <w:div w:id="1845823918">
      <w:bodyDiv w:val="1"/>
      <w:marLeft w:val="0"/>
      <w:marRight w:val="0"/>
      <w:marTop w:val="0"/>
      <w:marBottom w:val="0"/>
      <w:divBdr>
        <w:top w:val="none" w:sz="0" w:space="0" w:color="auto"/>
        <w:left w:val="none" w:sz="0" w:space="0" w:color="auto"/>
        <w:bottom w:val="none" w:sz="0" w:space="0" w:color="auto"/>
        <w:right w:val="none" w:sz="0" w:space="0" w:color="auto"/>
      </w:divBdr>
      <w:divsChild>
        <w:div w:id="1162432480">
          <w:marLeft w:val="0"/>
          <w:marRight w:val="0"/>
          <w:marTop w:val="0"/>
          <w:marBottom w:val="0"/>
          <w:divBdr>
            <w:top w:val="none" w:sz="0" w:space="0" w:color="auto"/>
            <w:left w:val="none" w:sz="0" w:space="0" w:color="auto"/>
            <w:bottom w:val="none" w:sz="0" w:space="0" w:color="auto"/>
            <w:right w:val="none" w:sz="0" w:space="0" w:color="auto"/>
          </w:divBdr>
        </w:div>
        <w:div w:id="1251156787">
          <w:marLeft w:val="0"/>
          <w:marRight w:val="0"/>
          <w:marTop w:val="0"/>
          <w:marBottom w:val="0"/>
          <w:divBdr>
            <w:top w:val="none" w:sz="0" w:space="0" w:color="auto"/>
            <w:left w:val="none" w:sz="0" w:space="0" w:color="auto"/>
            <w:bottom w:val="none" w:sz="0" w:space="0" w:color="auto"/>
            <w:right w:val="none" w:sz="0" w:space="0" w:color="auto"/>
          </w:divBdr>
        </w:div>
        <w:div w:id="1580599700">
          <w:marLeft w:val="0"/>
          <w:marRight w:val="0"/>
          <w:marTop w:val="0"/>
          <w:marBottom w:val="0"/>
          <w:divBdr>
            <w:top w:val="none" w:sz="0" w:space="0" w:color="auto"/>
            <w:left w:val="none" w:sz="0" w:space="0" w:color="auto"/>
            <w:bottom w:val="none" w:sz="0" w:space="0" w:color="auto"/>
            <w:right w:val="none" w:sz="0" w:space="0" w:color="auto"/>
          </w:divBdr>
        </w:div>
        <w:div w:id="1957638049">
          <w:marLeft w:val="0"/>
          <w:marRight w:val="0"/>
          <w:marTop w:val="0"/>
          <w:marBottom w:val="0"/>
          <w:divBdr>
            <w:top w:val="none" w:sz="0" w:space="0" w:color="auto"/>
            <w:left w:val="none" w:sz="0" w:space="0" w:color="auto"/>
            <w:bottom w:val="none" w:sz="0" w:space="0" w:color="auto"/>
            <w:right w:val="none" w:sz="0" w:space="0" w:color="auto"/>
          </w:divBdr>
        </w:div>
      </w:divsChild>
    </w:div>
    <w:div w:id="1900094079">
      <w:bodyDiv w:val="1"/>
      <w:marLeft w:val="0"/>
      <w:marRight w:val="0"/>
      <w:marTop w:val="0"/>
      <w:marBottom w:val="0"/>
      <w:divBdr>
        <w:top w:val="none" w:sz="0" w:space="0" w:color="auto"/>
        <w:left w:val="none" w:sz="0" w:space="0" w:color="auto"/>
        <w:bottom w:val="none" w:sz="0" w:space="0" w:color="auto"/>
        <w:right w:val="none" w:sz="0" w:space="0" w:color="auto"/>
      </w:divBdr>
      <w:divsChild>
        <w:div w:id="29382371">
          <w:marLeft w:val="0"/>
          <w:marRight w:val="0"/>
          <w:marTop w:val="0"/>
          <w:marBottom w:val="0"/>
          <w:divBdr>
            <w:top w:val="none" w:sz="0" w:space="0" w:color="auto"/>
            <w:left w:val="none" w:sz="0" w:space="0" w:color="auto"/>
            <w:bottom w:val="none" w:sz="0" w:space="0" w:color="auto"/>
            <w:right w:val="none" w:sz="0" w:space="0" w:color="auto"/>
          </w:divBdr>
        </w:div>
        <w:div w:id="79252812">
          <w:marLeft w:val="0"/>
          <w:marRight w:val="0"/>
          <w:marTop w:val="0"/>
          <w:marBottom w:val="0"/>
          <w:divBdr>
            <w:top w:val="none" w:sz="0" w:space="0" w:color="auto"/>
            <w:left w:val="none" w:sz="0" w:space="0" w:color="auto"/>
            <w:bottom w:val="none" w:sz="0" w:space="0" w:color="auto"/>
            <w:right w:val="none" w:sz="0" w:space="0" w:color="auto"/>
          </w:divBdr>
        </w:div>
        <w:div w:id="497769858">
          <w:marLeft w:val="0"/>
          <w:marRight w:val="0"/>
          <w:marTop w:val="0"/>
          <w:marBottom w:val="0"/>
          <w:divBdr>
            <w:top w:val="none" w:sz="0" w:space="0" w:color="auto"/>
            <w:left w:val="none" w:sz="0" w:space="0" w:color="auto"/>
            <w:bottom w:val="none" w:sz="0" w:space="0" w:color="auto"/>
            <w:right w:val="none" w:sz="0" w:space="0" w:color="auto"/>
          </w:divBdr>
        </w:div>
        <w:div w:id="834304037">
          <w:marLeft w:val="0"/>
          <w:marRight w:val="0"/>
          <w:marTop w:val="0"/>
          <w:marBottom w:val="0"/>
          <w:divBdr>
            <w:top w:val="none" w:sz="0" w:space="0" w:color="auto"/>
            <w:left w:val="none" w:sz="0" w:space="0" w:color="auto"/>
            <w:bottom w:val="none" w:sz="0" w:space="0" w:color="auto"/>
            <w:right w:val="none" w:sz="0" w:space="0" w:color="auto"/>
          </w:divBdr>
        </w:div>
        <w:div w:id="836770150">
          <w:marLeft w:val="0"/>
          <w:marRight w:val="0"/>
          <w:marTop w:val="0"/>
          <w:marBottom w:val="0"/>
          <w:divBdr>
            <w:top w:val="none" w:sz="0" w:space="0" w:color="auto"/>
            <w:left w:val="none" w:sz="0" w:space="0" w:color="auto"/>
            <w:bottom w:val="none" w:sz="0" w:space="0" w:color="auto"/>
            <w:right w:val="none" w:sz="0" w:space="0" w:color="auto"/>
          </w:divBdr>
        </w:div>
        <w:div w:id="906379652">
          <w:marLeft w:val="0"/>
          <w:marRight w:val="0"/>
          <w:marTop w:val="0"/>
          <w:marBottom w:val="0"/>
          <w:divBdr>
            <w:top w:val="none" w:sz="0" w:space="0" w:color="auto"/>
            <w:left w:val="none" w:sz="0" w:space="0" w:color="auto"/>
            <w:bottom w:val="none" w:sz="0" w:space="0" w:color="auto"/>
            <w:right w:val="none" w:sz="0" w:space="0" w:color="auto"/>
          </w:divBdr>
        </w:div>
        <w:div w:id="990794028">
          <w:marLeft w:val="0"/>
          <w:marRight w:val="0"/>
          <w:marTop w:val="0"/>
          <w:marBottom w:val="0"/>
          <w:divBdr>
            <w:top w:val="none" w:sz="0" w:space="0" w:color="auto"/>
            <w:left w:val="none" w:sz="0" w:space="0" w:color="auto"/>
            <w:bottom w:val="none" w:sz="0" w:space="0" w:color="auto"/>
            <w:right w:val="none" w:sz="0" w:space="0" w:color="auto"/>
          </w:divBdr>
        </w:div>
        <w:div w:id="1106460623">
          <w:marLeft w:val="0"/>
          <w:marRight w:val="0"/>
          <w:marTop w:val="0"/>
          <w:marBottom w:val="0"/>
          <w:divBdr>
            <w:top w:val="none" w:sz="0" w:space="0" w:color="auto"/>
            <w:left w:val="none" w:sz="0" w:space="0" w:color="auto"/>
            <w:bottom w:val="none" w:sz="0" w:space="0" w:color="auto"/>
            <w:right w:val="none" w:sz="0" w:space="0" w:color="auto"/>
          </w:divBdr>
        </w:div>
        <w:div w:id="1522352036">
          <w:marLeft w:val="0"/>
          <w:marRight w:val="0"/>
          <w:marTop w:val="0"/>
          <w:marBottom w:val="0"/>
          <w:divBdr>
            <w:top w:val="none" w:sz="0" w:space="0" w:color="auto"/>
            <w:left w:val="none" w:sz="0" w:space="0" w:color="auto"/>
            <w:bottom w:val="none" w:sz="0" w:space="0" w:color="auto"/>
            <w:right w:val="none" w:sz="0" w:space="0" w:color="auto"/>
          </w:divBdr>
        </w:div>
        <w:div w:id="1569731139">
          <w:marLeft w:val="0"/>
          <w:marRight w:val="0"/>
          <w:marTop w:val="0"/>
          <w:marBottom w:val="0"/>
          <w:divBdr>
            <w:top w:val="none" w:sz="0" w:space="0" w:color="auto"/>
            <w:left w:val="none" w:sz="0" w:space="0" w:color="auto"/>
            <w:bottom w:val="none" w:sz="0" w:space="0" w:color="auto"/>
            <w:right w:val="none" w:sz="0" w:space="0" w:color="auto"/>
          </w:divBdr>
        </w:div>
        <w:div w:id="1772162961">
          <w:marLeft w:val="0"/>
          <w:marRight w:val="0"/>
          <w:marTop w:val="0"/>
          <w:marBottom w:val="0"/>
          <w:divBdr>
            <w:top w:val="none" w:sz="0" w:space="0" w:color="auto"/>
            <w:left w:val="none" w:sz="0" w:space="0" w:color="auto"/>
            <w:bottom w:val="none" w:sz="0" w:space="0" w:color="auto"/>
            <w:right w:val="none" w:sz="0" w:space="0" w:color="auto"/>
          </w:divBdr>
        </w:div>
        <w:div w:id="1949770177">
          <w:marLeft w:val="0"/>
          <w:marRight w:val="0"/>
          <w:marTop w:val="0"/>
          <w:marBottom w:val="0"/>
          <w:divBdr>
            <w:top w:val="none" w:sz="0" w:space="0" w:color="auto"/>
            <w:left w:val="none" w:sz="0" w:space="0" w:color="auto"/>
            <w:bottom w:val="none" w:sz="0" w:space="0" w:color="auto"/>
            <w:right w:val="none" w:sz="0" w:space="0" w:color="auto"/>
          </w:divBdr>
        </w:div>
        <w:div w:id="2051832393">
          <w:marLeft w:val="0"/>
          <w:marRight w:val="0"/>
          <w:marTop w:val="0"/>
          <w:marBottom w:val="0"/>
          <w:divBdr>
            <w:top w:val="none" w:sz="0" w:space="0" w:color="auto"/>
            <w:left w:val="none" w:sz="0" w:space="0" w:color="auto"/>
            <w:bottom w:val="none" w:sz="0" w:space="0" w:color="auto"/>
            <w:right w:val="none" w:sz="0" w:space="0" w:color="auto"/>
          </w:divBdr>
        </w:div>
      </w:divsChild>
    </w:div>
    <w:div w:id="1947347687">
      <w:bodyDiv w:val="1"/>
      <w:marLeft w:val="0"/>
      <w:marRight w:val="0"/>
      <w:marTop w:val="0"/>
      <w:marBottom w:val="0"/>
      <w:divBdr>
        <w:top w:val="none" w:sz="0" w:space="0" w:color="auto"/>
        <w:left w:val="none" w:sz="0" w:space="0" w:color="auto"/>
        <w:bottom w:val="none" w:sz="0" w:space="0" w:color="auto"/>
        <w:right w:val="none" w:sz="0" w:space="0" w:color="auto"/>
      </w:divBdr>
      <w:divsChild>
        <w:div w:id="1696229535">
          <w:marLeft w:val="0"/>
          <w:marRight w:val="0"/>
          <w:marTop w:val="15"/>
          <w:marBottom w:val="0"/>
          <w:divBdr>
            <w:top w:val="none" w:sz="0" w:space="0" w:color="auto"/>
            <w:left w:val="none" w:sz="0" w:space="0" w:color="auto"/>
            <w:bottom w:val="none" w:sz="0" w:space="0" w:color="auto"/>
            <w:right w:val="none" w:sz="0" w:space="0" w:color="auto"/>
          </w:divBdr>
          <w:divsChild>
            <w:div w:id="1199931290">
              <w:marLeft w:val="0"/>
              <w:marRight w:val="0"/>
              <w:marTop w:val="0"/>
              <w:marBottom w:val="0"/>
              <w:divBdr>
                <w:top w:val="single" w:sz="6" w:space="0" w:color="808080"/>
                <w:left w:val="single" w:sz="6" w:space="0" w:color="808080"/>
                <w:bottom w:val="single" w:sz="6" w:space="0" w:color="808080"/>
                <w:right w:val="single" w:sz="6" w:space="0" w:color="808080"/>
              </w:divBdr>
              <w:divsChild>
                <w:div w:id="736632885">
                  <w:marLeft w:val="0"/>
                  <w:marRight w:val="0"/>
                  <w:marTop w:val="0"/>
                  <w:marBottom w:val="0"/>
                  <w:divBdr>
                    <w:top w:val="none" w:sz="0" w:space="0" w:color="auto"/>
                    <w:left w:val="none" w:sz="0" w:space="0" w:color="auto"/>
                    <w:bottom w:val="none" w:sz="0" w:space="0" w:color="auto"/>
                    <w:right w:val="none" w:sz="0" w:space="0" w:color="auto"/>
                  </w:divBdr>
                </w:div>
                <w:div w:id="812064508">
                  <w:marLeft w:val="0"/>
                  <w:marRight w:val="0"/>
                  <w:marTop w:val="0"/>
                  <w:marBottom w:val="0"/>
                  <w:divBdr>
                    <w:top w:val="none" w:sz="0" w:space="0" w:color="auto"/>
                    <w:left w:val="none" w:sz="0" w:space="0" w:color="auto"/>
                    <w:bottom w:val="none" w:sz="0" w:space="0" w:color="auto"/>
                    <w:right w:val="none" w:sz="0" w:space="0" w:color="auto"/>
                  </w:divBdr>
                </w:div>
                <w:div w:id="819813430">
                  <w:marLeft w:val="0"/>
                  <w:marRight w:val="0"/>
                  <w:marTop w:val="0"/>
                  <w:marBottom w:val="0"/>
                  <w:divBdr>
                    <w:top w:val="none" w:sz="0" w:space="0" w:color="auto"/>
                    <w:left w:val="none" w:sz="0" w:space="0" w:color="auto"/>
                    <w:bottom w:val="none" w:sz="0" w:space="0" w:color="auto"/>
                    <w:right w:val="none" w:sz="0" w:space="0" w:color="auto"/>
                  </w:divBdr>
                </w:div>
                <w:div w:id="990669040">
                  <w:marLeft w:val="0"/>
                  <w:marRight w:val="0"/>
                  <w:marTop w:val="0"/>
                  <w:marBottom w:val="0"/>
                  <w:divBdr>
                    <w:top w:val="none" w:sz="0" w:space="0" w:color="auto"/>
                    <w:left w:val="none" w:sz="0" w:space="0" w:color="auto"/>
                    <w:bottom w:val="none" w:sz="0" w:space="0" w:color="auto"/>
                    <w:right w:val="none" w:sz="0" w:space="0" w:color="auto"/>
                  </w:divBdr>
                </w:div>
                <w:div w:id="1702124723">
                  <w:marLeft w:val="0"/>
                  <w:marRight w:val="0"/>
                  <w:marTop w:val="0"/>
                  <w:marBottom w:val="0"/>
                  <w:divBdr>
                    <w:top w:val="none" w:sz="0" w:space="0" w:color="auto"/>
                    <w:left w:val="none" w:sz="0" w:space="0" w:color="auto"/>
                    <w:bottom w:val="none" w:sz="0" w:space="0" w:color="auto"/>
                    <w:right w:val="none" w:sz="0" w:space="0" w:color="auto"/>
                  </w:divBdr>
                </w:div>
                <w:div w:id="171253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530962">
          <w:marLeft w:val="0"/>
          <w:marRight w:val="0"/>
          <w:marTop w:val="15"/>
          <w:marBottom w:val="0"/>
          <w:divBdr>
            <w:top w:val="none" w:sz="0" w:space="0" w:color="auto"/>
            <w:left w:val="none" w:sz="0" w:space="0" w:color="auto"/>
            <w:bottom w:val="none" w:sz="0" w:space="0" w:color="auto"/>
            <w:right w:val="none" w:sz="0" w:space="0" w:color="auto"/>
          </w:divBdr>
          <w:divsChild>
            <w:div w:id="439689692">
              <w:marLeft w:val="0"/>
              <w:marRight w:val="0"/>
              <w:marTop w:val="0"/>
              <w:marBottom w:val="0"/>
              <w:divBdr>
                <w:top w:val="single" w:sz="6" w:space="0" w:color="808080"/>
                <w:left w:val="single" w:sz="6" w:space="0" w:color="808080"/>
                <w:bottom w:val="single" w:sz="6" w:space="0" w:color="808080"/>
                <w:right w:val="single" w:sz="6" w:space="0" w:color="808080"/>
              </w:divBdr>
              <w:divsChild>
                <w:div w:id="86502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123903">
      <w:bodyDiv w:val="1"/>
      <w:marLeft w:val="0"/>
      <w:marRight w:val="0"/>
      <w:marTop w:val="0"/>
      <w:marBottom w:val="0"/>
      <w:divBdr>
        <w:top w:val="none" w:sz="0" w:space="0" w:color="auto"/>
        <w:left w:val="none" w:sz="0" w:space="0" w:color="auto"/>
        <w:bottom w:val="none" w:sz="0" w:space="0" w:color="auto"/>
        <w:right w:val="none" w:sz="0" w:space="0" w:color="auto"/>
      </w:divBdr>
    </w:div>
    <w:div w:id="2022510862">
      <w:bodyDiv w:val="1"/>
      <w:marLeft w:val="0"/>
      <w:marRight w:val="0"/>
      <w:marTop w:val="0"/>
      <w:marBottom w:val="0"/>
      <w:divBdr>
        <w:top w:val="none" w:sz="0" w:space="0" w:color="auto"/>
        <w:left w:val="none" w:sz="0" w:space="0" w:color="auto"/>
        <w:bottom w:val="none" w:sz="0" w:space="0" w:color="auto"/>
        <w:right w:val="none" w:sz="0" w:space="0" w:color="auto"/>
      </w:divBdr>
      <w:divsChild>
        <w:div w:id="573321679">
          <w:marLeft w:val="0"/>
          <w:marRight w:val="0"/>
          <w:marTop w:val="0"/>
          <w:marBottom w:val="0"/>
          <w:divBdr>
            <w:top w:val="none" w:sz="0" w:space="0" w:color="auto"/>
            <w:left w:val="none" w:sz="0" w:space="0" w:color="auto"/>
            <w:bottom w:val="none" w:sz="0" w:space="0" w:color="auto"/>
            <w:right w:val="none" w:sz="0" w:space="0" w:color="auto"/>
          </w:divBdr>
        </w:div>
        <w:div w:id="608048689">
          <w:marLeft w:val="0"/>
          <w:marRight w:val="0"/>
          <w:marTop w:val="0"/>
          <w:marBottom w:val="0"/>
          <w:divBdr>
            <w:top w:val="none" w:sz="0" w:space="0" w:color="auto"/>
            <w:left w:val="none" w:sz="0" w:space="0" w:color="auto"/>
            <w:bottom w:val="none" w:sz="0" w:space="0" w:color="auto"/>
            <w:right w:val="none" w:sz="0" w:space="0" w:color="auto"/>
          </w:divBdr>
        </w:div>
        <w:div w:id="748575141">
          <w:marLeft w:val="0"/>
          <w:marRight w:val="0"/>
          <w:marTop w:val="0"/>
          <w:marBottom w:val="0"/>
          <w:divBdr>
            <w:top w:val="none" w:sz="0" w:space="0" w:color="auto"/>
            <w:left w:val="none" w:sz="0" w:space="0" w:color="auto"/>
            <w:bottom w:val="none" w:sz="0" w:space="0" w:color="auto"/>
            <w:right w:val="none" w:sz="0" w:space="0" w:color="auto"/>
          </w:divBdr>
        </w:div>
        <w:div w:id="1404525290">
          <w:marLeft w:val="0"/>
          <w:marRight w:val="0"/>
          <w:marTop w:val="0"/>
          <w:marBottom w:val="0"/>
          <w:divBdr>
            <w:top w:val="none" w:sz="0" w:space="0" w:color="auto"/>
            <w:left w:val="none" w:sz="0" w:space="0" w:color="auto"/>
            <w:bottom w:val="none" w:sz="0" w:space="0" w:color="auto"/>
            <w:right w:val="none" w:sz="0" w:space="0" w:color="auto"/>
          </w:divBdr>
        </w:div>
        <w:div w:id="14590595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30C66104AF547DFB5FC9ABB07A5C5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Nr_x002e__x0020_akti>
    <Data_x0020_e_x0020_Krijimit xmlns="0e656187-b300-4fb0-8bf4-3a50f872073c">2026-02-23T12:38:17Z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2026-02-23T00:00:00Z</Date_x0020_protokolli>
    <Titulli xmlns="0e656187-b300-4fb0-8bf4-3a50f872073c">Për disa shtesa dhe ndryshime në udhëzimin nr.5222, datë 26.6.2015, "Për zbatimin e vendimit të Këshillit të Ministrave nr. 926, datë 29.12.2014, "Për kriteret e vlerësimit të pronës shtetërore që privatizohet apo transferohet dhe procedurën e shitjes", të ndryshuar</Titulli>
    <Modifikuesi xmlns="0e656187-b300-4fb0-8bf4-3a50f872073c">keisina.zace</Modifikuesi>
    <Nr_x002e__x0020_prot_x0020_QBZ xmlns="0e656187-b300-4fb0-8bf4-3a50f872073c">382/1</Nr_x002e__x0020_prot_x0020_QBZ>
    <Data_x0020_e_x0020_Modifikimit xmlns="0e656187-b300-4fb0-8bf4-3a50f872073c">2026-02-23T12:43:08Z</Data_x0020_e_x0020_Modifikimit>
    <Dekretuar xmlns="0e656187-b300-4fb0-8bf4-3a50f872073c">false</Dekretuar>
    <Data xmlns="0e656187-b300-4fb0-8bf4-3a50f872073c">2026-02-20T00:00:00Z</Data>
    <Nr_x002e__x0020_protokolli_x0020_i_x0020_aktit xmlns="0e656187-b300-4fb0-8bf4-3a50f872073c">1631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FD3E6-660E-4C89-BA34-62C5BFFF2599}">
  <ds:schemaRefs>
    <ds:schemaRef ds:uri="http://schemas.microsoft.com/sharepoint/v3/contenttype/forms"/>
  </ds:schemaRefs>
</ds:datastoreItem>
</file>

<file path=customXml/itemProps2.xml><?xml version="1.0" encoding="utf-8"?>
<ds:datastoreItem xmlns:ds="http://schemas.openxmlformats.org/officeDocument/2006/customXml" ds:itemID="{7F262423-8292-4C79-8EED-806D05E69E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6C87282-CEF0-4285-A59A-F12B30DD35C7}">
  <ds:schemaRefs>
    <ds:schemaRef ds:uri="http://schemas.microsoft.com/office/2006/metadata/longProperties"/>
  </ds:schemaRefs>
</ds:datastoreItem>
</file>

<file path=customXml/itemProps4.xml><?xml version="1.0" encoding="utf-8"?>
<ds:datastoreItem xmlns:ds="http://schemas.openxmlformats.org/officeDocument/2006/customXml" ds:itemID="{19604D20-A14F-4353-90FF-788093525788}">
  <ds:schemaRefs>
    <ds:schemaRef ds:uri="0e656187-b300-4fb0-8bf4-3a50f872073c"/>
    <ds:schemaRef ds:uri="http://schemas.openxmlformats.org/package/2006/metadata/core-properties"/>
    <ds:schemaRef ds:uri="http://schemas.microsoft.com/office/2006/metadata/properties"/>
    <ds:schemaRef ds:uri="http://purl.org/dc/terms/"/>
    <ds:schemaRef ds:uri="http://purl.org/dc/elements/1.1/"/>
    <ds:schemaRef ds:uri="http://www.w3.org/XML/1998/namespace"/>
    <ds:schemaRef ds:uri="http://schemas.microsoft.com/office/2006/documentManagement/types"/>
    <ds:schemaRef ds:uri="http://purl.org/dc/dcmitype/"/>
  </ds:schemaRefs>
</ds:datastoreItem>
</file>

<file path=customXml/itemProps5.xml><?xml version="1.0" encoding="utf-8"?>
<ds:datastoreItem xmlns:ds="http://schemas.openxmlformats.org/officeDocument/2006/customXml" ds:itemID="{0D6AA6ED-3EC8-43A5-9E2D-632C806F27E0}">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21</TotalTime>
  <Pages>3</Pages>
  <Words>1648</Words>
  <Characters>9400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projekt vendim</vt:lpstr>
    </vt:vector>
  </TitlesOfParts>
  <Company>Microsoft</Company>
  <LinksUpToDate>false</LinksUpToDate>
  <CharactersWithSpaces>11026</CharactersWithSpaces>
  <SharedDoc>false</SharedDoc>
  <HLinks>
    <vt:vector size="12" baseType="variant">
      <vt:variant>
        <vt:i4>5505064</vt:i4>
      </vt:variant>
      <vt:variant>
        <vt:i4>3</vt:i4>
      </vt:variant>
      <vt:variant>
        <vt:i4>0</vt:i4>
      </vt:variant>
      <vt:variant>
        <vt:i4>5</vt:i4>
      </vt:variant>
      <vt:variant>
        <vt:lpwstr>mailto:info@ekonomia.gov.al</vt:lpwstr>
      </vt:variant>
      <vt:variant>
        <vt:lpwstr/>
      </vt:variant>
      <vt:variant>
        <vt:i4>2359337</vt:i4>
      </vt:variant>
      <vt:variant>
        <vt:i4>0</vt:i4>
      </vt:variant>
      <vt:variant>
        <vt:i4>0</vt:i4>
      </vt:variant>
      <vt:variant>
        <vt:i4>5</vt:i4>
      </vt:variant>
      <vt:variant>
        <vt:lpwstr>http://www.ekonomia.gov.al/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 vendim</dc:title>
  <dc:creator>Rei Shehu</dc:creator>
  <cp:lastModifiedBy>fjora.cahani</cp:lastModifiedBy>
  <cp:revision>10</cp:revision>
  <cp:lastPrinted>2026-02-23T08:07:00Z</cp:lastPrinted>
  <dcterms:created xsi:type="dcterms:W3CDTF">2026-02-23T09:06:00Z</dcterms:created>
  <dcterms:modified xsi:type="dcterms:W3CDTF">2026-02-23T12:14:00Z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 vendim</vt:lpwstr>
  </property>
  <property fmtid="{D5CDD505-2E9C-101B-9397-08002B2CF9AE}" pid="3" name="MSIP_Label_6cf46c2e-64e9-484b-aa4e-3ffc4469b01c_Enabled">
    <vt:lpwstr>true</vt:lpwstr>
  </property>
  <property fmtid="{D5CDD505-2E9C-101B-9397-08002B2CF9AE}" pid="4" name="MSIP_Label_6cf46c2e-64e9-484b-aa4e-3ffc4469b01c_SetDate">
    <vt:lpwstr>2026-02-23T09:06:38Z</vt:lpwstr>
  </property>
  <property fmtid="{D5CDD505-2E9C-101B-9397-08002B2CF9AE}" pid="5" name="MSIP_Label_6cf46c2e-64e9-484b-aa4e-3ffc4469b01c_Method">
    <vt:lpwstr>Standard</vt:lpwstr>
  </property>
  <property fmtid="{D5CDD505-2E9C-101B-9397-08002B2CF9AE}" pid="6" name="MSIP_Label_6cf46c2e-64e9-484b-aa4e-3ffc4469b01c_Name">
    <vt:lpwstr>General</vt:lpwstr>
  </property>
  <property fmtid="{D5CDD505-2E9C-101B-9397-08002B2CF9AE}" pid="7" name="MSIP_Label_6cf46c2e-64e9-484b-aa4e-3ffc4469b01c_SiteId">
    <vt:lpwstr>f5d8b812-606a-42ba-8cf9-3371cfe29c72</vt:lpwstr>
  </property>
  <property fmtid="{D5CDD505-2E9C-101B-9397-08002B2CF9AE}" pid="8" name="MSIP_Label_6cf46c2e-64e9-484b-aa4e-3ffc4469b01c_ActionId">
    <vt:lpwstr>7b3102ab-c188-4b39-a9d1-66f200233627</vt:lpwstr>
  </property>
  <property fmtid="{D5CDD505-2E9C-101B-9397-08002B2CF9AE}" pid="9" name="MSIP_Label_6cf46c2e-64e9-484b-aa4e-3ffc4469b01c_ContentBits">
    <vt:lpwstr>0</vt:lpwstr>
  </property>
</Properties>
</file>