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A614C4" w14:textId="19154530" w:rsidR="00555671" w:rsidRPr="00A57E26" w:rsidRDefault="00555671" w:rsidP="00FA5B32">
      <w:pPr>
        <w:autoSpaceDE w:val="0"/>
        <w:autoSpaceDN w:val="0"/>
        <w:adjustRightInd w:val="0"/>
        <w:spacing w:after="0" w:line="240" w:lineRule="auto"/>
        <w:ind w:firstLine="284"/>
        <w:jc w:val="center"/>
        <w:rPr>
          <w:rFonts w:ascii="Garamond" w:eastAsia="Times New Roman" w:hAnsi="Garamond"/>
          <w:b/>
          <w:bCs/>
          <w:sz w:val="24"/>
          <w:szCs w:val="24"/>
        </w:rPr>
      </w:pPr>
      <w:r w:rsidRPr="00A57E26">
        <w:rPr>
          <w:rFonts w:ascii="Garamond" w:eastAsia="Times New Roman" w:hAnsi="Garamond"/>
          <w:b/>
          <w:bCs/>
          <w:sz w:val="24"/>
          <w:szCs w:val="24"/>
        </w:rPr>
        <w:t>UDHËZIM</w:t>
      </w:r>
    </w:p>
    <w:p w14:paraId="3D6775D2" w14:textId="1EF5AEE1" w:rsidR="001918BB" w:rsidRPr="00A57E26" w:rsidRDefault="00555671" w:rsidP="00FA5B32">
      <w:pPr>
        <w:autoSpaceDE w:val="0"/>
        <w:autoSpaceDN w:val="0"/>
        <w:adjustRightInd w:val="0"/>
        <w:spacing w:after="0" w:line="240" w:lineRule="auto"/>
        <w:ind w:firstLine="284"/>
        <w:jc w:val="center"/>
        <w:rPr>
          <w:rFonts w:ascii="Garamond" w:eastAsia="Times New Roman" w:hAnsi="Garamond"/>
          <w:b/>
          <w:sz w:val="24"/>
          <w:szCs w:val="24"/>
        </w:rPr>
      </w:pPr>
      <w:r w:rsidRPr="00A57E26">
        <w:rPr>
          <w:rFonts w:ascii="Garamond" w:eastAsia="Times New Roman" w:hAnsi="Garamond"/>
          <w:b/>
          <w:bCs/>
          <w:sz w:val="24"/>
          <w:szCs w:val="24"/>
        </w:rPr>
        <w:t>N</w:t>
      </w:r>
      <w:r w:rsidR="00A57E26" w:rsidRPr="00A57E26">
        <w:rPr>
          <w:rFonts w:ascii="Garamond" w:eastAsia="Times New Roman" w:hAnsi="Garamond"/>
          <w:b/>
          <w:bCs/>
          <w:sz w:val="24"/>
          <w:szCs w:val="24"/>
        </w:rPr>
        <w:t>r</w:t>
      </w:r>
      <w:r w:rsidRPr="00A57E26">
        <w:rPr>
          <w:rFonts w:ascii="Garamond" w:eastAsia="Times New Roman" w:hAnsi="Garamond"/>
          <w:b/>
          <w:bCs/>
          <w:sz w:val="24"/>
          <w:szCs w:val="24"/>
        </w:rPr>
        <w:t>.</w:t>
      </w:r>
      <w:r w:rsidR="00A45147" w:rsidRPr="00A57E26">
        <w:rPr>
          <w:rFonts w:ascii="Garamond" w:eastAsia="Times New Roman" w:hAnsi="Garamond"/>
          <w:b/>
          <w:bCs/>
          <w:sz w:val="24"/>
          <w:szCs w:val="24"/>
        </w:rPr>
        <w:t xml:space="preserve"> 7</w:t>
      </w:r>
      <w:r w:rsidRPr="00A57E26">
        <w:rPr>
          <w:rFonts w:ascii="Garamond" w:eastAsia="Times New Roman" w:hAnsi="Garamond"/>
          <w:b/>
          <w:bCs/>
          <w:sz w:val="24"/>
          <w:szCs w:val="24"/>
        </w:rPr>
        <w:t xml:space="preserve">, </w:t>
      </w:r>
      <w:r w:rsidR="00A57E26" w:rsidRPr="00A57E26">
        <w:rPr>
          <w:rFonts w:ascii="Garamond" w:eastAsia="Times New Roman" w:hAnsi="Garamond"/>
          <w:b/>
          <w:bCs/>
          <w:sz w:val="24"/>
          <w:szCs w:val="24"/>
        </w:rPr>
        <w:t>datë 1.</w:t>
      </w:r>
      <w:r w:rsidR="00A45147" w:rsidRPr="00A57E26">
        <w:rPr>
          <w:rFonts w:ascii="Garamond" w:eastAsia="Times New Roman" w:hAnsi="Garamond"/>
          <w:b/>
          <w:bCs/>
          <w:sz w:val="24"/>
          <w:szCs w:val="24"/>
        </w:rPr>
        <w:t>9.</w:t>
      </w:r>
      <w:r w:rsidR="006F0E9E" w:rsidRPr="00A57E26">
        <w:rPr>
          <w:rFonts w:ascii="Garamond" w:eastAsia="Times New Roman" w:hAnsi="Garamond"/>
          <w:b/>
          <w:bCs/>
          <w:sz w:val="24"/>
          <w:szCs w:val="24"/>
        </w:rPr>
        <w:t>2026</w:t>
      </w:r>
    </w:p>
    <w:p w14:paraId="451FD873" w14:textId="77777777" w:rsidR="00555671" w:rsidRPr="00A57E26" w:rsidRDefault="00555671" w:rsidP="00FA5B32">
      <w:pPr>
        <w:autoSpaceDE w:val="0"/>
        <w:autoSpaceDN w:val="0"/>
        <w:adjustRightInd w:val="0"/>
        <w:spacing w:after="0" w:line="240" w:lineRule="auto"/>
        <w:ind w:firstLine="284"/>
        <w:jc w:val="center"/>
        <w:rPr>
          <w:rFonts w:ascii="Garamond" w:eastAsia="Times New Roman" w:hAnsi="Garamond"/>
          <w:b/>
          <w:sz w:val="24"/>
          <w:szCs w:val="24"/>
        </w:rPr>
      </w:pPr>
    </w:p>
    <w:p w14:paraId="071B61A5" w14:textId="62773DE8" w:rsidR="001918BB" w:rsidRPr="00A57E26" w:rsidRDefault="001918BB" w:rsidP="00FA5B32">
      <w:pPr>
        <w:autoSpaceDE w:val="0"/>
        <w:autoSpaceDN w:val="0"/>
        <w:adjustRightInd w:val="0"/>
        <w:spacing w:after="0" w:line="240" w:lineRule="auto"/>
        <w:ind w:firstLine="284"/>
        <w:jc w:val="center"/>
        <w:rPr>
          <w:rFonts w:ascii="Garamond" w:eastAsia="MS Mincho" w:hAnsi="Garamond"/>
          <w:b/>
          <w:sz w:val="24"/>
          <w:szCs w:val="24"/>
        </w:rPr>
      </w:pPr>
      <w:r w:rsidRPr="00A57E26">
        <w:rPr>
          <w:rFonts w:ascii="Garamond" w:eastAsia="Times New Roman" w:hAnsi="Garamond"/>
          <w:b/>
          <w:sz w:val="24"/>
          <w:szCs w:val="24"/>
        </w:rPr>
        <w:t>PËR</w:t>
      </w:r>
      <w:bookmarkStart w:id="0" w:name="_Hlk217293141"/>
      <w:r w:rsidR="00FA5B32" w:rsidRPr="00A57E26">
        <w:rPr>
          <w:rFonts w:ascii="Garamond" w:eastAsia="Times New Roman" w:hAnsi="Garamond"/>
          <w:b/>
          <w:sz w:val="24"/>
          <w:szCs w:val="24"/>
        </w:rPr>
        <w:t xml:space="preserve"> </w:t>
      </w:r>
      <w:r w:rsidR="00C7357E" w:rsidRPr="00A57E26">
        <w:rPr>
          <w:rFonts w:ascii="Garamond" w:eastAsia="Times New Roman" w:hAnsi="Garamond"/>
          <w:b/>
          <w:bCs/>
          <w:sz w:val="24"/>
          <w:szCs w:val="24"/>
        </w:rPr>
        <w:t>DISA</w:t>
      </w:r>
      <w:r w:rsidR="000C3BBC" w:rsidRPr="00A57E26">
        <w:rPr>
          <w:rFonts w:ascii="Garamond" w:eastAsia="Times New Roman" w:hAnsi="Garamond"/>
          <w:b/>
          <w:bCs/>
          <w:sz w:val="24"/>
          <w:szCs w:val="24"/>
        </w:rPr>
        <w:t xml:space="preserve"> </w:t>
      </w:r>
      <w:bookmarkStart w:id="1" w:name="_Hlk217460111"/>
      <w:r w:rsidR="00DB1748" w:rsidRPr="00A57E26">
        <w:rPr>
          <w:rFonts w:ascii="Garamond" w:eastAsia="Times New Roman" w:hAnsi="Garamond"/>
          <w:b/>
          <w:bCs/>
          <w:sz w:val="24"/>
          <w:szCs w:val="24"/>
        </w:rPr>
        <w:t xml:space="preserve">SHTESA DHE </w:t>
      </w:r>
      <w:bookmarkEnd w:id="1"/>
      <w:r w:rsidR="0071718C" w:rsidRPr="00A57E26">
        <w:rPr>
          <w:rFonts w:ascii="Garamond" w:eastAsia="Times New Roman" w:hAnsi="Garamond"/>
          <w:b/>
          <w:bCs/>
          <w:sz w:val="24"/>
          <w:szCs w:val="24"/>
        </w:rPr>
        <w:t>NDRYSHIM</w:t>
      </w:r>
      <w:r w:rsidR="00C7357E" w:rsidRPr="00A57E26">
        <w:rPr>
          <w:rFonts w:ascii="Garamond" w:eastAsia="Times New Roman" w:hAnsi="Garamond"/>
          <w:b/>
          <w:bCs/>
          <w:sz w:val="24"/>
          <w:szCs w:val="24"/>
        </w:rPr>
        <w:t>E</w:t>
      </w:r>
      <w:r w:rsidR="0071718C" w:rsidRPr="00A57E26">
        <w:rPr>
          <w:rFonts w:ascii="Garamond" w:eastAsia="Times New Roman" w:hAnsi="Garamond"/>
          <w:b/>
          <w:bCs/>
          <w:sz w:val="24"/>
          <w:szCs w:val="24"/>
        </w:rPr>
        <w:t xml:space="preserve"> </w:t>
      </w:r>
      <w:r w:rsidR="000C3BBC" w:rsidRPr="00A57E26">
        <w:rPr>
          <w:rFonts w:ascii="Garamond" w:eastAsia="Times New Roman" w:hAnsi="Garamond"/>
          <w:b/>
          <w:bCs/>
          <w:sz w:val="24"/>
          <w:szCs w:val="24"/>
        </w:rPr>
        <w:t xml:space="preserve">NË </w:t>
      </w:r>
      <w:r w:rsidR="00555671" w:rsidRPr="00A57E26">
        <w:rPr>
          <w:rFonts w:ascii="Garamond" w:eastAsia="Times New Roman" w:hAnsi="Garamond"/>
          <w:b/>
          <w:bCs/>
          <w:sz w:val="24"/>
          <w:szCs w:val="24"/>
        </w:rPr>
        <w:t xml:space="preserve">UDHËZIMIN </w:t>
      </w:r>
      <w:r w:rsidR="000C3BBC" w:rsidRPr="00A57E26">
        <w:rPr>
          <w:rFonts w:ascii="Garamond" w:eastAsia="Times New Roman" w:hAnsi="Garamond"/>
          <w:b/>
          <w:bCs/>
          <w:sz w:val="24"/>
          <w:szCs w:val="24"/>
        </w:rPr>
        <w:t>NR.</w:t>
      </w:r>
      <w:r w:rsidR="00355747" w:rsidRPr="00A57E26">
        <w:rPr>
          <w:rFonts w:ascii="Garamond" w:eastAsia="Times New Roman" w:hAnsi="Garamond"/>
          <w:b/>
          <w:bCs/>
          <w:sz w:val="24"/>
          <w:szCs w:val="24"/>
        </w:rPr>
        <w:t xml:space="preserve"> </w:t>
      </w:r>
      <w:r w:rsidR="005C4C93" w:rsidRPr="00A57E26">
        <w:rPr>
          <w:rFonts w:ascii="Garamond" w:eastAsia="Times New Roman" w:hAnsi="Garamond"/>
          <w:b/>
          <w:bCs/>
          <w:sz w:val="24"/>
          <w:szCs w:val="24"/>
        </w:rPr>
        <w:t>5222</w:t>
      </w:r>
      <w:r w:rsidR="0070430A" w:rsidRPr="00A57E26">
        <w:rPr>
          <w:rFonts w:ascii="Garamond" w:eastAsia="Times New Roman" w:hAnsi="Garamond"/>
          <w:b/>
          <w:bCs/>
          <w:sz w:val="24"/>
          <w:szCs w:val="24"/>
        </w:rPr>
        <w:t xml:space="preserve">, DATË </w:t>
      </w:r>
      <w:r w:rsidR="00A57E26">
        <w:rPr>
          <w:rFonts w:ascii="Garamond" w:eastAsia="Times New Roman" w:hAnsi="Garamond"/>
          <w:b/>
          <w:bCs/>
          <w:sz w:val="24"/>
          <w:szCs w:val="24"/>
        </w:rPr>
        <w:t>26.</w:t>
      </w:r>
      <w:r w:rsidR="005C4C93" w:rsidRPr="00A57E26">
        <w:rPr>
          <w:rFonts w:ascii="Garamond" w:eastAsia="Times New Roman" w:hAnsi="Garamond"/>
          <w:b/>
          <w:bCs/>
          <w:sz w:val="24"/>
          <w:szCs w:val="24"/>
        </w:rPr>
        <w:t>6.201</w:t>
      </w:r>
      <w:r w:rsidR="009A571F" w:rsidRPr="00A57E26">
        <w:rPr>
          <w:rFonts w:ascii="Garamond" w:eastAsia="Times New Roman" w:hAnsi="Garamond"/>
          <w:b/>
          <w:bCs/>
          <w:sz w:val="24"/>
          <w:szCs w:val="24"/>
        </w:rPr>
        <w:t>5</w:t>
      </w:r>
      <w:r w:rsidR="0070430A" w:rsidRPr="00A57E26">
        <w:rPr>
          <w:rFonts w:ascii="Garamond" w:eastAsia="Times New Roman" w:hAnsi="Garamond"/>
          <w:b/>
          <w:bCs/>
          <w:sz w:val="24"/>
          <w:szCs w:val="24"/>
        </w:rPr>
        <w:t>,</w:t>
      </w:r>
      <w:r w:rsidRPr="00A57E26">
        <w:rPr>
          <w:rFonts w:ascii="Garamond" w:eastAsia="Times New Roman" w:hAnsi="Garamond"/>
          <w:b/>
          <w:bCs/>
          <w:sz w:val="24"/>
          <w:szCs w:val="24"/>
        </w:rPr>
        <w:t xml:space="preserve"> </w:t>
      </w:r>
      <w:r w:rsidR="005C4C93" w:rsidRPr="00A57E26">
        <w:rPr>
          <w:rFonts w:ascii="Garamond" w:eastAsia="MS Mincho" w:hAnsi="Garamond"/>
          <w:b/>
          <w:sz w:val="24"/>
          <w:szCs w:val="24"/>
        </w:rPr>
        <w:t xml:space="preserve">“PËR ZBATIMIN E VENDIMIT TË KËSHILLIT TË MINISTRAVE NR. 926, DATË 29.12.2014, </w:t>
      </w:r>
      <w:r w:rsidR="00355747" w:rsidRPr="00A57E26">
        <w:rPr>
          <w:rFonts w:ascii="Garamond" w:eastAsia="MS Mincho" w:hAnsi="Garamond"/>
          <w:b/>
          <w:sz w:val="24"/>
          <w:szCs w:val="24"/>
        </w:rPr>
        <w:t>‘</w:t>
      </w:r>
      <w:r w:rsidR="005C4C93" w:rsidRPr="00A57E26">
        <w:rPr>
          <w:rFonts w:ascii="Garamond" w:eastAsia="MS Mincho" w:hAnsi="Garamond"/>
          <w:b/>
          <w:sz w:val="24"/>
          <w:szCs w:val="24"/>
        </w:rPr>
        <w:t>PËR KRITERET E VLERËSIMIT TË PRONËS SHTETËRORE QË PRIVATIZOHET APO TRANSFORMOHET DHE PROCEDURËN E SHITJES</w:t>
      </w:r>
      <w:r w:rsidR="00355747" w:rsidRPr="00A57E26">
        <w:rPr>
          <w:rFonts w:ascii="Garamond" w:eastAsia="MS Mincho" w:hAnsi="Garamond"/>
          <w:b/>
          <w:sz w:val="24"/>
          <w:szCs w:val="24"/>
        </w:rPr>
        <w:t>’</w:t>
      </w:r>
      <w:r w:rsidR="005C4C93" w:rsidRPr="00A57E26">
        <w:rPr>
          <w:rFonts w:ascii="Garamond" w:eastAsia="MS Mincho" w:hAnsi="Garamond"/>
          <w:b/>
          <w:sz w:val="24"/>
          <w:szCs w:val="24"/>
        </w:rPr>
        <w:t>,</w:t>
      </w:r>
      <w:r w:rsidR="00555671" w:rsidRPr="00A57E26">
        <w:rPr>
          <w:rFonts w:ascii="Garamond" w:eastAsia="Times New Roman" w:hAnsi="Garamond"/>
          <w:b/>
          <w:bCs/>
          <w:sz w:val="24"/>
          <w:szCs w:val="24"/>
        </w:rPr>
        <w:t xml:space="preserve"> TË NDRYSHUAR</w:t>
      </w:r>
      <w:r w:rsidR="00355747" w:rsidRPr="00A57E26">
        <w:rPr>
          <w:rFonts w:ascii="Garamond" w:eastAsia="Times New Roman" w:hAnsi="Garamond"/>
          <w:b/>
          <w:bCs/>
          <w:sz w:val="24"/>
          <w:szCs w:val="24"/>
        </w:rPr>
        <w:t>”</w:t>
      </w:r>
    </w:p>
    <w:bookmarkEnd w:id="0"/>
    <w:p w14:paraId="407DAED7" w14:textId="77777777" w:rsidR="001918BB" w:rsidRPr="00A57E26" w:rsidRDefault="001918BB" w:rsidP="00FA5B32">
      <w:pPr>
        <w:spacing w:after="0" w:line="240" w:lineRule="auto"/>
        <w:ind w:firstLine="284"/>
        <w:jc w:val="both"/>
        <w:rPr>
          <w:rFonts w:ascii="Garamond" w:eastAsia="Times New Roman" w:hAnsi="Garamond"/>
          <w:sz w:val="24"/>
          <w:szCs w:val="24"/>
        </w:rPr>
      </w:pPr>
    </w:p>
    <w:p w14:paraId="30A934EA" w14:textId="138EE399" w:rsidR="005C4C93" w:rsidRPr="00A57E26" w:rsidRDefault="005C4C93" w:rsidP="00FA5B32">
      <w:pPr>
        <w:spacing w:after="0" w:line="240" w:lineRule="auto"/>
        <w:ind w:firstLine="284"/>
        <w:jc w:val="both"/>
        <w:rPr>
          <w:rFonts w:ascii="Garamond" w:eastAsia="Times New Roman" w:hAnsi="Garamond"/>
          <w:sz w:val="24"/>
          <w:szCs w:val="24"/>
        </w:rPr>
      </w:pPr>
      <w:bookmarkStart w:id="2" w:name="_Hlk217295044"/>
      <w:r w:rsidRPr="00A57E26">
        <w:rPr>
          <w:rFonts w:ascii="Garamond" w:eastAsia="Times New Roman" w:hAnsi="Garamond"/>
          <w:sz w:val="24"/>
          <w:szCs w:val="24"/>
        </w:rPr>
        <w:t>Në mbështetje të nenit 102</w:t>
      </w:r>
      <w:r w:rsidR="00756BCE" w:rsidRPr="00A57E26">
        <w:rPr>
          <w:rFonts w:ascii="Garamond" w:eastAsia="Times New Roman" w:hAnsi="Garamond"/>
          <w:sz w:val="24"/>
          <w:szCs w:val="24"/>
        </w:rPr>
        <w:t>, pika 4,</w:t>
      </w:r>
      <w:r w:rsidRPr="00A57E26">
        <w:rPr>
          <w:rFonts w:ascii="Garamond" w:eastAsia="Times New Roman" w:hAnsi="Garamond"/>
          <w:sz w:val="24"/>
          <w:szCs w:val="24"/>
        </w:rPr>
        <w:t xml:space="preserve"> të Kushtetutës së Republikës së Shqipërisë, si dhe në zbatim të pik</w:t>
      </w:r>
      <w:r w:rsidR="000F4143" w:rsidRPr="00A57E26">
        <w:rPr>
          <w:rFonts w:ascii="Garamond" w:eastAsia="Times New Roman" w:hAnsi="Garamond"/>
          <w:sz w:val="24"/>
          <w:szCs w:val="24"/>
        </w:rPr>
        <w:t>ë</w:t>
      </w:r>
      <w:r w:rsidRPr="00A57E26">
        <w:rPr>
          <w:rFonts w:ascii="Garamond" w:eastAsia="Times New Roman" w:hAnsi="Garamond"/>
          <w:sz w:val="24"/>
          <w:szCs w:val="24"/>
        </w:rPr>
        <w:t xml:space="preserve">s 14, kreu IV, të vendimit </w:t>
      </w:r>
      <w:r w:rsidR="0077600C" w:rsidRPr="00A57E26">
        <w:rPr>
          <w:rFonts w:ascii="Garamond" w:eastAsia="Times New Roman" w:hAnsi="Garamond"/>
          <w:sz w:val="24"/>
          <w:szCs w:val="24"/>
        </w:rPr>
        <w:t xml:space="preserve">nr. 926, datë 29.12.2014, </w:t>
      </w:r>
      <w:r w:rsidRPr="00A57E26">
        <w:rPr>
          <w:rFonts w:ascii="Garamond" w:eastAsia="Times New Roman" w:hAnsi="Garamond"/>
          <w:sz w:val="24"/>
          <w:szCs w:val="24"/>
        </w:rPr>
        <w:t>të Këshillit të Ministrave</w:t>
      </w:r>
      <w:r w:rsidR="0077600C" w:rsidRPr="00A57E26">
        <w:rPr>
          <w:rFonts w:ascii="Garamond" w:eastAsia="Times New Roman" w:hAnsi="Garamond"/>
          <w:sz w:val="24"/>
          <w:szCs w:val="24"/>
        </w:rPr>
        <w:t>,</w:t>
      </w:r>
      <w:r w:rsidRPr="00A57E26">
        <w:rPr>
          <w:rFonts w:ascii="Garamond" w:eastAsia="Times New Roman" w:hAnsi="Garamond"/>
          <w:sz w:val="24"/>
          <w:szCs w:val="24"/>
        </w:rPr>
        <w:t xml:space="preserve"> </w:t>
      </w:r>
      <w:bookmarkStart w:id="3" w:name="_Hlk217293318"/>
      <w:r w:rsidRPr="00A57E26">
        <w:rPr>
          <w:rFonts w:ascii="Garamond" w:eastAsia="Times New Roman" w:hAnsi="Garamond"/>
          <w:sz w:val="24"/>
          <w:szCs w:val="24"/>
        </w:rPr>
        <w:t>“Për kriteret e vlerësimit të pronës shtetërore që privatizohet apo transformohet dhe për procedurën e shitjes”</w:t>
      </w:r>
      <w:r w:rsidR="00A57E26">
        <w:rPr>
          <w:rFonts w:ascii="Garamond" w:eastAsia="Times New Roman" w:hAnsi="Garamond"/>
          <w:sz w:val="24"/>
          <w:szCs w:val="24"/>
        </w:rPr>
        <w:t>,</w:t>
      </w:r>
      <w:r w:rsidR="00F568CB" w:rsidRPr="00A57E26">
        <w:rPr>
          <w:rFonts w:ascii="Garamond" w:eastAsia="Times New Roman" w:hAnsi="Garamond"/>
          <w:sz w:val="24"/>
          <w:szCs w:val="24"/>
        </w:rPr>
        <w:t xml:space="preserve"> t</w:t>
      </w:r>
      <w:r w:rsidR="000F4143" w:rsidRPr="00A57E26">
        <w:rPr>
          <w:rFonts w:ascii="Garamond" w:eastAsia="Times New Roman" w:hAnsi="Garamond"/>
          <w:sz w:val="24"/>
          <w:szCs w:val="24"/>
        </w:rPr>
        <w:t>ë</w:t>
      </w:r>
      <w:r w:rsidR="00F568CB" w:rsidRPr="00A57E26">
        <w:rPr>
          <w:rFonts w:ascii="Garamond" w:eastAsia="Times New Roman" w:hAnsi="Garamond"/>
          <w:sz w:val="24"/>
          <w:szCs w:val="24"/>
        </w:rPr>
        <w:t xml:space="preserve"> ndryshuar</w:t>
      </w:r>
      <w:bookmarkEnd w:id="3"/>
      <w:r w:rsidRPr="00A57E26">
        <w:rPr>
          <w:rFonts w:ascii="Garamond" w:eastAsia="Times New Roman" w:hAnsi="Garamond"/>
          <w:sz w:val="24"/>
          <w:szCs w:val="24"/>
        </w:rPr>
        <w:t xml:space="preserve">, </w:t>
      </w:r>
      <w:bookmarkEnd w:id="2"/>
    </w:p>
    <w:p w14:paraId="3CBF18EF" w14:textId="77777777" w:rsidR="00FA5B32" w:rsidRPr="00A57E26" w:rsidRDefault="00FA5B32" w:rsidP="00FA5B32">
      <w:pPr>
        <w:spacing w:after="0" w:line="240" w:lineRule="auto"/>
        <w:ind w:firstLine="284"/>
        <w:jc w:val="center"/>
        <w:rPr>
          <w:rFonts w:ascii="Garamond" w:eastAsia="Times New Roman" w:hAnsi="Garamond"/>
          <w:b/>
          <w:caps/>
          <w:sz w:val="24"/>
          <w:szCs w:val="24"/>
        </w:rPr>
      </w:pPr>
    </w:p>
    <w:p w14:paraId="028CA3A8" w14:textId="7E0C6657" w:rsidR="00086135" w:rsidRPr="00A57E26" w:rsidRDefault="00555671" w:rsidP="00FA5B32">
      <w:pPr>
        <w:spacing w:after="0" w:line="240" w:lineRule="auto"/>
        <w:ind w:firstLine="284"/>
        <w:jc w:val="center"/>
        <w:rPr>
          <w:rFonts w:ascii="Garamond" w:eastAsia="Times New Roman" w:hAnsi="Garamond"/>
          <w:caps/>
          <w:sz w:val="24"/>
          <w:szCs w:val="24"/>
        </w:rPr>
      </w:pPr>
      <w:r w:rsidRPr="00A57E26">
        <w:rPr>
          <w:rFonts w:ascii="Garamond" w:eastAsia="Times New Roman" w:hAnsi="Garamond"/>
          <w:caps/>
          <w:sz w:val="24"/>
          <w:szCs w:val="24"/>
        </w:rPr>
        <w:t>UDHËZ</w:t>
      </w:r>
      <w:r w:rsidR="005C4C93" w:rsidRPr="00A57E26">
        <w:rPr>
          <w:rFonts w:ascii="Garamond" w:eastAsia="Times New Roman" w:hAnsi="Garamond"/>
          <w:caps/>
          <w:sz w:val="24"/>
          <w:szCs w:val="24"/>
        </w:rPr>
        <w:t>O</w:t>
      </w:r>
      <w:r w:rsidR="00756BCE" w:rsidRPr="00A57E26">
        <w:rPr>
          <w:rFonts w:ascii="Garamond" w:eastAsia="Times New Roman" w:hAnsi="Garamond"/>
          <w:caps/>
          <w:sz w:val="24"/>
          <w:szCs w:val="24"/>
        </w:rPr>
        <w:t>j</w:t>
      </w:r>
      <w:r w:rsidRPr="00A57E26">
        <w:rPr>
          <w:rFonts w:ascii="Garamond" w:eastAsia="Times New Roman" w:hAnsi="Garamond"/>
          <w:caps/>
          <w:sz w:val="24"/>
          <w:szCs w:val="24"/>
        </w:rPr>
        <w:t>:</w:t>
      </w:r>
    </w:p>
    <w:p w14:paraId="686F1FD2" w14:textId="77777777" w:rsidR="0070430A" w:rsidRPr="00A57E26" w:rsidRDefault="0070430A" w:rsidP="00FA5B32">
      <w:pPr>
        <w:spacing w:after="0" w:line="240" w:lineRule="auto"/>
        <w:ind w:firstLine="284"/>
        <w:rPr>
          <w:rFonts w:ascii="Garamond" w:eastAsia="Times New Roman" w:hAnsi="Garamond"/>
          <w:b/>
          <w:caps/>
          <w:sz w:val="24"/>
          <w:szCs w:val="24"/>
        </w:rPr>
      </w:pPr>
    </w:p>
    <w:p w14:paraId="2EEEC9C5" w14:textId="7596F5AA"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 xml:space="preserve">I. </w:t>
      </w:r>
      <w:r w:rsidR="00A57E26">
        <w:rPr>
          <w:rFonts w:ascii="Garamond" w:hAnsi="Garamond"/>
          <w:color w:val="000000"/>
          <w:sz w:val="24"/>
          <w:szCs w:val="24"/>
          <w:lang w:eastAsia="en-GB"/>
        </w:rPr>
        <w:t>Në udhëzimin nr. 5222, datë 26.</w:t>
      </w:r>
      <w:r w:rsidRPr="00A57E26">
        <w:rPr>
          <w:rFonts w:ascii="Garamond" w:hAnsi="Garamond"/>
          <w:color w:val="000000"/>
          <w:sz w:val="24"/>
          <w:szCs w:val="24"/>
          <w:lang w:eastAsia="en-GB"/>
        </w:rPr>
        <w:t>6.2015, “Për zbatimin e vendimit të Këshillit të Ministrave nr. 926, datë 29.12.2014, ‘Për kriteret e vlerësimit të pronës shtetërore që privatizohet apo transformohet dhe procedurën e shitjes’, të ndryshuar”, bëhen ndryshimet dhe shtesat si më poshtë vijojnë:</w:t>
      </w:r>
    </w:p>
    <w:p w14:paraId="5B4B602E" w14:textId="4430B48A"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1. Kudo në këtë udhëzim, togfjalëshi “...pronë publike...” zëvendësohet</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me togfjalëshin “...pronë shtetërore...”.</w:t>
      </w:r>
    </w:p>
    <w:p w14:paraId="75B5B194" w14:textId="3C65F74D"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2. Kudo në këtë udhëzim, fjala “...genplan...” zëvendësohet</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 xml:space="preserve">me togfjalëshin “...genplan/plan rilevimi...”. </w:t>
      </w:r>
    </w:p>
    <w:p w14:paraId="566A780B" w14:textId="0D212EE1"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3. Kudo në këtë udhëzim, togfjalëshi “...Dega e shoqërive publike...” zëvendësohet</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me togfjalëshin “…struktura përgjegjëse për priva</w:t>
      </w:r>
      <w:r w:rsidR="00A57E26">
        <w:rPr>
          <w:rFonts w:ascii="Garamond" w:hAnsi="Garamond"/>
          <w:color w:val="000000"/>
          <w:sz w:val="24"/>
          <w:szCs w:val="24"/>
          <w:lang w:eastAsia="en-GB"/>
        </w:rPr>
        <w:t>tizim…”.</w:t>
      </w:r>
    </w:p>
    <w:p w14:paraId="4D8C32CF" w14:textId="0BCFEF8E"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4. Kudo në këtë udhëzim, pas fjalës “qira/qirasë”, shtohet fjala “enfiteozë/enfiteozës”.</w:t>
      </w:r>
    </w:p>
    <w:p w14:paraId="16860FDC" w14:textId="1B5F38FF"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5. Pika 1 e udhëzimit, ndryshohet si më poshtë vijon:</w:t>
      </w:r>
    </w:p>
    <w:p w14:paraId="301B2A8A" w14:textId="7FCAEA5F" w:rsidR="00FA5B32" w:rsidRPr="00A57E26" w:rsidRDefault="00FA5B32" w:rsidP="00FA5B32">
      <w:pPr>
        <w:tabs>
          <w:tab w:val="left" w:pos="720"/>
        </w:tabs>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“Në zbatim të pikës 1, kreu I,</w:t>
      </w:r>
      <w:r w:rsidRPr="00A57E26">
        <w:rPr>
          <w:rFonts w:ascii="Garamond" w:hAnsi="Garamond"/>
          <w:b/>
          <w:bCs/>
          <w:color w:val="000000"/>
          <w:sz w:val="24"/>
          <w:szCs w:val="24"/>
          <w:lang w:eastAsia="en-GB"/>
        </w:rPr>
        <w:t xml:space="preserve"> </w:t>
      </w:r>
      <w:r w:rsidRPr="00A57E26">
        <w:rPr>
          <w:rFonts w:ascii="Garamond" w:hAnsi="Garamond"/>
          <w:color w:val="000000"/>
          <w:sz w:val="24"/>
          <w:szCs w:val="24"/>
          <w:lang w:eastAsia="en-GB"/>
        </w:rPr>
        <w:t>të VKM-së nr. 926, datë 29.12. 2014, të ndryshuar, këtij udhëzimi i nënshtrohen të gjitha pronat e paluajtshme shtetërore dhe pasuritë e luajtshme, objektet e veçanta, mjetet kryesore dhe mjetet e xhiros të ndërmarrjeve shtetërore dhe asetet e shoqërive tregtare të zbritura nga kapitali i tyre</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të cilat plotësojnë kriteret për privatizim, sipas këtij vendimi. Të gjitha aktet nënligjore dhe administrative, për miratimin e privatizimeve dhe komisioneve përkatëse të vlerësimit, të nxjerra përpara hyrjes në fuqi të këtij vendimi, do të konsiderohen të vlefshme për sa kohë nuk ka një urdhër të ministrit përgjegjës për ekonominë për shfuqizimin e tyre</w:t>
      </w:r>
      <w:r w:rsidR="00A57E26">
        <w:rPr>
          <w:rFonts w:ascii="Garamond" w:hAnsi="Garamond"/>
          <w:color w:val="000000"/>
          <w:sz w:val="24"/>
          <w:szCs w:val="24"/>
          <w:lang w:eastAsia="en-GB"/>
        </w:rPr>
        <w:t>.</w:t>
      </w:r>
      <w:r w:rsidRPr="00A57E26">
        <w:rPr>
          <w:rFonts w:ascii="Garamond" w:hAnsi="Garamond"/>
          <w:color w:val="000000"/>
          <w:sz w:val="24"/>
          <w:szCs w:val="24"/>
          <w:lang w:eastAsia="en-GB"/>
        </w:rPr>
        <w:t>”.</w:t>
      </w:r>
    </w:p>
    <w:p w14:paraId="1D3BABC7" w14:textId="208EDFDE"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6. Pika 2 e udhëzimit, ndryshohet si më poshtë vijon:</w:t>
      </w:r>
    </w:p>
    <w:p w14:paraId="1539BB40" w14:textId="1EDE98D6" w:rsidR="00FA5B32" w:rsidRPr="00A57E26" w:rsidRDefault="00FA5B32" w:rsidP="00FA5B32">
      <w:pPr>
        <w:tabs>
          <w:tab w:val="left" w:pos="720"/>
        </w:tabs>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“Në zbatim të pikës 2, kreu I,</w:t>
      </w:r>
      <w:r w:rsidRPr="00A57E26">
        <w:rPr>
          <w:rFonts w:ascii="Garamond" w:hAnsi="Garamond"/>
          <w:b/>
          <w:bCs/>
          <w:color w:val="000000"/>
          <w:sz w:val="24"/>
          <w:szCs w:val="24"/>
          <w:lang w:eastAsia="en-GB"/>
        </w:rPr>
        <w:t xml:space="preserve"> </w:t>
      </w:r>
      <w:r w:rsidRPr="00A57E26">
        <w:rPr>
          <w:rFonts w:ascii="Garamond" w:hAnsi="Garamond"/>
          <w:color w:val="000000"/>
          <w:sz w:val="24"/>
          <w:szCs w:val="24"/>
          <w:lang w:eastAsia="en-GB"/>
        </w:rPr>
        <w:t xml:space="preserve">të VKM-së nr. 926, </w:t>
      </w:r>
      <w:r w:rsidR="00A57E26">
        <w:rPr>
          <w:rFonts w:ascii="Garamond" w:hAnsi="Garamond"/>
          <w:color w:val="000000"/>
          <w:sz w:val="24"/>
          <w:szCs w:val="24"/>
          <w:lang w:eastAsia="en-GB"/>
        </w:rPr>
        <w:t>datë 29.12.2014, të ndryshuar, i</w:t>
      </w:r>
      <w:r w:rsidRPr="00A57E26">
        <w:rPr>
          <w:rFonts w:ascii="Garamond" w:hAnsi="Garamond"/>
          <w:color w:val="000000"/>
          <w:sz w:val="24"/>
          <w:szCs w:val="24"/>
          <w:lang w:eastAsia="en-GB"/>
        </w:rPr>
        <w:t>nstitucionet qendrore dhe organet e njësive të vetëqeverisjes vendore dërgojnë kërkesat e tyre për privatizimin e pronave shtetërore që kanë në administrim ose në pronësi në ministrinë përgjegjëse për ekonominë. Ministri përgjegjës për ekonominë nxjerr urdhrin për fillimin e procedurave të privatizimit, sipas kërkesave të përmendura më sipër. Në rast se ministria përgjegjëse për ekonominë u kërkon institucioneve qendrore apo organeve të njësive të vetëqeverisjes vendore kërkesën për prononcim privatizimi për pronat e paluajtshme shtetërore që kanë në administrim ose në pronësi, këto institucione janë të detyruara që, brenda 30 (tridhjetë) ditëve nga data e marrjes së kërkesës, të dërgojnë mendimin e tyre për privatizimin e këtyre pasurive. Nëse institucionet qendrore apo organet e njësive të vetëqeverisjes vendore shprehen për mosprivatizimin e pr</w:t>
      </w:r>
      <w:r w:rsidR="00A57E26">
        <w:rPr>
          <w:rFonts w:ascii="Garamond" w:hAnsi="Garamond"/>
          <w:color w:val="000000"/>
          <w:sz w:val="24"/>
          <w:szCs w:val="24"/>
          <w:lang w:eastAsia="en-GB"/>
        </w:rPr>
        <w:t>onave shtetërore në administrim</w:t>
      </w:r>
      <w:r w:rsidRPr="00A57E26">
        <w:rPr>
          <w:rFonts w:ascii="Garamond" w:hAnsi="Garamond"/>
          <w:color w:val="000000"/>
          <w:sz w:val="24"/>
          <w:szCs w:val="24"/>
          <w:lang w:eastAsia="en-GB"/>
        </w:rPr>
        <w:t xml:space="preserve"> apo në pronësi, apo pronave shtetërore të institucioneve që kanë në varësi administrative, atëherë ato duhet ta argumentojnë qartë këtë fakt. Në rastet kur për objektet, që janë në pronësi të organeve të pushtetit vendor, është marrë vendimi i këshillit të njësive të qeverisjes vendore për privatizimin/tjetërsimin e tyre dhe këto objekte janë miratuar për t’u përfshirë në procedurë privatizimi, pas nxjerrjes së urdhrit të privatizimit nga ministri përgjegjës për ekonominë, struktura përgjegjëse për privatizimin njofton institucionin administrues/pronar </w:t>
      </w:r>
      <w:r w:rsidRPr="00A57E26">
        <w:rPr>
          <w:rFonts w:ascii="Garamond" w:hAnsi="Garamond"/>
          <w:color w:val="000000"/>
          <w:sz w:val="24"/>
          <w:szCs w:val="24"/>
          <w:lang w:eastAsia="en-GB"/>
        </w:rPr>
        <w:lastRenderedPageBreak/>
        <w:t>të pronës shtetërore për fillimin e procedurave të privatizimit, me qëllim afishimin e njoftimit përkatës në ambientet e pronës shtetërore, për efekt njohjeje nga ish-pronarët.”</w:t>
      </w:r>
      <w:r w:rsidR="00A57E26">
        <w:rPr>
          <w:rFonts w:ascii="Garamond" w:hAnsi="Garamond"/>
          <w:color w:val="000000"/>
          <w:sz w:val="24"/>
          <w:szCs w:val="24"/>
          <w:lang w:eastAsia="en-GB"/>
        </w:rPr>
        <w:t>.</w:t>
      </w:r>
    </w:p>
    <w:p w14:paraId="62D14470" w14:textId="7CDD2369"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7. Pika 3 e udhëzimit, ndryshohet</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si më poshtë vijon:</w:t>
      </w:r>
    </w:p>
    <w:p w14:paraId="113B73C0" w14:textId="214EB611"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“Në zbatim të pikës 3, kreu I,</w:t>
      </w:r>
      <w:r w:rsidRPr="00A57E26">
        <w:rPr>
          <w:rFonts w:ascii="Garamond" w:hAnsi="Garamond"/>
          <w:b/>
          <w:bCs/>
          <w:color w:val="000000"/>
          <w:sz w:val="24"/>
          <w:szCs w:val="24"/>
          <w:lang w:eastAsia="en-GB"/>
        </w:rPr>
        <w:t xml:space="preserve"> </w:t>
      </w:r>
      <w:r w:rsidRPr="00A57E26">
        <w:rPr>
          <w:rFonts w:ascii="Garamond" w:hAnsi="Garamond"/>
          <w:color w:val="000000"/>
          <w:sz w:val="24"/>
          <w:szCs w:val="24"/>
          <w:lang w:eastAsia="en-GB"/>
        </w:rPr>
        <w:t xml:space="preserve">të VKM-së nr. 926, datë </w:t>
      </w:r>
      <w:r w:rsidR="00A57E26">
        <w:rPr>
          <w:rFonts w:ascii="Garamond" w:hAnsi="Garamond"/>
          <w:color w:val="000000"/>
          <w:sz w:val="24"/>
          <w:szCs w:val="24"/>
          <w:lang w:eastAsia="en-GB"/>
        </w:rPr>
        <w:t>29.12.2014, të ndryshuar,</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Komisioni i vlerësimit të pronës shtetërore, në zbatim të këtij vendimi ngrihet nga ministri përgjegjës për ekonominë. Ky komision ka në përbërje të tij 3 (tre) anëtarë: përfaqësuesin e strukturës përgjegjëse për privatizim, një ekspert vlerësues të licencuar dhe një përfaqësues të ndërmarrjes apo institucionit në administrim/pronësi të të cilit ndodhet prona shtetërore. Komisioni kryesohet nga përfaqësuesi i strukturës përgjegjëse për privatizim. Sipas nevojave të procesit të vlerësimit të pronës shtetërore, ministri përgjegjës për ekonominë urdhëron që në komisionin e vlerësimit të marrë pjesë edhe një auditues apo ekspertë të tjerë të licencuar sipas procesit të vlerësimit.”</w:t>
      </w:r>
      <w:r w:rsidR="00A57E26">
        <w:rPr>
          <w:rFonts w:ascii="Garamond" w:hAnsi="Garamond"/>
          <w:color w:val="000000"/>
          <w:sz w:val="24"/>
          <w:szCs w:val="24"/>
          <w:lang w:eastAsia="en-GB"/>
        </w:rPr>
        <w:t>.</w:t>
      </w:r>
    </w:p>
    <w:p w14:paraId="30D45847" w14:textId="40098348"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8. Pika 4 e udhëzimit, ndryshohet</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si më poshtë vijon:</w:t>
      </w:r>
    </w:p>
    <w:p w14:paraId="5D4B793A" w14:textId="7A9D0DA3" w:rsidR="00FA5B32" w:rsidRPr="00A57E26" w:rsidRDefault="00FA5B32" w:rsidP="00A57E26">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“Në zbatim të pikave 2, 3 dhe 4, të kreut II, të VKM-së nr. 926, datë 29.12.2014, të ndryshuar, Komisioni i vlerësimit inspekton dhe verifikon gjendjen reale të objektit dhe më pas eksperti/ekspertët vlerësues i/të licencuar i/të pasurisë së paluajtshme të këtij komisioni, brenda 15 (pesëmbëdhjetë) ditëve përgatitin në 5 (pesë) kopje origjinale genplani/plan rilevimi, i cili/të cilët mban/mbajnë përgjegjësi li</w:t>
      </w:r>
      <w:r w:rsidR="00A57E26">
        <w:rPr>
          <w:rFonts w:ascii="Garamond" w:hAnsi="Garamond"/>
          <w:color w:val="000000"/>
          <w:sz w:val="24"/>
          <w:szCs w:val="24"/>
          <w:lang w:eastAsia="en-GB"/>
        </w:rPr>
        <w:t>gjore për hartimin e genplanit/</w:t>
      </w:r>
      <w:r w:rsidRPr="00A57E26">
        <w:rPr>
          <w:rFonts w:ascii="Garamond" w:hAnsi="Garamond"/>
          <w:color w:val="000000"/>
          <w:sz w:val="24"/>
          <w:szCs w:val="24"/>
          <w:lang w:eastAsia="en-GB"/>
        </w:rPr>
        <w:t xml:space="preserve">planit </w:t>
      </w:r>
      <w:r w:rsidR="00A57E26">
        <w:rPr>
          <w:rFonts w:ascii="Garamond" w:hAnsi="Garamond"/>
          <w:color w:val="000000"/>
          <w:sz w:val="24"/>
          <w:szCs w:val="24"/>
          <w:lang w:eastAsia="en-GB"/>
        </w:rPr>
        <w:t xml:space="preserve">të </w:t>
      </w:r>
      <w:r w:rsidRPr="00A57E26">
        <w:rPr>
          <w:rFonts w:ascii="Garamond" w:hAnsi="Garamond"/>
          <w:color w:val="000000"/>
          <w:sz w:val="24"/>
          <w:szCs w:val="24"/>
          <w:lang w:eastAsia="en-GB"/>
        </w:rPr>
        <w:t>rilevimit dhe për saktësinë e matjeve teknike të kryera. Genplani/plan rilevimi i përgatitur ku përcaktohet qartë trualli nën objekt, trualli funksional dhe sipërfaqja e përgjithshme, i dorëzohet menjëherë nga eksperti, përfaqësuesit të strukturës përgjegjëse për privatizim. Nëse, pas hartimit të genplanit/plan rilevimit nga eksperti/ekspertët vlerësues, rezultojnë sipërfaqe trualli të lira (më shumë se sipërfaqja nën objekt dhe ajo funksionale), institucioni administrues, në zbatim të procedurave ligjore përkatëse, ia kalon ato Agjencisë së Trajtimit të Pronave, për përdorimin për fond kompensimi për ish-pronarët ose për kthim fizik</w:t>
      </w:r>
      <w:r w:rsidR="00A57E26">
        <w:rPr>
          <w:rFonts w:ascii="Garamond" w:hAnsi="Garamond"/>
          <w:color w:val="000000"/>
          <w:sz w:val="24"/>
          <w:szCs w:val="24"/>
          <w:lang w:eastAsia="en-GB"/>
        </w:rPr>
        <w:t>.</w:t>
      </w:r>
      <w:r w:rsidRPr="00A57E26">
        <w:rPr>
          <w:rFonts w:ascii="Garamond" w:hAnsi="Garamond"/>
          <w:color w:val="000000"/>
          <w:sz w:val="24"/>
          <w:szCs w:val="24"/>
          <w:lang w:eastAsia="en-GB"/>
        </w:rPr>
        <w:t>”.</w:t>
      </w:r>
    </w:p>
    <w:p w14:paraId="66FE5DD2" w14:textId="7CDCD4D1"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9. Pika 5 e udhëzimit, ndrys</w:t>
      </w:r>
      <w:r w:rsidR="00A57E26">
        <w:rPr>
          <w:rFonts w:ascii="Garamond" w:hAnsi="Garamond"/>
          <w:color w:val="000000"/>
          <w:sz w:val="24"/>
          <w:szCs w:val="24"/>
          <w:lang w:eastAsia="en-GB"/>
        </w:rPr>
        <w:t>hohet</w:t>
      </w:r>
      <w:r w:rsidR="00E60B39">
        <w:rPr>
          <w:rFonts w:ascii="Garamond" w:hAnsi="Garamond"/>
          <w:color w:val="000000"/>
          <w:sz w:val="24"/>
          <w:szCs w:val="24"/>
          <w:lang w:eastAsia="en-GB"/>
        </w:rPr>
        <w:t xml:space="preserve"> </w:t>
      </w:r>
      <w:r w:rsidR="00A57E26">
        <w:rPr>
          <w:rFonts w:ascii="Garamond" w:hAnsi="Garamond"/>
          <w:color w:val="000000"/>
          <w:sz w:val="24"/>
          <w:szCs w:val="24"/>
          <w:lang w:eastAsia="en-GB"/>
        </w:rPr>
        <w:t>si më poshtë vijon:</w:t>
      </w:r>
    </w:p>
    <w:p w14:paraId="4762217F" w14:textId="77777777"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“Në zbatim të pikës 4, të kreut I, të VKM-së nr. 926, datë 29.12.2014, të ndryshuar, ekspertët vlerësues në përbërje të komisionit të vlerësimit të pronës shtetërore përzgjidhen nga ministri përgjegjës për ekonominë nga lista e ekspertëve të licencuar për vlerësimin e pasurive të paluajtshme, sipas fushës së vlerësimit dhe licencës përkatëse. Pagesa e ekspertit/ekspertëve vlerësues, si edhe çdo shpenzim për përgatitjen e dokumentacionit të vlerësimit përballohen nga ministria përgjegjëse për ekonominë.</w:t>
      </w:r>
    </w:p>
    <w:p w14:paraId="1AABE7AC" w14:textId="77777777"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Pagesa e ekspertëve përcaktohet, si më poshtë:</w:t>
      </w:r>
    </w:p>
    <w:p w14:paraId="4FE35F7D" w14:textId="77777777"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a) 5% e vlerës së objektit të vlerësuar deri në 10 000 000 (dhjetë milionë) lekë, por jo më pak se 100 000 (njëqind mijë) lekë pa TVSH;</w:t>
      </w:r>
    </w:p>
    <w:p w14:paraId="60D32C7A" w14:textId="1B02F09D"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b) 4% e vlerës së objektit të vlerësuar për vlera mbi 10 000 000 (dhjetë milionë) lekë, por jo më pak se 500 000 (pesëqind mijë) lekë dhe jo më shumë se 1 000 000 (një</w:t>
      </w:r>
      <w:r w:rsidR="00A57E26">
        <w:rPr>
          <w:rFonts w:ascii="Garamond" w:hAnsi="Garamond"/>
          <w:color w:val="000000"/>
          <w:sz w:val="24"/>
          <w:szCs w:val="24"/>
          <w:lang w:eastAsia="en-GB"/>
        </w:rPr>
        <w:t xml:space="preserve"> </w:t>
      </w:r>
      <w:r w:rsidRPr="00A57E26">
        <w:rPr>
          <w:rFonts w:ascii="Garamond" w:hAnsi="Garamond"/>
          <w:color w:val="000000"/>
          <w:sz w:val="24"/>
          <w:szCs w:val="24"/>
          <w:lang w:eastAsia="en-GB"/>
        </w:rPr>
        <w:t>milion) lekë, pa TVSH.</w:t>
      </w:r>
    </w:p>
    <w:p w14:paraId="205E3E02" w14:textId="5AD570F4"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Pagesa kryhet pas dorëzimit të raportit përfundimtar të vlerësimit dhe pranimit të tij nga struktura përgjegjëse për privatizimin. Në rast se raporti nuk pranohet për shkak të mangësive, struktura përgjegjëse njofton me shkrim ekspertin vlerësues, duke specifikuar arsyet e mospranimit dhe korrigjimet e kërkuara. Eksperti vlerësues është i detyruar të kryejë korrigjimet dhe ta ridorëzojë raportin. Pagesa kryhet vetëm pas dorëzimit të raportit të korrigjuar dhe pranimit të tij</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w:t>
      </w:r>
    </w:p>
    <w:p w14:paraId="1C7B4B99" w14:textId="06C096A2"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10. Pikat 7 dhe 9 të udhëzimit shfuqizohen.</w:t>
      </w:r>
    </w:p>
    <w:p w14:paraId="1DF2F8FF" w14:textId="5AD17D9A"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11. Pika 8 e udhëzimit ndryshohet si më poshtë vijon:</w:t>
      </w:r>
    </w:p>
    <w:p w14:paraId="0D471034" w14:textId="735E271E" w:rsidR="00FA5B32" w:rsidRPr="00A57E26" w:rsidRDefault="00A57E26" w:rsidP="00FA5B32">
      <w:pPr>
        <w:autoSpaceDE w:val="0"/>
        <w:autoSpaceDN w:val="0"/>
        <w:adjustRightInd w:val="0"/>
        <w:spacing w:after="0" w:line="240" w:lineRule="auto"/>
        <w:ind w:firstLine="284"/>
        <w:jc w:val="both"/>
        <w:rPr>
          <w:rFonts w:ascii="Garamond" w:hAnsi="Garamond"/>
          <w:color w:val="000000"/>
          <w:sz w:val="24"/>
          <w:szCs w:val="24"/>
          <w:lang w:eastAsia="en-GB"/>
        </w:rPr>
      </w:pPr>
      <w:r>
        <w:rPr>
          <w:rFonts w:ascii="Garamond" w:hAnsi="Garamond"/>
          <w:color w:val="000000"/>
          <w:sz w:val="24"/>
          <w:szCs w:val="24"/>
          <w:lang w:eastAsia="en-GB"/>
        </w:rPr>
        <w:t>“</w:t>
      </w:r>
      <w:r w:rsidR="00FA5B32" w:rsidRPr="00A57E26">
        <w:rPr>
          <w:rFonts w:ascii="Garamond" w:hAnsi="Garamond"/>
          <w:color w:val="000000"/>
          <w:sz w:val="24"/>
          <w:szCs w:val="24"/>
          <w:lang w:eastAsia="en-GB"/>
        </w:rPr>
        <w:t>Trualli që privatizohet konsiderohet sipërfaqja nën objekt dhe sipërfaqja funksionale (nëse ka) rreth tij, e përcaktuar sipas genplanit të objektit, që është pjesë e dokumentacionit të privatizimit që përgatit komisioni i vlerësimit sipas pikave 3 dhe 4, të kreut II, të VKM-së nr. 926, datë 29.12.2014, të ndryshuar. Për pronat shtetërore objekt të kontratave të qirasë/enfiteozës, të lidhura në zbatim të VKM-së nr. 54/2014, të ndryshuar, kontrata dhe anekset e saj merren në konsideratë për identifikimin e pronës objekt privatizimi. Sipërfaqja e truallit nën objekt dhe e truallit funksional përcaktohet dhe verifikohet në përputhje me kriteret dhe dokumentacionin tekniko-ligjor të parashikuar në VKM-në nr. 926, datë 29.12.2014, të ndryshuar</w:t>
      </w:r>
      <w:r>
        <w:rPr>
          <w:rFonts w:ascii="Garamond" w:hAnsi="Garamond"/>
          <w:color w:val="000000"/>
          <w:sz w:val="24"/>
          <w:szCs w:val="24"/>
          <w:lang w:eastAsia="en-GB"/>
        </w:rPr>
        <w:t>”.</w:t>
      </w:r>
    </w:p>
    <w:p w14:paraId="7A454BE4" w14:textId="063E794D"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12. Pika 10 e udhëzimit, ndryshohet si më poshtë vijon:</w:t>
      </w:r>
    </w:p>
    <w:p w14:paraId="4F7D6216" w14:textId="4C4C6103"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lastRenderedPageBreak/>
        <w:t>“Ministria përgjegjëse për ekonominë i dërgon çdo 6 (gjashtë) muaj Agjencisë së Trajtimit të Pronave kërkesën</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rreth hartës së miratuar të çmimeve. Agjencia e Trajtimit të Pronave, brenda afatit të përcaktuar ligjor dërgon hartën e miratuar të çmimeve të truallit. Në rastet kur për vendndodhjen e pronës shtetërore që privatizohet çmimi i truallit nuk figuron në hartën e çmimeve, vlerësimi i pronës shtetërore kryhet sipas vlerës së tregut. Struktura përgjegjëse për privatizimin i vë në dispozicion komisionit të vlerësimit hartën e çmimeve</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të miratuar me vendim të Këshillit të Ministrave, të konfirmuar çdo 6 (gjashtë) muaj nga Agjencia e Trajtimit të Pronave (ATP). Përcaktimi i vlerës së pronës shtetërore, në përputhje me hartën e çmimeve dhe legjislacionin në fuqi, si edhe përzgjedhja e metodologjisë së vlerësimit janë në përgjegjësinë e ekspertit vlerësues, i cili, në bazë të dokumentacionit, harton raportin përfundimtar të vlerësimit të pronës shtetërore</w:t>
      </w:r>
      <w:r w:rsidR="00A57E26">
        <w:rPr>
          <w:rFonts w:ascii="Garamond" w:hAnsi="Garamond"/>
          <w:color w:val="000000"/>
          <w:sz w:val="24"/>
          <w:szCs w:val="24"/>
          <w:lang w:eastAsia="en-GB"/>
        </w:rPr>
        <w:t>.</w:t>
      </w:r>
      <w:r w:rsidRPr="00A57E26">
        <w:rPr>
          <w:rFonts w:ascii="Garamond" w:hAnsi="Garamond"/>
          <w:color w:val="000000"/>
          <w:sz w:val="24"/>
          <w:szCs w:val="24"/>
          <w:lang w:eastAsia="en-GB"/>
        </w:rPr>
        <w:t>”.</w:t>
      </w:r>
    </w:p>
    <w:p w14:paraId="7167BC9D" w14:textId="583144E6"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13. Pikat 11, 11.1, 11.2, 11.3, dhe 11.4 të udhëzimit shfuqizohen.</w:t>
      </w:r>
    </w:p>
    <w:p w14:paraId="45143A65" w14:textId="723ADAE9"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 xml:space="preserve">14. </w:t>
      </w:r>
      <w:r w:rsidR="00A57E26">
        <w:rPr>
          <w:rFonts w:ascii="Garamond" w:hAnsi="Garamond"/>
          <w:color w:val="000000"/>
          <w:sz w:val="24"/>
          <w:szCs w:val="24"/>
          <w:lang w:eastAsia="en-GB"/>
        </w:rPr>
        <w:t>Pika 12 e udhëzimit, ndryshohet,</w:t>
      </w:r>
      <w:r w:rsidRPr="00A57E26">
        <w:rPr>
          <w:rFonts w:ascii="Garamond" w:hAnsi="Garamond"/>
          <w:color w:val="000000"/>
          <w:sz w:val="24"/>
          <w:szCs w:val="24"/>
          <w:lang w:eastAsia="en-GB"/>
        </w:rPr>
        <w:t xml:space="preserve"> si më poshtë vijon:</w:t>
      </w:r>
    </w:p>
    <w:p w14:paraId="34110192" w14:textId="157A4343"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“Dokumentacioni i përgatitur nga Komisioni i Vlerësimit</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i cili i përcillet strukturës përgjegjëse për privatizimin</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duhet të përmbajë vendimin e Komisionit të Vlerësimit, relacionin e Komisionit të Vlerësimit të nënshkruar nga të gjithë anëtarët, raportin e vlerësimit të hartuar nga eksperti/ekspertët dhe të nënshkruar prej tyre, kartelën e pasurisë së bashku me hartën treguese dhe të dhënat plotësuese nëse ka, miratimin e privatizimit, shkresën e ngritjes së Komisionit të Vlerësimit</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si dhe genplanin/planin e rilevimit përkatës të konfirmuar nga të gjithë anëtarët e komisionit.</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 xml:space="preserve">Në zbatim të pikës 7, </w:t>
      </w:r>
      <w:r w:rsidR="00A57E26">
        <w:rPr>
          <w:rFonts w:ascii="Garamond" w:hAnsi="Garamond"/>
          <w:color w:val="000000"/>
          <w:sz w:val="24"/>
          <w:szCs w:val="24"/>
          <w:lang w:eastAsia="en-GB"/>
        </w:rPr>
        <w:t>k</w:t>
      </w:r>
      <w:r w:rsidRPr="00A57E26">
        <w:rPr>
          <w:rFonts w:ascii="Garamond" w:hAnsi="Garamond"/>
          <w:color w:val="000000"/>
          <w:sz w:val="24"/>
          <w:szCs w:val="24"/>
          <w:lang w:eastAsia="en-GB"/>
        </w:rPr>
        <w:t>reu II, të VKM-së nr. 926, datë 29.12.2014, të ndryshuar, në rast se për pronën objekt privatizimi Agjencia Shtetërore e Kadastrës nuk vendos në dispozicion kartelën e pasurisë, por vërtetimin e pasurisë për zonat kadastrale që nuk i janë nënshtruar regjistrimit fillestar, komisioni</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për efekt të vlerësimit të pronës shtetërore</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do të bazohet në këtë të fundit.</w:t>
      </w:r>
    </w:p>
    <w:p w14:paraId="0B75FF74" w14:textId="26AF6DBB"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Në rastet kur prona shtetërore objekt privatizimi, në regjistrat e pasurisë nuk ka objekt të regjistruar, por vetëm truall, pas miratimit të ministrit</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struktura përgjegjëse për privatizim ia përcjell dokumentacionin tekniko-financiar të institucionit administrues të pronës, genplanin/plan rilevimin</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si dhe dokumentacion e ASHK-së strukturës përgjegjëse për shitjen e pronës shtetërore</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e cila</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në zbatim të </w:t>
      </w:r>
      <w:r w:rsidR="00A57E26">
        <w:rPr>
          <w:rFonts w:ascii="Garamond" w:hAnsi="Garamond"/>
          <w:color w:val="000000"/>
          <w:sz w:val="24"/>
          <w:szCs w:val="24"/>
          <w:lang w:eastAsia="en-GB"/>
        </w:rPr>
        <w:t>k</w:t>
      </w:r>
      <w:r w:rsidRPr="00A57E26">
        <w:rPr>
          <w:rFonts w:ascii="Garamond" w:hAnsi="Garamond"/>
          <w:color w:val="000000"/>
          <w:sz w:val="24"/>
          <w:szCs w:val="24"/>
          <w:lang w:eastAsia="en-GB"/>
        </w:rPr>
        <w:t>reut III, të VKM-së nr. 926, datë 29.12.2014, të ndryshuar</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nënshkruan kontratën e shitjes</w:t>
      </w:r>
      <w:r w:rsidR="00A57E26">
        <w:rPr>
          <w:rFonts w:ascii="Garamond" w:hAnsi="Garamond"/>
          <w:color w:val="000000"/>
          <w:sz w:val="24"/>
          <w:szCs w:val="24"/>
          <w:lang w:eastAsia="en-GB"/>
        </w:rPr>
        <w:t>.</w:t>
      </w:r>
      <w:r w:rsidRPr="00A57E26">
        <w:rPr>
          <w:rFonts w:ascii="Garamond" w:hAnsi="Garamond"/>
          <w:color w:val="000000"/>
          <w:sz w:val="24"/>
          <w:szCs w:val="24"/>
          <w:lang w:eastAsia="en-GB"/>
        </w:rPr>
        <w:t>”.</w:t>
      </w:r>
    </w:p>
    <w:p w14:paraId="4D62912D" w14:textId="70F23C16"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15. Pika 13 e udhëzimit, ndryshohet</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si më poshtë vijon:</w:t>
      </w:r>
    </w:p>
    <w:p w14:paraId="596858E4" w14:textId="3311599B"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“Pas plotësimit të dokumentacionit, sipas afatit të parashikuar në pikën 11</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të kreut II, të VKM-së nr. 926, datë 29.12.2014, të ndryshuar, procedohet si më poshtë vijon:</w:t>
      </w:r>
    </w:p>
    <w:p w14:paraId="1327121A" w14:textId="5FD15332"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a) Komisioni i Vlerësimit, pasi merr të gjitha konfirmimet e nevojshme përgatit dokumentacionin tekniko-ligjor</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si dhe harton vendimin shoqërues, ku më pas ia përcjell strukturës përgjegjëse për privatizim. Në këtë vendim</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krahas përcaktimit të qartë të të dhënave identifikuese të pronës, si sipërfaqja e përgjithshme, ajo nën objekt dhe ajo funksionale, vlera e pronës shtetërore, si edhe përputhshmëria me dokumentacionin kadastral për pasuritë shtetërore</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si edhe për linjat e prodhimit/shërbimit; shprehet edhe për përmbushjen ose jo të kritereve tekniko-ligjore</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sipas legjislacionit në fuqi për privatizimin e pronës shtetërore</w:t>
      </w:r>
      <w:r w:rsidR="00A57E26">
        <w:rPr>
          <w:rFonts w:ascii="Garamond" w:hAnsi="Garamond"/>
          <w:color w:val="000000"/>
          <w:sz w:val="24"/>
          <w:szCs w:val="24"/>
          <w:lang w:eastAsia="en-GB"/>
        </w:rPr>
        <w:t>;</w:t>
      </w:r>
    </w:p>
    <w:p w14:paraId="5CEE18CE" w14:textId="59ADB075"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b) Struktura përgjegjëse për privatizim shqyrton dhe verifikon dokumentacionin e përcjellë</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së bashku me vendimin e këtij komisioni për vijimin e procedurave të privatizimit. Në rast se dokumentacioni rezulton në përputhje me legjislacionin në fuqi, struktura përgjegjëse për privatizimin përgatit vlerësimin përfundimtar për përmbushjen e kritereve në referencë të shkronjës “a”, të pikës 12, kreu II, të VKM-së nr. 926, datë 29.12.2014, të ndryshuar, ku propozon fillimin e procedurave të shitjes dhe ia dërgon ministrit përgjegjës për ekonominë. Në rast të kundërt, struktura përgjegjëse për privatizimin kërkon plotësimin e dokumentacionit apo saktësimin e tij, në përputhje me kërkesat ligjore, duke e rikthyer dosjen pranë komisionit të vlerësimit me rekomandimet përkatëse. Pas miratimit të ministrit, vlerësimi përfundimtar dhe dokumentacioni tekniko-ligjor dërgohen sipas procedurave të brendshme administrative pranë strukturës përgjegjëse për shitjen e pronës shtetërore.</w:t>
      </w:r>
      <w:r w:rsidR="00A57E26">
        <w:rPr>
          <w:rFonts w:ascii="Garamond" w:hAnsi="Garamond"/>
          <w:color w:val="000000"/>
          <w:sz w:val="24"/>
          <w:szCs w:val="24"/>
          <w:lang w:eastAsia="en-GB"/>
        </w:rPr>
        <w:t>”.</w:t>
      </w:r>
    </w:p>
    <w:p w14:paraId="1F885CEF" w14:textId="558E9271"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16. Pika 14 e udhëzimi</w:t>
      </w:r>
      <w:r w:rsidR="00A57E26">
        <w:rPr>
          <w:rFonts w:ascii="Garamond" w:hAnsi="Garamond"/>
          <w:color w:val="000000"/>
          <w:sz w:val="24"/>
          <w:szCs w:val="24"/>
          <w:lang w:eastAsia="en-GB"/>
        </w:rPr>
        <w:t>t ndryshohet, si më poshtë vijon</w:t>
      </w:r>
      <w:r w:rsidRPr="00A57E26">
        <w:rPr>
          <w:rFonts w:ascii="Garamond" w:hAnsi="Garamond"/>
          <w:color w:val="000000"/>
          <w:sz w:val="24"/>
          <w:szCs w:val="24"/>
          <w:lang w:eastAsia="en-GB"/>
        </w:rPr>
        <w:t xml:space="preserve">: </w:t>
      </w:r>
    </w:p>
    <w:p w14:paraId="4D61FED6" w14:textId="246E2758" w:rsidR="00FA5B32" w:rsidRPr="00A57E26" w:rsidRDefault="00A57E26" w:rsidP="00FA5B32">
      <w:pPr>
        <w:autoSpaceDE w:val="0"/>
        <w:autoSpaceDN w:val="0"/>
        <w:adjustRightInd w:val="0"/>
        <w:spacing w:after="0" w:line="240" w:lineRule="auto"/>
        <w:ind w:firstLine="284"/>
        <w:jc w:val="both"/>
        <w:rPr>
          <w:rFonts w:ascii="Garamond" w:hAnsi="Garamond"/>
          <w:color w:val="000000"/>
          <w:sz w:val="24"/>
          <w:szCs w:val="24"/>
          <w:lang w:eastAsia="en-GB"/>
        </w:rPr>
      </w:pPr>
      <w:r>
        <w:rPr>
          <w:rFonts w:ascii="Garamond" w:hAnsi="Garamond"/>
          <w:color w:val="000000"/>
          <w:sz w:val="24"/>
          <w:szCs w:val="24"/>
          <w:lang w:eastAsia="en-GB"/>
        </w:rPr>
        <w:lastRenderedPageBreak/>
        <w:t>“</w:t>
      </w:r>
      <w:r w:rsidR="00FA5B32" w:rsidRPr="00A57E26">
        <w:rPr>
          <w:rFonts w:ascii="Garamond" w:hAnsi="Garamond"/>
          <w:color w:val="000000"/>
          <w:sz w:val="24"/>
          <w:szCs w:val="24"/>
          <w:lang w:eastAsia="en-GB"/>
        </w:rPr>
        <w:t>Në zbatim të shkronjës “a”, të pikës 2, kreu III, të VKM-së nr. 926, datë 29.12.2014, të ndryshuar, për rastet e shitjes së objekteve për të cilat është konfirmuar se ka pronar trualli, bëhet publikimi me afishim në faqen zyrtare të ministrisë përgjegjëse për ekonominë, në mjediset e pronës shtetërore dhe në Buletinin e Njoftimeve Zyrtare për një afat prej 20 (njëzet) ditësh, vetëm për pronarët e truallit</w:t>
      </w:r>
      <w:r w:rsidR="00FA5B32" w:rsidRPr="00A57E26">
        <w:rPr>
          <w:rFonts w:ascii="Garamond" w:hAnsi="Garamond"/>
          <w:i/>
          <w:iCs/>
          <w:color w:val="000000"/>
          <w:sz w:val="24"/>
          <w:szCs w:val="24"/>
          <w:lang w:eastAsia="en-GB"/>
        </w:rPr>
        <w:t>.</w:t>
      </w:r>
      <w:r w:rsidR="00FA5B32" w:rsidRPr="00A57E26">
        <w:rPr>
          <w:rFonts w:ascii="Garamond" w:hAnsi="Garamond"/>
          <w:color w:val="000000"/>
          <w:sz w:val="24"/>
          <w:szCs w:val="24"/>
          <w:lang w:eastAsia="en-GB"/>
        </w:rPr>
        <w:t xml:space="preserve"> </w:t>
      </w:r>
    </w:p>
    <w:p w14:paraId="437A328E" w14:textId="30E824ED"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Ish-pronari i truallit që dëshiron të blejë objektin apo çdo subjekt tjetër që në bazë të dokumenteve që disponon, pretendon të ketë pronësi mbi truallin e objektit që privatizohet, duhet të paraqitet pranë ministrisë përgjegjëse për ekonominë, brenda një afati 20-ditor nga dita e publikimit (afishimit)</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duke depozituar:</w:t>
      </w:r>
    </w:p>
    <w:p w14:paraId="41F2511F" w14:textId="45D12D63"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 kërkesën me shkrim, në të cilën shprehet se dëshiron të blejë objektin e publikuar për shitje;</w:t>
      </w:r>
    </w:p>
    <w:p w14:paraId="081EDC72" w14:textId="60CC6DF9"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 dokumentacionin që vërteton pagesën prej 20% të vlerës totale të objektit (mjete kryesore + mjete xhiro), pa vlerën e truallit të objektit që kërkon të blejë;</w:t>
      </w:r>
    </w:p>
    <w:p w14:paraId="22FBAE26" w14:textId="333F55F7"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 vendimin përkatës të Komisionit të Kthimit dhe Kompensimit të Pronave ish-pronarëve, të noterizuar, të shoqëruar me planvendosjen e pronës;</w:t>
      </w:r>
    </w:p>
    <w:p w14:paraId="2C54AC24" w14:textId="4BCB013F"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 çdo dokument tjetër ligjor të regjistruar në zyrën e regjistrimit të pasurive të paluajtshme, i cili përcakton se ai është pronar i tokës;</w:t>
      </w:r>
    </w:p>
    <w:p w14:paraId="475CADBB" w14:textId="62D15711"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 dëshmi trashëgimie;</w:t>
      </w:r>
    </w:p>
    <w:p w14:paraId="4981B1CE" w14:textId="0260F4E7"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 prokurë përfaqësimi dhe marrëveshje të dokumentuar midis ba</w:t>
      </w:r>
      <w:r w:rsidR="00A57E26">
        <w:rPr>
          <w:rFonts w:ascii="Garamond" w:hAnsi="Garamond"/>
          <w:color w:val="000000"/>
          <w:sz w:val="24"/>
          <w:szCs w:val="24"/>
          <w:lang w:eastAsia="en-GB"/>
        </w:rPr>
        <w:t>shkëpronarëve, kur ka të tillë.”.</w:t>
      </w:r>
    </w:p>
    <w:p w14:paraId="0F8F01A2" w14:textId="6C1FA381" w:rsidR="00FA5B32" w:rsidRPr="00A57E26" w:rsidRDefault="00FA5B32" w:rsidP="00FA5B32">
      <w:pPr>
        <w:tabs>
          <w:tab w:val="left" w:pos="0"/>
        </w:tabs>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17. Në pikën 28 të udhëzimit hiqet togfjalëshi “bazuar dhe në vendimin e Komisionit të</w:t>
      </w:r>
      <w:r w:rsidR="00A57E26">
        <w:rPr>
          <w:rFonts w:ascii="Garamond" w:hAnsi="Garamond"/>
          <w:color w:val="000000"/>
          <w:sz w:val="24"/>
          <w:szCs w:val="24"/>
          <w:lang w:eastAsia="en-GB"/>
        </w:rPr>
        <w:t xml:space="preserve"> Shqyrtimit dhe Transparencës.”.</w:t>
      </w:r>
    </w:p>
    <w:p w14:paraId="7E89649B" w14:textId="14D07657" w:rsidR="00FA5B32" w:rsidRPr="00A57E26" w:rsidRDefault="00FA5B32" w:rsidP="00FA5B32">
      <w:pPr>
        <w:tabs>
          <w:tab w:val="left" w:pos="440"/>
        </w:tabs>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18. Pas pikës 35 shtohen pikat 35/1, 35/2, 35/3, 35/4, 35/5, 35/6, 35/7 dhe 35/8</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me përmbajtje si vijon:</w:t>
      </w:r>
    </w:p>
    <w:p w14:paraId="3D95FDF5" w14:textId="51B81C05"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“35/1. Në zbatim të pikës 27</w:t>
      </w:r>
      <w:r w:rsidR="00A57E26">
        <w:rPr>
          <w:rFonts w:ascii="Garamond" w:hAnsi="Garamond"/>
          <w:color w:val="000000"/>
          <w:sz w:val="24"/>
          <w:szCs w:val="24"/>
          <w:lang w:eastAsia="en-GB"/>
        </w:rPr>
        <w:t>,</w:t>
      </w:r>
      <w:r w:rsidRPr="00A57E26">
        <w:rPr>
          <w:rFonts w:ascii="Garamond" w:hAnsi="Garamond"/>
          <w:color w:val="000000"/>
          <w:sz w:val="24"/>
          <w:szCs w:val="24"/>
          <w:lang w:eastAsia="en-GB"/>
        </w:rPr>
        <w:t xml:space="preserve"> të kreut III, të VKM-së nr. 926, datë 29.12.2014, të ndryshuar, pas kryerjes së pagesës së vlerës së plotë të pronës shtetërore, struktura përgjegjëse për shitjen verifikon dokumentacionin e pronës, përfshirë dokumentacionin e rifreskuar të pronësisë të marrë nga ASHK</w:t>
      </w:r>
      <w:r w:rsidR="00A57E26">
        <w:rPr>
          <w:rFonts w:ascii="Garamond" w:hAnsi="Garamond"/>
          <w:color w:val="000000"/>
          <w:sz w:val="24"/>
          <w:szCs w:val="24"/>
          <w:lang w:eastAsia="en-GB"/>
        </w:rPr>
        <w:t>-ja</w:t>
      </w:r>
      <w:r w:rsidRPr="00A57E26">
        <w:rPr>
          <w:rFonts w:ascii="Garamond" w:hAnsi="Garamond"/>
          <w:color w:val="000000"/>
          <w:sz w:val="24"/>
          <w:szCs w:val="24"/>
          <w:lang w:eastAsia="en-GB"/>
        </w:rPr>
        <w:t xml:space="preserve"> (kartelë pasurie dhe hartë treguese). Pas këtij verifikimi, drejtuesi i strukturës përgjegjëse për shitjen nënshkruan k</w:t>
      </w:r>
      <w:r w:rsidR="00A57E26">
        <w:rPr>
          <w:rFonts w:ascii="Garamond" w:hAnsi="Garamond"/>
          <w:color w:val="000000"/>
          <w:sz w:val="24"/>
          <w:szCs w:val="24"/>
          <w:lang w:eastAsia="en-GB"/>
        </w:rPr>
        <w:t>ontratën e shitjes me blerësin.</w:t>
      </w:r>
    </w:p>
    <w:p w14:paraId="3E3C6F0E" w14:textId="379C6363"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35/2. Në zbatim të pikës 34, të kreut III, të VKM-së nr. 926, datë 29.12.2014, të ndryshuar, për subjektet qiramarrëse ose enfiteozëmarrëse të pasurive shtetërore me sipërfaqe mbi 500 (pesëqind) m², të dhëna me qira ose enfiteozë sipas kontratave me tarifën “1 euro/kontrata”, kërkesa për blerjen e pasurisë shqyrtohet në përputhje me pikat 35 deri në 43 të këtij kreu, me kusht që pasuria të mos jetë pasuri shtetërore e patjetërsueshme, në kuptim të ligjit nr. 8743, datë 22.2.2001, “Për pronat e paluajtshme të shtetit”, të ndryshuar, dhe subjekti të ketë realizuar, brenda afatit të përcaktuar në kontratën e qirasë ose enfiteozës për realizimin e investimit, investime në vlerë mbi 5 000 000 (pesë milionë) euro dhe në një vlerë më të lartë se 750 (shtatëqind e pesëdhjetë) për qind e vlerës së pasurisë shtetërore objekt i kërkesës për blerje. Përmbushja e këtyre kushteve vërtetohet nëpërmjet dokumentacionit kontraktor, financiar dhe teknik</w:t>
      </w:r>
      <w:r w:rsidR="00E60B39">
        <w:rPr>
          <w:rFonts w:ascii="Garamond" w:hAnsi="Garamond"/>
          <w:color w:val="000000"/>
          <w:sz w:val="24"/>
          <w:szCs w:val="24"/>
          <w:lang w:eastAsia="en-GB"/>
        </w:rPr>
        <w:t>,</w:t>
      </w:r>
      <w:r w:rsidRPr="00A57E26">
        <w:rPr>
          <w:rFonts w:ascii="Garamond" w:hAnsi="Garamond"/>
          <w:color w:val="000000"/>
          <w:sz w:val="24"/>
          <w:szCs w:val="24"/>
          <w:lang w:eastAsia="en-GB"/>
        </w:rPr>
        <w:t xml:space="preserve"> që provon realizimin dhe vlerën e investimeve, si dhe dokumentacionit që përcakton vlerën e pasurisë objekt i kërkesës.</w:t>
      </w:r>
    </w:p>
    <w:p w14:paraId="2F7D37C4" w14:textId="0C9378D2"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35/3. Në zbatim të pikave 36 dhe 37, të kreut III, të VKM-së nr. 926, datë 29.12.2014, të ndryshuar, në kontratën e shitjes përfshihen dispozita që parashikojnë detyrimin e blerësit për të realizuar vlerën e plotë të investimit sipas plan-biznesit, brenda afatit të parashikuar në kontratën e mëparshme të qirasë ose enfiteozës, i cili pasqyrohet si kufizim në kartelën e pasurisë, si dhe vijimin e përmbushjes nga palët të detyrimeve të tjera të parashikuara në kontratën e mëparshme, që lidhen me çështjet teknike, ekonomike, të raportimit etj., me përjashtim të detyrimeve bazike të qirasë, ngushtësisht si institut i Kodit Civil. Në rast se blerësi nuk përmbush detyrimin për përfundimin e investimit sipas kushteve dhe afateve të kontratës së mëparshme të qirasë ose enfiteozës, ministria përgjegjëse ka të drejtë të zgjidhë në mënyrë të njëanshme kontratën e shitjes, sipas neneve 702, 703 dhe 737 të Kodit Civil, me rikthimin e pasurisë së privatizuar në pronësi të shtetit dhe me të drejtën për të mbajtur shumën e paguar më parë nga blerësi për blerjen e pasurisë. Blerësi nuk ka të drejtë ta tjetërsojë pasurinë e privatizuar te</w:t>
      </w:r>
      <w:r w:rsidR="00E60B39">
        <w:rPr>
          <w:rFonts w:ascii="Garamond" w:hAnsi="Garamond"/>
          <w:color w:val="000000"/>
          <w:sz w:val="24"/>
          <w:szCs w:val="24"/>
          <w:lang w:eastAsia="en-GB"/>
        </w:rPr>
        <w:t>k</w:t>
      </w:r>
      <w:r w:rsidRPr="00A57E26">
        <w:rPr>
          <w:rFonts w:ascii="Garamond" w:hAnsi="Garamond"/>
          <w:color w:val="000000"/>
          <w:sz w:val="24"/>
          <w:szCs w:val="24"/>
          <w:lang w:eastAsia="en-GB"/>
        </w:rPr>
        <w:t xml:space="preserve"> të tretët deri në realizimin e vlerës së plotë të investimit të parashikuar në kontratën e mëparshme të qirasë ose enfiteozës, ku ky ndalim përbën hipotekë ligjore mbi pasurinë e privatizuar, në kuptim të nenit 563, shkronja “a”, të Kodit Civil, dhe pasqyrohet në regjistrin kadastral, ndërsa ky ndalim nuk pengon zhvillimin e pronës</w:t>
      </w:r>
      <w:r w:rsidR="00E60B39">
        <w:rPr>
          <w:rFonts w:ascii="Garamond" w:hAnsi="Garamond"/>
          <w:color w:val="000000"/>
          <w:sz w:val="24"/>
          <w:szCs w:val="24"/>
          <w:lang w:eastAsia="en-GB"/>
        </w:rPr>
        <w:t>,</w:t>
      </w:r>
      <w:r w:rsidRPr="00A57E26">
        <w:rPr>
          <w:rFonts w:ascii="Garamond" w:hAnsi="Garamond"/>
          <w:color w:val="000000"/>
          <w:sz w:val="24"/>
          <w:szCs w:val="24"/>
          <w:lang w:eastAsia="en-GB"/>
        </w:rPr>
        <w:t xml:space="preserve"> në </w:t>
      </w:r>
      <w:r w:rsidRPr="00A57E26">
        <w:rPr>
          <w:rFonts w:ascii="Garamond" w:hAnsi="Garamond"/>
          <w:color w:val="000000"/>
          <w:sz w:val="24"/>
          <w:szCs w:val="24"/>
          <w:lang w:eastAsia="en-GB"/>
        </w:rPr>
        <w:lastRenderedPageBreak/>
        <w:t>përputhje me projektin e përcaktuar më parë dhe legjislacionin për planifikimin dhe zhvillimin e territorit, si dhe lidhjen e kontratave të sipërmarrjes ose porosisë për objektet e ndërtuara mbi të. Pas realizimit të vlerës së investimit sipas kontratës së qirasë ose enfiteozës, brenda afatit të përcaktuar në të, blerësi njofton ministrinë përgjegjëse për ekonominë, duke paraqitur aktin e vlerësimit që vërteton përmbushjen e investimit në vlerën dhe masën e përcaktuar në kontratë.</w:t>
      </w:r>
    </w:p>
    <w:p w14:paraId="7EA73F9E" w14:textId="76662999" w:rsidR="00FA5B32" w:rsidRPr="00A57E26" w:rsidRDefault="00FA5B32" w:rsidP="00FA5B32">
      <w:pPr>
        <w:tabs>
          <w:tab w:val="left" w:pos="0"/>
          <w:tab w:val="left" w:pos="440"/>
        </w:tabs>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 xml:space="preserve">35/4. Në zbatim të pikës 2, të </w:t>
      </w:r>
      <w:r w:rsidR="00E60B39">
        <w:rPr>
          <w:rFonts w:ascii="Garamond" w:hAnsi="Garamond"/>
          <w:color w:val="000000"/>
          <w:sz w:val="24"/>
          <w:szCs w:val="24"/>
          <w:lang w:eastAsia="en-GB"/>
        </w:rPr>
        <w:t>k</w:t>
      </w:r>
      <w:r w:rsidRPr="00A57E26">
        <w:rPr>
          <w:rFonts w:ascii="Garamond" w:hAnsi="Garamond"/>
          <w:color w:val="000000"/>
          <w:sz w:val="24"/>
          <w:szCs w:val="24"/>
          <w:lang w:eastAsia="en-GB"/>
        </w:rPr>
        <w:t>reut III/</w:t>
      </w:r>
      <w:r w:rsidR="00E60B39">
        <w:rPr>
          <w:rFonts w:ascii="Garamond" w:hAnsi="Garamond"/>
          <w:color w:val="000000"/>
          <w:sz w:val="24"/>
          <w:szCs w:val="24"/>
          <w:lang w:eastAsia="en-GB"/>
        </w:rPr>
        <w:t xml:space="preserve">1, të </w:t>
      </w:r>
      <w:r w:rsidRPr="00A57E26">
        <w:rPr>
          <w:rFonts w:ascii="Garamond" w:hAnsi="Garamond"/>
          <w:color w:val="000000"/>
          <w:sz w:val="24"/>
          <w:szCs w:val="24"/>
          <w:lang w:eastAsia="en-GB"/>
        </w:rPr>
        <w:t>VKM-së nr. 926, datë 29.12.2014, të ndryshuar, kërkesa për kryerjen e shkëmbimit paraqitet vetëm nga institucionet qendrore dhe organet e njësive të vetëqeverisjes vendore, ndërmarrjet shtetërore në varësi të tyre, të cilat kanë në përgjegjësi administrimi, pronësi ose përdorim pasurinë shtetërore, në vijim të quajtura bashkërisht “Organe propozuese”.</w:t>
      </w:r>
    </w:p>
    <w:p w14:paraId="541DBF85" w14:textId="0057CCF4" w:rsidR="00FA5B32" w:rsidRPr="00A57E26" w:rsidRDefault="00FA5B32" w:rsidP="00FA5B32">
      <w:pPr>
        <w:tabs>
          <w:tab w:val="left" w:pos="440"/>
        </w:tabs>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35/5.</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 xml:space="preserve">Në zbatim të pikës 14, të </w:t>
      </w:r>
      <w:r w:rsidR="00E60B39">
        <w:rPr>
          <w:rFonts w:ascii="Garamond" w:hAnsi="Garamond"/>
          <w:color w:val="000000"/>
          <w:sz w:val="24"/>
          <w:szCs w:val="24"/>
          <w:lang w:eastAsia="en-GB"/>
        </w:rPr>
        <w:t>k</w:t>
      </w:r>
      <w:r w:rsidRPr="00A57E26">
        <w:rPr>
          <w:rFonts w:ascii="Garamond" w:hAnsi="Garamond"/>
          <w:color w:val="000000"/>
          <w:sz w:val="24"/>
          <w:szCs w:val="24"/>
          <w:lang w:eastAsia="en-GB"/>
        </w:rPr>
        <w:t>reut III/1, të</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VKM-së nr. 926, datë 29.12.2014, të ndryshuar, pas marrjes së vendimit për përzgjedhjen e pasurisë, që propozohet të përfitohet përmes shkëmbimit, organi propozues i përcjell ministrisë përgjegjëse për ekonominë kërkesën për fillimin e procedurave të privatizimit përmes shkëmbimit</w:t>
      </w:r>
      <w:r w:rsidR="00E60B39">
        <w:rPr>
          <w:rFonts w:ascii="Garamond" w:hAnsi="Garamond"/>
          <w:color w:val="000000"/>
          <w:sz w:val="24"/>
          <w:szCs w:val="24"/>
          <w:lang w:eastAsia="en-GB"/>
        </w:rPr>
        <w:t>,</w:t>
      </w:r>
      <w:r w:rsidRPr="00A57E26">
        <w:rPr>
          <w:rFonts w:ascii="Garamond" w:hAnsi="Garamond"/>
          <w:color w:val="000000"/>
          <w:sz w:val="24"/>
          <w:szCs w:val="24"/>
          <w:lang w:eastAsia="en-GB"/>
        </w:rPr>
        <w:t xml:space="preserve"> bazuar në argumentimin e saktë të nevojave për privatizimin e një prone tjetër nëpërmjet shkëmbimit me pronën që disponohet. </w:t>
      </w:r>
    </w:p>
    <w:p w14:paraId="57F7D8F5" w14:textId="3574DBE7"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 xml:space="preserve">35/6. Struktura </w:t>
      </w:r>
      <w:r w:rsidR="00E60B39" w:rsidRPr="00A57E26">
        <w:rPr>
          <w:rFonts w:ascii="Garamond" w:hAnsi="Garamond"/>
          <w:color w:val="000000"/>
          <w:sz w:val="24"/>
          <w:szCs w:val="24"/>
          <w:lang w:eastAsia="en-GB"/>
        </w:rPr>
        <w:t>përgjegjëse</w:t>
      </w:r>
      <w:r w:rsidRPr="00A57E26">
        <w:rPr>
          <w:rFonts w:ascii="Garamond" w:hAnsi="Garamond"/>
          <w:color w:val="000000"/>
          <w:sz w:val="24"/>
          <w:szCs w:val="24"/>
          <w:lang w:eastAsia="en-GB"/>
        </w:rPr>
        <w:t xml:space="preserve"> për privatizimin vlerëson kërkesën e përcjellë nga organi propozues për fillimin e procedurave të privatizimit përmes shkëmbimit dhe i propozon ministrit përgjegjës për ekonominë miratimin ose jo të kërkesë</w:t>
      </w:r>
      <w:r w:rsidR="00E60B39">
        <w:rPr>
          <w:rFonts w:ascii="Garamond" w:hAnsi="Garamond"/>
          <w:color w:val="000000"/>
          <w:sz w:val="24"/>
          <w:szCs w:val="24"/>
          <w:lang w:eastAsia="en-GB"/>
        </w:rPr>
        <w:t>s. Në rast miratimi të kërkesës</w:t>
      </w:r>
      <w:r w:rsidRPr="00A57E26">
        <w:rPr>
          <w:rFonts w:ascii="Garamond" w:hAnsi="Garamond"/>
          <w:color w:val="000000"/>
          <w:sz w:val="24"/>
          <w:szCs w:val="24"/>
          <w:lang w:eastAsia="en-GB"/>
        </w:rPr>
        <w:t xml:space="preserve"> nga ministri përgjegjës për ekonominë, organi propozues fillon procedurat për realizimin e shkëmbimit sipas </w:t>
      </w:r>
      <w:r w:rsidR="00E60B39">
        <w:rPr>
          <w:rFonts w:ascii="Garamond" w:hAnsi="Garamond"/>
          <w:color w:val="000000"/>
          <w:sz w:val="24"/>
          <w:szCs w:val="24"/>
          <w:lang w:eastAsia="en-GB"/>
        </w:rPr>
        <w:t>k</w:t>
      </w:r>
      <w:r w:rsidRPr="00A57E26">
        <w:rPr>
          <w:rFonts w:ascii="Garamond" w:hAnsi="Garamond"/>
          <w:color w:val="000000"/>
          <w:sz w:val="24"/>
          <w:szCs w:val="24"/>
          <w:lang w:eastAsia="en-GB"/>
        </w:rPr>
        <w:t>reut III/1, të VKM-së nr. 926,</w:t>
      </w:r>
      <w:r w:rsidR="00E60B39">
        <w:rPr>
          <w:rFonts w:ascii="Garamond" w:hAnsi="Garamond"/>
          <w:color w:val="000000"/>
          <w:sz w:val="24"/>
          <w:szCs w:val="24"/>
          <w:lang w:eastAsia="en-GB"/>
        </w:rPr>
        <w:t xml:space="preserve"> datë 29.12.2014, të ndryshuar.</w:t>
      </w:r>
    </w:p>
    <w:p w14:paraId="0E903643" w14:textId="77777777" w:rsidR="00FA5B32" w:rsidRPr="00A57E26" w:rsidRDefault="00FA5B32" w:rsidP="00FA5B32">
      <w:pPr>
        <w:tabs>
          <w:tab w:val="left" w:pos="440"/>
        </w:tabs>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35/7. Ministria përgjegjëse për ekonominë, pas shqyrtimit të dokumentacionit të paraqitur nga organi propozues, merr vendim brenda 60 (gjashtëdhjetë) ditëve nga paraqitja e kërkesës. Vendimi i arsyetuar i njoftohet titullarit të organit propozues brenda 10 (dhjetë) ditëve nga data e tij.</w:t>
      </w:r>
    </w:p>
    <w:p w14:paraId="02AF3CF3" w14:textId="0B221485" w:rsidR="00FA5B32" w:rsidRPr="00A57E26" w:rsidRDefault="00FA5B32" w:rsidP="00FA5B32">
      <w:pPr>
        <w:tabs>
          <w:tab w:val="left" w:pos="440"/>
        </w:tabs>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35/8. Ministria përgjegjëse për ekonominë, në bazë të dokumentacionit të përcaktuar në pikën 13, të</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kreut III/1, të VKM-së nr. 926, datë 29.12.2014, të ndryshuar,</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shqyrton kërkesën e organit propozues vetëm për sa u përket aspekteve të vlerësimit financiar të pronave, referuar shkronjës “ç”, të pikës 8, të të njëjtit kre, si dhe konstaton statusin</w:t>
      </w:r>
      <w:r w:rsidR="00E60B39">
        <w:rPr>
          <w:rFonts w:ascii="Garamond" w:hAnsi="Garamond"/>
          <w:color w:val="000000"/>
          <w:sz w:val="24"/>
          <w:szCs w:val="24"/>
          <w:lang w:eastAsia="en-GB"/>
        </w:rPr>
        <w:t>,</w:t>
      </w:r>
      <w:r w:rsidRPr="00A57E26">
        <w:rPr>
          <w:rFonts w:ascii="Garamond" w:hAnsi="Garamond"/>
          <w:color w:val="000000"/>
          <w:sz w:val="24"/>
          <w:szCs w:val="24"/>
          <w:lang w:eastAsia="en-GB"/>
        </w:rPr>
        <w:t xml:space="preserve"> sipas dokumentacionit kadastral të përcjellë. Ajo ka të drejtë të mos e miratojë kërkesën e organit për një nga këto arsye: </w:t>
      </w:r>
    </w:p>
    <w:p w14:paraId="17C1D9B9" w14:textId="77777777" w:rsidR="00FA5B32" w:rsidRPr="00A57E26" w:rsidRDefault="00FA5B32" w:rsidP="00FA5B32">
      <w:pPr>
        <w:tabs>
          <w:tab w:val="left" w:pos="440"/>
        </w:tabs>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a) nëse vlera e pasurisë shtetërore është më e madhe se ajo e pronës private që propozohet të shkëmbehet me të dhe subjekti privat nuk ka ofruar kompensimin e diferencës në të holla;</w:t>
      </w:r>
    </w:p>
    <w:p w14:paraId="02CA3E78" w14:textId="7BA78ABC" w:rsidR="00FA5B32" w:rsidRPr="00A57E26" w:rsidRDefault="00FA5B32" w:rsidP="00FA5B32">
      <w:pPr>
        <w:tabs>
          <w:tab w:val="left" w:pos="440"/>
        </w:tabs>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b) nëse është verifikuar pasaktësi në raportet e vlerësimit të pronave ose në të dhënat e paraqitura për to; për të verifikuar këtë kriter, ministria përgjegjëse rikryen vlerësimin e pasurive që shkëmbehen, pavarësisht akteve të paraqitur</w:t>
      </w:r>
      <w:r w:rsidR="00E60B39">
        <w:rPr>
          <w:rFonts w:ascii="Garamond" w:hAnsi="Garamond"/>
          <w:color w:val="000000"/>
          <w:sz w:val="24"/>
          <w:szCs w:val="24"/>
          <w:lang w:eastAsia="en-GB"/>
        </w:rPr>
        <w:t>a nga organi shtetëror kërkues;</w:t>
      </w:r>
    </w:p>
    <w:p w14:paraId="23CB24D0" w14:textId="21AAC053" w:rsidR="00FA5B32" w:rsidRPr="00A57E26" w:rsidRDefault="00FA5B32" w:rsidP="00FA5B32">
      <w:pPr>
        <w:tabs>
          <w:tab w:val="left" w:pos="440"/>
        </w:tabs>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c) nëse është i pranishëm një nga rastet e parashikuara në pikën 4, të kreut III/1, të</w:t>
      </w:r>
      <w:r w:rsidR="00E60B39">
        <w:rPr>
          <w:rFonts w:ascii="Garamond" w:hAnsi="Garamond"/>
          <w:color w:val="000000"/>
          <w:sz w:val="24"/>
          <w:szCs w:val="24"/>
          <w:lang w:eastAsia="en-GB"/>
        </w:rPr>
        <w:t xml:space="preserve"> </w:t>
      </w:r>
      <w:r w:rsidRPr="00A57E26">
        <w:rPr>
          <w:rFonts w:ascii="Garamond" w:hAnsi="Garamond"/>
          <w:color w:val="000000"/>
          <w:sz w:val="24"/>
          <w:szCs w:val="24"/>
          <w:lang w:eastAsia="en-GB"/>
        </w:rPr>
        <w:t>VKM-së nr. 926, datë 29.12.2014, të ndryshuar.</w:t>
      </w:r>
      <w:r w:rsidR="00E60B39">
        <w:rPr>
          <w:rFonts w:ascii="Garamond" w:hAnsi="Garamond"/>
          <w:color w:val="000000"/>
          <w:sz w:val="24"/>
          <w:szCs w:val="24"/>
          <w:lang w:eastAsia="en-GB"/>
        </w:rPr>
        <w:t>”.</w:t>
      </w:r>
    </w:p>
    <w:p w14:paraId="16EF4DE8" w14:textId="40F1B60A" w:rsidR="00FA5B32" w:rsidRPr="00A57E26" w:rsidRDefault="00FA5B32" w:rsidP="00FA5B32">
      <w:pPr>
        <w:tabs>
          <w:tab w:val="left" w:pos="140"/>
        </w:tabs>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 xml:space="preserve">II. Ngarkohet </w:t>
      </w:r>
      <w:r w:rsidR="00E60B39">
        <w:rPr>
          <w:rFonts w:ascii="Garamond" w:hAnsi="Garamond"/>
          <w:color w:val="000000"/>
          <w:sz w:val="24"/>
          <w:szCs w:val="24"/>
          <w:lang w:eastAsia="en-GB"/>
        </w:rPr>
        <w:t>m</w:t>
      </w:r>
      <w:r w:rsidRPr="00A57E26">
        <w:rPr>
          <w:rFonts w:ascii="Garamond" w:hAnsi="Garamond"/>
          <w:color w:val="000000"/>
          <w:sz w:val="24"/>
          <w:szCs w:val="24"/>
          <w:lang w:eastAsia="en-GB"/>
        </w:rPr>
        <w:t>inistria përgjegjëse për ekonominë për zbatimin e këtij udhëzimi.</w:t>
      </w:r>
    </w:p>
    <w:p w14:paraId="2AFC0F8D" w14:textId="4D381D0A"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r w:rsidRPr="00A57E26">
        <w:rPr>
          <w:rFonts w:ascii="Garamond" w:hAnsi="Garamond"/>
          <w:color w:val="000000"/>
          <w:sz w:val="24"/>
          <w:szCs w:val="24"/>
          <w:lang w:eastAsia="en-GB"/>
        </w:rPr>
        <w:t xml:space="preserve">Ky </w:t>
      </w:r>
      <w:r w:rsidR="00E60B39">
        <w:rPr>
          <w:rFonts w:ascii="Garamond" w:hAnsi="Garamond"/>
          <w:color w:val="000000"/>
          <w:sz w:val="24"/>
          <w:szCs w:val="24"/>
          <w:lang w:eastAsia="en-GB"/>
        </w:rPr>
        <w:t>u</w:t>
      </w:r>
      <w:r w:rsidRPr="00A57E26">
        <w:rPr>
          <w:rFonts w:ascii="Garamond" w:hAnsi="Garamond"/>
          <w:color w:val="000000"/>
          <w:sz w:val="24"/>
          <w:szCs w:val="24"/>
          <w:lang w:eastAsia="en-GB"/>
        </w:rPr>
        <w:t>dhëzim hyn në fuqi pas botimit në Fletoren Zyrtare.</w:t>
      </w:r>
      <w:bookmarkStart w:id="4" w:name="_GoBack"/>
      <w:bookmarkEnd w:id="4"/>
    </w:p>
    <w:p w14:paraId="587E3D7B" w14:textId="77777777" w:rsidR="00FA5B32" w:rsidRPr="00A57E26" w:rsidRDefault="00FA5B32" w:rsidP="00FA5B32">
      <w:pPr>
        <w:autoSpaceDE w:val="0"/>
        <w:autoSpaceDN w:val="0"/>
        <w:adjustRightInd w:val="0"/>
        <w:spacing w:after="0" w:line="240" w:lineRule="auto"/>
        <w:ind w:firstLine="284"/>
        <w:jc w:val="both"/>
        <w:rPr>
          <w:rFonts w:ascii="Garamond" w:hAnsi="Garamond"/>
          <w:color w:val="000000"/>
          <w:sz w:val="24"/>
          <w:szCs w:val="24"/>
          <w:lang w:eastAsia="en-GB"/>
        </w:rPr>
      </w:pPr>
    </w:p>
    <w:p w14:paraId="22ED5E54" w14:textId="7962A9AE" w:rsidR="00FA5B32" w:rsidRPr="00A57E26" w:rsidRDefault="00FA5B32" w:rsidP="00FA5B32">
      <w:pPr>
        <w:autoSpaceDE w:val="0"/>
        <w:autoSpaceDN w:val="0"/>
        <w:adjustRightInd w:val="0"/>
        <w:spacing w:after="0" w:line="240" w:lineRule="auto"/>
        <w:ind w:firstLine="284"/>
        <w:jc w:val="right"/>
        <w:rPr>
          <w:rFonts w:ascii="Garamond" w:hAnsi="Garamond"/>
          <w:bCs/>
          <w:color w:val="000000"/>
          <w:sz w:val="24"/>
          <w:szCs w:val="24"/>
          <w:lang w:eastAsia="en-GB"/>
        </w:rPr>
      </w:pPr>
      <w:r w:rsidRPr="00A57E26">
        <w:rPr>
          <w:rFonts w:ascii="Garamond" w:hAnsi="Garamond"/>
          <w:bCs/>
          <w:color w:val="000000"/>
          <w:sz w:val="24"/>
          <w:szCs w:val="24"/>
          <w:lang w:eastAsia="en-GB"/>
        </w:rPr>
        <w:t>MINISTËR I EKONOMISË DHE INOVACIONIT</w:t>
      </w:r>
    </w:p>
    <w:p w14:paraId="074888A6" w14:textId="1E8B118E" w:rsidR="00FA5B32" w:rsidRPr="00A57E26" w:rsidRDefault="00FA5B32" w:rsidP="00FA5B32">
      <w:pPr>
        <w:autoSpaceDE w:val="0"/>
        <w:autoSpaceDN w:val="0"/>
        <w:adjustRightInd w:val="0"/>
        <w:spacing w:after="0" w:line="240" w:lineRule="auto"/>
        <w:ind w:firstLine="284"/>
        <w:jc w:val="right"/>
        <w:rPr>
          <w:rFonts w:ascii="Garamond" w:hAnsi="Garamond"/>
          <w:b/>
          <w:bCs/>
          <w:color w:val="000000"/>
          <w:sz w:val="24"/>
          <w:szCs w:val="24"/>
          <w:lang w:eastAsia="en-GB"/>
        </w:rPr>
      </w:pPr>
      <w:r w:rsidRPr="00A57E26">
        <w:rPr>
          <w:rFonts w:ascii="Garamond" w:hAnsi="Garamond"/>
          <w:b/>
          <w:bCs/>
          <w:color w:val="000000"/>
          <w:sz w:val="24"/>
          <w:szCs w:val="24"/>
          <w:lang w:eastAsia="en-GB"/>
        </w:rPr>
        <w:t>Delina Ibrahimaj</w:t>
      </w:r>
    </w:p>
    <w:p w14:paraId="04AEEA67" w14:textId="77777777" w:rsidR="00FA5B32" w:rsidRPr="00A57E26" w:rsidRDefault="00FA5B32" w:rsidP="00FA5B32">
      <w:pPr>
        <w:autoSpaceDE w:val="0"/>
        <w:autoSpaceDN w:val="0"/>
        <w:adjustRightInd w:val="0"/>
        <w:spacing w:after="0" w:line="240" w:lineRule="auto"/>
        <w:ind w:firstLine="284"/>
        <w:rPr>
          <w:rFonts w:ascii="Garamond" w:hAnsi="Garamond"/>
          <w:b/>
          <w:bCs/>
          <w:color w:val="000000"/>
          <w:sz w:val="24"/>
          <w:szCs w:val="24"/>
          <w:lang w:eastAsia="en-GB"/>
        </w:rPr>
      </w:pPr>
    </w:p>
    <w:sectPr w:rsidR="00FA5B32" w:rsidRPr="00A57E26" w:rsidSect="002E6103">
      <w:pgSz w:w="11907" w:h="16839" w:code="9"/>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94D02D" w14:textId="77777777" w:rsidR="007E3A0B" w:rsidRDefault="007E3A0B" w:rsidP="002660D9">
      <w:pPr>
        <w:spacing w:after="0" w:line="240" w:lineRule="auto"/>
      </w:pPr>
      <w:r>
        <w:separator/>
      </w:r>
    </w:p>
  </w:endnote>
  <w:endnote w:type="continuationSeparator" w:id="0">
    <w:p w14:paraId="6499FD15" w14:textId="77777777" w:rsidR="007E3A0B" w:rsidRDefault="007E3A0B" w:rsidP="002660D9">
      <w:pPr>
        <w:spacing w:after="0" w:line="240" w:lineRule="auto"/>
      </w:pPr>
      <w:r>
        <w:continuationSeparator/>
      </w:r>
    </w:p>
  </w:endnote>
  <w:endnote w:type="continuationNotice" w:id="1">
    <w:p w14:paraId="317B6D05" w14:textId="77777777" w:rsidR="008662EF" w:rsidRDefault="008662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830E3" w14:textId="77777777" w:rsidR="007E3A0B" w:rsidRDefault="007E3A0B" w:rsidP="002660D9">
      <w:pPr>
        <w:spacing w:after="0" w:line="240" w:lineRule="auto"/>
      </w:pPr>
      <w:r>
        <w:separator/>
      </w:r>
    </w:p>
  </w:footnote>
  <w:footnote w:type="continuationSeparator" w:id="0">
    <w:p w14:paraId="0076171F" w14:textId="77777777" w:rsidR="007E3A0B" w:rsidRDefault="007E3A0B" w:rsidP="002660D9">
      <w:pPr>
        <w:spacing w:after="0" w:line="240" w:lineRule="auto"/>
      </w:pPr>
      <w:r>
        <w:continuationSeparator/>
      </w:r>
    </w:p>
  </w:footnote>
  <w:footnote w:type="continuationNotice" w:id="1">
    <w:p w14:paraId="7BEFE72F" w14:textId="77777777" w:rsidR="008662EF" w:rsidRDefault="008662EF">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1402E"/>
    <w:multiLevelType w:val="hybridMultilevel"/>
    <w:tmpl w:val="99DAD324"/>
    <w:lvl w:ilvl="0" w:tplc="C15A2616">
      <w:start w:val="4"/>
      <w:numFmt w:val="decimal"/>
      <w:lvlText w:val="%1."/>
      <w:lvlJc w:val="left"/>
      <w:pPr>
        <w:ind w:left="900" w:hanging="360"/>
      </w:pPr>
      <w:rPr>
        <w:rFonts w:eastAsia="Calibr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61465F8"/>
    <w:multiLevelType w:val="hybridMultilevel"/>
    <w:tmpl w:val="D6841276"/>
    <w:lvl w:ilvl="0" w:tplc="7388C00C">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CA22E2"/>
    <w:multiLevelType w:val="hybridMultilevel"/>
    <w:tmpl w:val="B3E01DA6"/>
    <w:lvl w:ilvl="0" w:tplc="FFFFFFFF">
      <w:start w:val="1"/>
      <w:numFmt w:val="bullet"/>
      <w:lvlText w:val=""/>
      <w:lvlJc w:val="left"/>
      <w:pPr>
        <w:ind w:left="1530" w:hanging="360"/>
      </w:pPr>
      <w:rPr>
        <w:rFonts w:ascii="Symbol" w:hAnsi="Symbol" w:hint="default"/>
      </w:rPr>
    </w:lvl>
    <w:lvl w:ilvl="1" w:tplc="EC3EB59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524084"/>
    <w:multiLevelType w:val="hybridMultilevel"/>
    <w:tmpl w:val="2FBCB520"/>
    <w:lvl w:ilvl="0" w:tplc="0409000F">
      <w:start w:val="1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D5936CC"/>
    <w:multiLevelType w:val="hybridMultilevel"/>
    <w:tmpl w:val="CA5A5B20"/>
    <w:lvl w:ilvl="0" w:tplc="EC3EB59E">
      <w:start w:val="1"/>
      <w:numFmt w:val="bullet"/>
      <w:lvlText w:val=""/>
      <w:lvlJc w:val="left"/>
      <w:pPr>
        <w:ind w:left="15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E7706D"/>
    <w:multiLevelType w:val="hybridMultilevel"/>
    <w:tmpl w:val="2EF4D5CC"/>
    <w:lvl w:ilvl="0" w:tplc="78F6E8A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1F4B70"/>
    <w:multiLevelType w:val="hybridMultilevel"/>
    <w:tmpl w:val="1C74025A"/>
    <w:lvl w:ilvl="0" w:tplc="CD4EC35C">
      <w:start w:val="18"/>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0F23740C"/>
    <w:multiLevelType w:val="hybridMultilevel"/>
    <w:tmpl w:val="DB724FDE"/>
    <w:lvl w:ilvl="0" w:tplc="9F6A1B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F295D44"/>
    <w:multiLevelType w:val="hybridMultilevel"/>
    <w:tmpl w:val="59D6C02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158D6DBA"/>
    <w:multiLevelType w:val="hybridMultilevel"/>
    <w:tmpl w:val="F3EA0F86"/>
    <w:lvl w:ilvl="0" w:tplc="9DF665BA">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15BF0322"/>
    <w:multiLevelType w:val="hybridMultilevel"/>
    <w:tmpl w:val="7FE61E5C"/>
    <w:lvl w:ilvl="0" w:tplc="F9C0D54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188A20EA"/>
    <w:multiLevelType w:val="hybridMultilevel"/>
    <w:tmpl w:val="D6841276"/>
    <w:lvl w:ilvl="0" w:tplc="FFFFFFFF">
      <w:start w:val="1"/>
      <w:numFmt w:val="decimal"/>
      <w:lvlText w:val="%1."/>
      <w:lvlJc w:val="left"/>
      <w:pPr>
        <w:ind w:left="81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6E129B"/>
    <w:multiLevelType w:val="hybridMultilevel"/>
    <w:tmpl w:val="00C4B874"/>
    <w:lvl w:ilvl="0" w:tplc="BE762C3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24464AC4"/>
    <w:multiLevelType w:val="hybridMultilevel"/>
    <w:tmpl w:val="E84AF95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F460A3"/>
    <w:multiLevelType w:val="hybridMultilevel"/>
    <w:tmpl w:val="A03C8CD2"/>
    <w:lvl w:ilvl="0" w:tplc="7416F7D0">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5" w15:restartNumberingAfterBreak="0">
    <w:nsid w:val="25654B99"/>
    <w:multiLevelType w:val="hybridMultilevel"/>
    <w:tmpl w:val="0F604F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694246"/>
    <w:multiLevelType w:val="hybridMultilevel"/>
    <w:tmpl w:val="0F64F68A"/>
    <w:lvl w:ilvl="0" w:tplc="8B7211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077F3D"/>
    <w:multiLevelType w:val="hybridMultilevel"/>
    <w:tmpl w:val="E568568C"/>
    <w:lvl w:ilvl="0" w:tplc="04090013">
      <w:start w:val="1"/>
      <w:numFmt w:val="upperRoman"/>
      <w:lvlText w:val="%1."/>
      <w:lvlJc w:val="right"/>
      <w:pPr>
        <w:ind w:left="1080" w:hanging="720"/>
      </w:pPr>
      <w:rPr>
        <w:rFonts w:hint="default"/>
      </w:rPr>
    </w:lvl>
    <w:lvl w:ilvl="1" w:tplc="F4D64766">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4F4814"/>
    <w:multiLevelType w:val="hybridMultilevel"/>
    <w:tmpl w:val="19063BD0"/>
    <w:lvl w:ilvl="0" w:tplc="FFFFFFFF">
      <w:start w:val="1"/>
      <w:numFmt w:val="bullet"/>
      <w:lvlText w:val=""/>
      <w:lvlJc w:val="left"/>
      <w:pPr>
        <w:ind w:left="1530" w:hanging="360"/>
      </w:pPr>
      <w:rPr>
        <w:rFonts w:ascii="Symbol" w:hAnsi="Symbol" w:hint="default"/>
      </w:rPr>
    </w:lvl>
    <w:lvl w:ilvl="1" w:tplc="F4D64766">
      <w:numFmt w:val="bullet"/>
      <w:lvlText w:val="-"/>
      <w:lvlJc w:val="left"/>
      <w:pPr>
        <w:ind w:left="144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FA86A11"/>
    <w:multiLevelType w:val="hybridMultilevel"/>
    <w:tmpl w:val="9E04894A"/>
    <w:lvl w:ilvl="0" w:tplc="34FC2834">
      <w:start w:val="1"/>
      <w:numFmt w:val="lowerRoman"/>
      <w:lvlText w:val="%1."/>
      <w:lvlJc w:val="left"/>
      <w:pPr>
        <w:ind w:left="1560" w:hanging="72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0" w15:restartNumberingAfterBreak="0">
    <w:nsid w:val="31594DF3"/>
    <w:multiLevelType w:val="hybridMultilevel"/>
    <w:tmpl w:val="5A828856"/>
    <w:lvl w:ilvl="0" w:tplc="44A4CC40">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35F03AA"/>
    <w:multiLevelType w:val="hybridMultilevel"/>
    <w:tmpl w:val="0340EB1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755459"/>
    <w:multiLevelType w:val="hybridMultilevel"/>
    <w:tmpl w:val="BB5688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6A626B"/>
    <w:multiLevelType w:val="hybridMultilevel"/>
    <w:tmpl w:val="33D27BD4"/>
    <w:lvl w:ilvl="0" w:tplc="25A22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6964A6"/>
    <w:multiLevelType w:val="hybridMultilevel"/>
    <w:tmpl w:val="90801938"/>
    <w:lvl w:ilvl="0" w:tplc="AA32F592">
      <w:start w:val="1"/>
      <w:numFmt w:val="lowerLetter"/>
      <w:lvlText w:val="%1)"/>
      <w:lvlJc w:val="left"/>
      <w:pPr>
        <w:ind w:left="780" w:hanging="360"/>
      </w:pPr>
      <w:rPr>
        <w:rFonts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25" w15:restartNumberingAfterBreak="0">
    <w:nsid w:val="468929A1"/>
    <w:multiLevelType w:val="hybridMultilevel"/>
    <w:tmpl w:val="D444CCE2"/>
    <w:lvl w:ilvl="0" w:tplc="DFAA10C6">
      <w:start w:val="1"/>
      <w:numFmt w:val="upp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26" w15:restartNumberingAfterBreak="0">
    <w:nsid w:val="4CB745E3"/>
    <w:multiLevelType w:val="hybridMultilevel"/>
    <w:tmpl w:val="7FD44A66"/>
    <w:lvl w:ilvl="0" w:tplc="B52271D2">
      <w:start w:val="1"/>
      <w:numFmt w:val="decimal"/>
      <w:lvlText w:val="%1."/>
      <w:lvlJc w:val="left"/>
      <w:pPr>
        <w:ind w:left="720" w:hanging="720"/>
      </w:pPr>
      <w:rPr>
        <w:rFonts w:hint="default"/>
        <w:i w:val="0"/>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27" w15:restartNumberingAfterBreak="0">
    <w:nsid w:val="4CFD4E96"/>
    <w:multiLevelType w:val="hybridMultilevel"/>
    <w:tmpl w:val="DB2CD9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341A6A"/>
    <w:multiLevelType w:val="multilevel"/>
    <w:tmpl w:val="F9B4F2DA"/>
    <w:lvl w:ilvl="0">
      <w:start w:val="3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96543"/>
    <w:multiLevelType w:val="hybridMultilevel"/>
    <w:tmpl w:val="5F5EF52C"/>
    <w:lvl w:ilvl="0" w:tplc="AE6E432C">
      <w:start w:val="1"/>
      <w:numFmt w:val="upperRoman"/>
      <w:lvlText w:val="%1."/>
      <w:lvlJc w:val="left"/>
      <w:pPr>
        <w:ind w:left="90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56F36A3A"/>
    <w:multiLevelType w:val="hybridMultilevel"/>
    <w:tmpl w:val="B22CDC96"/>
    <w:lvl w:ilvl="0" w:tplc="A1C8FA08">
      <w:start w:val="3"/>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EC3B29"/>
    <w:multiLevelType w:val="multilevel"/>
    <w:tmpl w:val="C5CA922E"/>
    <w:lvl w:ilvl="0">
      <w:start w:val="33"/>
      <w:numFmt w:val="decimal"/>
      <w:lvlText w:val="%1"/>
      <w:lvlJc w:val="left"/>
      <w:pPr>
        <w:ind w:left="420" w:hanging="420"/>
      </w:pPr>
      <w:rPr>
        <w:rFonts w:hint="default"/>
        <w:i/>
      </w:rPr>
    </w:lvl>
    <w:lvl w:ilvl="1">
      <w:start w:val="1"/>
      <w:numFmt w:val="decimal"/>
      <w:lvlText w:val="%1.%2"/>
      <w:lvlJc w:val="left"/>
      <w:pPr>
        <w:ind w:left="870" w:hanging="420"/>
      </w:pPr>
      <w:rPr>
        <w:rFonts w:hint="default"/>
        <w:i/>
      </w:rPr>
    </w:lvl>
    <w:lvl w:ilvl="2">
      <w:start w:val="1"/>
      <w:numFmt w:val="decimal"/>
      <w:lvlText w:val="%1.%2.%3"/>
      <w:lvlJc w:val="left"/>
      <w:pPr>
        <w:ind w:left="1620" w:hanging="720"/>
      </w:pPr>
      <w:rPr>
        <w:rFonts w:hint="default"/>
        <w:i/>
      </w:rPr>
    </w:lvl>
    <w:lvl w:ilvl="3">
      <w:start w:val="1"/>
      <w:numFmt w:val="decimal"/>
      <w:lvlText w:val="%1.%2.%3.%4"/>
      <w:lvlJc w:val="left"/>
      <w:pPr>
        <w:ind w:left="2070" w:hanging="720"/>
      </w:pPr>
      <w:rPr>
        <w:rFonts w:hint="default"/>
        <w:i/>
      </w:rPr>
    </w:lvl>
    <w:lvl w:ilvl="4">
      <w:start w:val="1"/>
      <w:numFmt w:val="decimal"/>
      <w:lvlText w:val="%1.%2.%3.%4.%5"/>
      <w:lvlJc w:val="left"/>
      <w:pPr>
        <w:ind w:left="2880" w:hanging="1080"/>
      </w:pPr>
      <w:rPr>
        <w:rFonts w:hint="default"/>
        <w:i/>
      </w:rPr>
    </w:lvl>
    <w:lvl w:ilvl="5">
      <w:start w:val="1"/>
      <w:numFmt w:val="decimal"/>
      <w:lvlText w:val="%1.%2.%3.%4.%5.%6"/>
      <w:lvlJc w:val="left"/>
      <w:pPr>
        <w:ind w:left="3330" w:hanging="1080"/>
      </w:pPr>
      <w:rPr>
        <w:rFonts w:hint="default"/>
        <w:i/>
      </w:rPr>
    </w:lvl>
    <w:lvl w:ilvl="6">
      <w:start w:val="1"/>
      <w:numFmt w:val="decimal"/>
      <w:lvlText w:val="%1.%2.%3.%4.%5.%6.%7"/>
      <w:lvlJc w:val="left"/>
      <w:pPr>
        <w:ind w:left="4140" w:hanging="1440"/>
      </w:pPr>
      <w:rPr>
        <w:rFonts w:hint="default"/>
        <w:i/>
      </w:rPr>
    </w:lvl>
    <w:lvl w:ilvl="7">
      <w:start w:val="1"/>
      <w:numFmt w:val="decimal"/>
      <w:lvlText w:val="%1.%2.%3.%4.%5.%6.%7.%8"/>
      <w:lvlJc w:val="left"/>
      <w:pPr>
        <w:ind w:left="4590" w:hanging="1440"/>
      </w:pPr>
      <w:rPr>
        <w:rFonts w:hint="default"/>
        <w:i/>
      </w:rPr>
    </w:lvl>
    <w:lvl w:ilvl="8">
      <w:start w:val="1"/>
      <w:numFmt w:val="decimal"/>
      <w:lvlText w:val="%1.%2.%3.%4.%5.%6.%7.%8.%9"/>
      <w:lvlJc w:val="left"/>
      <w:pPr>
        <w:ind w:left="5400" w:hanging="1800"/>
      </w:pPr>
      <w:rPr>
        <w:rFonts w:hint="default"/>
        <w:i/>
      </w:rPr>
    </w:lvl>
  </w:abstractNum>
  <w:abstractNum w:abstractNumId="32" w15:restartNumberingAfterBreak="0">
    <w:nsid w:val="5D402266"/>
    <w:multiLevelType w:val="hybridMultilevel"/>
    <w:tmpl w:val="8850C9D4"/>
    <w:lvl w:ilvl="0" w:tplc="FFFFFFFF">
      <w:start w:val="1"/>
      <w:numFmt w:val="decimal"/>
      <w:lvlText w:val="%1."/>
      <w:lvlJc w:val="left"/>
      <w:pPr>
        <w:ind w:left="81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0585F1D"/>
    <w:multiLevelType w:val="hybridMultilevel"/>
    <w:tmpl w:val="AD7C184E"/>
    <w:lvl w:ilvl="0" w:tplc="44F6E8B2">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4" w15:restartNumberingAfterBreak="0">
    <w:nsid w:val="61525A61"/>
    <w:multiLevelType w:val="hybridMultilevel"/>
    <w:tmpl w:val="104484C2"/>
    <w:lvl w:ilvl="0" w:tplc="8A90491C">
      <w:start w:val="36"/>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15:restartNumberingAfterBreak="0">
    <w:nsid w:val="62AA59D3"/>
    <w:multiLevelType w:val="hybridMultilevel"/>
    <w:tmpl w:val="A41E8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A84FF8"/>
    <w:multiLevelType w:val="hybridMultilevel"/>
    <w:tmpl w:val="4C801E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135EBF"/>
    <w:multiLevelType w:val="hybridMultilevel"/>
    <w:tmpl w:val="BBF89024"/>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EFE5FA4"/>
    <w:multiLevelType w:val="hybridMultilevel"/>
    <w:tmpl w:val="E0104260"/>
    <w:lvl w:ilvl="0" w:tplc="6F42AB3E">
      <w:start w:val="4"/>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4C1642"/>
    <w:multiLevelType w:val="hybridMultilevel"/>
    <w:tmpl w:val="707A6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DD62FC"/>
    <w:multiLevelType w:val="hybridMultilevel"/>
    <w:tmpl w:val="17183EA8"/>
    <w:lvl w:ilvl="0" w:tplc="1F926AEA">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1" w15:restartNumberingAfterBreak="0">
    <w:nsid w:val="72ED4C73"/>
    <w:multiLevelType w:val="hybridMultilevel"/>
    <w:tmpl w:val="3E1418B6"/>
    <w:lvl w:ilvl="0" w:tplc="03FC453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3BC4839"/>
    <w:multiLevelType w:val="multilevel"/>
    <w:tmpl w:val="00122286"/>
    <w:lvl w:ilvl="0">
      <w:start w:val="3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6D4716D"/>
    <w:multiLevelType w:val="hybridMultilevel"/>
    <w:tmpl w:val="C472048A"/>
    <w:lvl w:ilvl="0" w:tplc="AFAE16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7857880"/>
    <w:multiLevelType w:val="hybridMultilevel"/>
    <w:tmpl w:val="B9C6550E"/>
    <w:lvl w:ilvl="0" w:tplc="60E8FA3E">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5" w15:restartNumberingAfterBreak="0">
    <w:nsid w:val="7910206E"/>
    <w:multiLevelType w:val="hybridMultilevel"/>
    <w:tmpl w:val="C5E8CBD0"/>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6" w15:restartNumberingAfterBreak="0">
    <w:nsid w:val="792F48E4"/>
    <w:multiLevelType w:val="hybridMultilevel"/>
    <w:tmpl w:val="78A26148"/>
    <w:lvl w:ilvl="0" w:tplc="EA6CD4CE">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7" w15:restartNumberingAfterBreak="0">
    <w:nsid w:val="793118F9"/>
    <w:multiLevelType w:val="hybridMultilevel"/>
    <w:tmpl w:val="414C5EA6"/>
    <w:lvl w:ilvl="0" w:tplc="DA463CAE">
      <w:start w:val="1"/>
      <w:numFmt w:val="lowerLetter"/>
      <w:lvlText w:val="%1)"/>
      <w:lvlJc w:val="left"/>
      <w:pPr>
        <w:ind w:left="1080" w:hanging="360"/>
      </w:pPr>
      <w:rPr>
        <w:rFonts w:eastAsia="Calibr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E444883"/>
    <w:multiLevelType w:val="hybridMultilevel"/>
    <w:tmpl w:val="0AA6E9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47"/>
  </w:num>
  <w:num w:numId="3">
    <w:abstractNumId w:val="27"/>
  </w:num>
  <w:num w:numId="4">
    <w:abstractNumId w:val="30"/>
  </w:num>
  <w:num w:numId="5">
    <w:abstractNumId w:val="21"/>
  </w:num>
  <w:num w:numId="6">
    <w:abstractNumId w:val="14"/>
  </w:num>
  <w:num w:numId="7">
    <w:abstractNumId w:val="10"/>
  </w:num>
  <w:num w:numId="8">
    <w:abstractNumId w:val="0"/>
  </w:num>
  <w:num w:numId="9">
    <w:abstractNumId w:val="38"/>
  </w:num>
  <w:num w:numId="10">
    <w:abstractNumId w:val="24"/>
  </w:num>
  <w:num w:numId="11">
    <w:abstractNumId w:val="29"/>
  </w:num>
  <w:num w:numId="12">
    <w:abstractNumId w:val="35"/>
  </w:num>
  <w:num w:numId="13">
    <w:abstractNumId w:val="45"/>
  </w:num>
  <w:num w:numId="14">
    <w:abstractNumId w:val="12"/>
  </w:num>
  <w:num w:numId="15">
    <w:abstractNumId w:val="39"/>
  </w:num>
  <w:num w:numId="16">
    <w:abstractNumId w:val="22"/>
  </w:num>
  <w:num w:numId="17">
    <w:abstractNumId w:val="48"/>
  </w:num>
  <w:num w:numId="18">
    <w:abstractNumId w:val="36"/>
  </w:num>
  <w:num w:numId="19">
    <w:abstractNumId w:val="1"/>
  </w:num>
  <w:num w:numId="20">
    <w:abstractNumId w:val="20"/>
  </w:num>
  <w:num w:numId="21">
    <w:abstractNumId w:val="7"/>
  </w:num>
  <w:num w:numId="22">
    <w:abstractNumId w:val="23"/>
  </w:num>
  <w:num w:numId="23">
    <w:abstractNumId w:val="41"/>
  </w:num>
  <w:num w:numId="24">
    <w:abstractNumId w:val="19"/>
  </w:num>
  <w:num w:numId="25">
    <w:abstractNumId w:val="16"/>
  </w:num>
  <w:num w:numId="26">
    <w:abstractNumId w:val="15"/>
  </w:num>
  <w:num w:numId="27">
    <w:abstractNumId w:val="44"/>
  </w:num>
  <w:num w:numId="28">
    <w:abstractNumId w:val="25"/>
  </w:num>
  <w:num w:numId="29">
    <w:abstractNumId w:val="33"/>
  </w:num>
  <w:num w:numId="30">
    <w:abstractNumId w:val="40"/>
  </w:num>
  <w:num w:numId="31">
    <w:abstractNumId w:val="46"/>
  </w:num>
  <w:num w:numId="32">
    <w:abstractNumId w:val="5"/>
  </w:num>
  <w:num w:numId="33">
    <w:abstractNumId w:val="43"/>
  </w:num>
  <w:num w:numId="34">
    <w:abstractNumId w:val="32"/>
  </w:num>
  <w:num w:numId="35">
    <w:abstractNumId w:val="31"/>
  </w:num>
  <w:num w:numId="36">
    <w:abstractNumId w:val="42"/>
  </w:num>
  <w:num w:numId="37">
    <w:abstractNumId w:val="28"/>
  </w:num>
  <w:num w:numId="38">
    <w:abstractNumId w:val="3"/>
  </w:num>
  <w:num w:numId="39">
    <w:abstractNumId w:val="9"/>
  </w:num>
  <w:num w:numId="40">
    <w:abstractNumId w:val="34"/>
  </w:num>
  <w:num w:numId="41">
    <w:abstractNumId w:val="8"/>
  </w:num>
  <w:num w:numId="42">
    <w:abstractNumId w:val="11"/>
  </w:num>
  <w:num w:numId="43">
    <w:abstractNumId w:val="37"/>
  </w:num>
  <w:num w:numId="44">
    <w:abstractNumId w:val="13"/>
  </w:num>
  <w:num w:numId="45">
    <w:abstractNumId w:val="6"/>
  </w:num>
  <w:num w:numId="46">
    <w:abstractNumId w:val="17"/>
  </w:num>
  <w:num w:numId="47">
    <w:abstractNumId w:val="4"/>
  </w:num>
  <w:num w:numId="48">
    <w:abstractNumId w:val="2"/>
  </w:num>
  <w:num w:numId="49">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D4E"/>
    <w:rsid w:val="000000DC"/>
    <w:rsid w:val="000063C1"/>
    <w:rsid w:val="00010A7F"/>
    <w:rsid w:val="00010D4E"/>
    <w:rsid w:val="000110E0"/>
    <w:rsid w:val="0001147B"/>
    <w:rsid w:val="00012BDB"/>
    <w:rsid w:val="00016BB9"/>
    <w:rsid w:val="00021676"/>
    <w:rsid w:val="00022005"/>
    <w:rsid w:val="00023142"/>
    <w:rsid w:val="0002626F"/>
    <w:rsid w:val="00027F09"/>
    <w:rsid w:val="000358E0"/>
    <w:rsid w:val="000359E3"/>
    <w:rsid w:val="00042EE4"/>
    <w:rsid w:val="000462E7"/>
    <w:rsid w:val="000509FC"/>
    <w:rsid w:val="00051FE0"/>
    <w:rsid w:val="00053AB5"/>
    <w:rsid w:val="00053CDF"/>
    <w:rsid w:val="00055D2F"/>
    <w:rsid w:val="000628CE"/>
    <w:rsid w:val="000658B0"/>
    <w:rsid w:val="000701B1"/>
    <w:rsid w:val="000721DA"/>
    <w:rsid w:val="00081D39"/>
    <w:rsid w:val="00086135"/>
    <w:rsid w:val="0008650C"/>
    <w:rsid w:val="00093091"/>
    <w:rsid w:val="000944DA"/>
    <w:rsid w:val="000948E5"/>
    <w:rsid w:val="00097B18"/>
    <w:rsid w:val="000A17E6"/>
    <w:rsid w:val="000A2320"/>
    <w:rsid w:val="000A2487"/>
    <w:rsid w:val="000A5D83"/>
    <w:rsid w:val="000A5FA1"/>
    <w:rsid w:val="000B0AD3"/>
    <w:rsid w:val="000B36CA"/>
    <w:rsid w:val="000B5FA5"/>
    <w:rsid w:val="000B60D3"/>
    <w:rsid w:val="000B6E58"/>
    <w:rsid w:val="000B7EAE"/>
    <w:rsid w:val="000C3BBC"/>
    <w:rsid w:val="000C481D"/>
    <w:rsid w:val="000C4D11"/>
    <w:rsid w:val="000C6E30"/>
    <w:rsid w:val="000C7708"/>
    <w:rsid w:val="000D1949"/>
    <w:rsid w:val="000D75DD"/>
    <w:rsid w:val="000D7A64"/>
    <w:rsid w:val="000E23C7"/>
    <w:rsid w:val="000E6D2E"/>
    <w:rsid w:val="000F2750"/>
    <w:rsid w:val="000F2B95"/>
    <w:rsid w:val="000F4143"/>
    <w:rsid w:val="000F492B"/>
    <w:rsid w:val="000F54F4"/>
    <w:rsid w:val="00100C66"/>
    <w:rsid w:val="0010182B"/>
    <w:rsid w:val="001040DD"/>
    <w:rsid w:val="00110A81"/>
    <w:rsid w:val="0011125D"/>
    <w:rsid w:val="0011206F"/>
    <w:rsid w:val="00112090"/>
    <w:rsid w:val="001134C1"/>
    <w:rsid w:val="00117172"/>
    <w:rsid w:val="001220C4"/>
    <w:rsid w:val="00122592"/>
    <w:rsid w:val="00123F86"/>
    <w:rsid w:val="00124C76"/>
    <w:rsid w:val="00125BB7"/>
    <w:rsid w:val="00125F99"/>
    <w:rsid w:val="00130385"/>
    <w:rsid w:val="00131057"/>
    <w:rsid w:val="00131114"/>
    <w:rsid w:val="00132AA0"/>
    <w:rsid w:val="001349AE"/>
    <w:rsid w:val="00134A50"/>
    <w:rsid w:val="00135623"/>
    <w:rsid w:val="00135E35"/>
    <w:rsid w:val="0014188F"/>
    <w:rsid w:val="00141CE4"/>
    <w:rsid w:val="001439D8"/>
    <w:rsid w:val="00143CDB"/>
    <w:rsid w:val="0014586C"/>
    <w:rsid w:val="0014686A"/>
    <w:rsid w:val="00147BCB"/>
    <w:rsid w:val="001508A2"/>
    <w:rsid w:val="0015108C"/>
    <w:rsid w:val="00160A50"/>
    <w:rsid w:val="001621A8"/>
    <w:rsid w:val="0016458C"/>
    <w:rsid w:val="00167EB4"/>
    <w:rsid w:val="00170170"/>
    <w:rsid w:val="00170E4A"/>
    <w:rsid w:val="00173730"/>
    <w:rsid w:val="0018103F"/>
    <w:rsid w:val="0018181D"/>
    <w:rsid w:val="00187A52"/>
    <w:rsid w:val="00187D36"/>
    <w:rsid w:val="001918BB"/>
    <w:rsid w:val="00191E80"/>
    <w:rsid w:val="00193BD6"/>
    <w:rsid w:val="00193D73"/>
    <w:rsid w:val="0019489B"/>
    <w:rsid w:val="001A002B"/>
    <w:rsid w:val="001A7E19"/>
    <w:rsid w:val="001B190E"/>
    <w:rsid w:val="001B492D"/>
    <w:rsid w:val="001B5C42"/>
    <w:rsid w:val="001C05E3"/>
    <w:rsid w:val="001C26CC"/>
    <w:rsid w:val="001C3986"/>
    <w:rsid w:val="001C4104"/>
    <w:rsid w:val="001C5707"/>
    <w:rsid w:val="001D00C6"/>
    <w:rsid w:val="001D00CE"/>
    <w:rsid w:val="001D1798"/>
    <w:rsid w:val="001D76D5"/>
    <w:rsid w:val="001E1005"/>
    <w:rsid w:val="001F0022"/>
    <w:rsid w:val="001F67C0"/>
    <w:rsid w:val="001F6E09"/>
    <w:rsid w:val="00202922"/>
    <w:rsid w:val="00206346"/>
    <w:rsid w:val="00211003"/>
    <w:rsid w:val="00211B29"/>
    <w:rsid w:val="00213ACE"/>
    <w:rsid w:val="002149D0"/>
    <w:rsid w:val="00222FA9"/>
    <w:rsid w:val="00224222"/>
    <w:rsid w:val="00225CEC"/>
    <w:rsid w:val="00225D66"/>
    <w:rsid w:val="0022781F"/>
    <w:rsid w:val="00227AE2"/>
    <w:rsid w:val="00230BD7"/>
    <w:rsid w:val="00231D10"/>
    <w:rsid w:val="00231E18"/>
    <w:rsid w:val="00232F52"/>
    <w:rsid w:val="0023486B"/>
    <w:rsid w:val="0023704A"/>
    <w:rsid w:val="00241026"/>
    <w:rsid w:val="00242A1E"/>
    <w:rsid w:val="00244A70"/>
    <w:rsid w:val="00245931"/>
    <w:rsid w:val="0024671F"/>
    <w:rsid w:val="00254DA2"/>
    <w:rsid w:val="00255208"/>
    <w:rsid w:val="00257AAF"/>
    <w:rsid w:val="002660D9"/>
    <w:rsid w:val="002704C3"/>
    <w:rsid w:val="00272899"/>
    <w:rsid w:val="00272E77"/>
    <w:rsid w:val="00273E37"/>
    <w:rsid w:val="00275BAD"/>
    <w:rsid w:val="002771C5"/>
    <w:rsid w:val="00277978"/>
    <w:rsid w:val="00284ED2"/>
    <w:rsid w:val="00286767"/>
    <w:rsid w:val="002909FA"/>
    <w:rsid w:val="00293FE5"/>
    <w:rsid w:val="00294155"/>
    <w:rsid w:val="00296E5D"/>
    <w:rsid w:val="00297C8A"/>
    <w:rsid w:val="002A126A"/>
    <w:rsid w:val="002A1384"/>
    <w:rsid w:val="002A4495"/>
    <w:rsid w:val="002A50B5"/>
    <w:rsid w:val="002A6335"/>
    <w:rsid w:val="002B0E48"/>
    <w:rsid w:val="002B1139"/>
    <w:rsid w:val="002B1A31"/>
    <w:rsid w:val="002B599E"/>
    <w:rsid w:val="002B5CE4"/>
    <w:rsid w:val="002C0182"/>
    <w:rsid w:val="002C09C2"/>
    <w:rsid w:val="002C0B30"/>
    <w:rsid w:val="002C7A74"/>
    <w:rsid w:val="002D4806"/>
    <w:rsid w:val="002D595A"/>
    <w:rsid w:val="002D798D"/>
    <w:rsid w:val="002E12C1"/>
    <w:rsid w:val="002E3A1B"/>
    <w:rsid w:val="002E6103"/>
    <w:rsid w:val="002E781F"/>
    <w:rsid w:val="002F0664"/>
    <w:rsid w:val="002F0C15"/>
    <w:rsid w:val="002F2438"/>
    <w:rsid w:val="002F48FC"/>
    <w:rsid w:val="0030142F"/>
    <w:rsid w:val="00301A3F"/>
    <w:rsid w:val="003049B6"/>
    <w:rsid w:val="00305318"/>
    <w:rsid w:val="00313F37"/>
    <w:rsid w:val="00316409"/>
    <w:rsid w:val="00316FE5"/>
    <w:rsid w:val="003376E0"/>
    <w:rsid w:val="003407A2"/>
    <w:rsid w:val="00341795"/>
    <w:rsid w:val="003425D0"/>
    <w:rsid w:val="00345A7C"/>
    <w:rsid w:val="00347E7E"/>
    <w:rsid w:val="003541AC"/>
    <w:rsid w:val="00355216"/>
    <w:rsid w:val="00355747"/>
    <w:rsid w:val="003608AA"/>
    <w:rsid w:val="00360B07"/>
    <w:rsid w:val="00366FC9"/>
    <w:rsid w:val="00370197"/>
    <w:rsid w:val="003770A2"/>
    <w:rsid w:val="00380151"/>
    <w:rsid w:val="003807F3"/>
    <w:rsid w:val="00381FD0"/>
    <w:rsid w:val="00382EEC"/>
    <w:rsid w:val="00386A8E"/>
    <w:rsid w:val="00395286"/>
    <w:rsid w:val="0039586D"/>
    <w:rsid w:val="003962FC"/>
    <w:rsid w:val="003A1150"/>
    <w:rsid w:val="003A3CEA"/>
    <w:rsid w:val="003A3E0D"/>
    <w:rsid w:val="003A58A4"/>
    <w:rsid w:val="003A611D"/>
    <w:rsid w:val="003A64E8"/>
    <w:rsid w:val="003B36EB"/>
    <w:rsid w:val="003B4827"/>
    <w:rsid w:val="003B4A2A"/>
    <w:rsid w:val="003B4A86"/>
    <w:rsid w:val="003B632A"/>
    <w:rsid w:val="003C19D9"/>
    <w:rsid w:val="003D1714"/>
    <w:rsid w:val="003D1A99"/>
    <w:rsid w:val="003D6DCF"/>
    <w:rsid w:val="003D736C"/>
    <w:rsid w:val="003E1E81"/>
    <w:rsid w:val="003E2AE1"/>
    <w:rsid w:val="003F04F0"/>
    <w:rsid w:val="003F3686"/>
    <w:rsid w:val="003F3AF3"/>
    <w:rsid w:val="003F3CB6"/>
    <w:rsid w:val="003F5FE7"/>
    <w:rsid w:val="003F6C5C"/>
    <w:rsid w:val="003F7D5B"/>
    <w:rsid w:val="00405125"/>
    <w:rsid w:val="0040744A"/>
    <w:rsid w:val="00416A19"/>
    <w:rsid w:val="00417216"/>
    <w:rsid w:val="00417565"/>
    <w:rsid w:val="00417C09"/>
    <w:rsid w:val="00423B60"/>
    <w:rsid w:val="0042402B"/>
    <w:rsid w:val="00431141"/>
    <w:rsid w:val="00431207"/>
    <w:rsid w:val="0043440B"/>
    <w:rsid w:val="00436E52"/>
    <w:rsid w:val="004421D6"/>
    <w:rsid w:val="0044245E"/>
    <w:rsid w:val="004429F4"/>
    <w:rsid w:val="004472AC"/>
    <w:rsid w:val="00447DD7"/>
    <w:rsid w:val="00450D46"/>
    <w:rsid w:val="004522FC"/>
    <w:rsid w:val="00453CA1"/>
    <w:rsid w:val="00454AB1"/>
    <w:rsid w:val="0045595F"/>
    <w:rsid w:val="00456B63"/>
    <w:rsid w:val="004607CA"/>
    <w:rsid w:val="004615E0"/>
    <w:rsid w:val="00462D08"/>
    <w:rsid w:val="0046310B"/>
    <w:rsid w:val="00466360"/>
    <w:rsid w:val="00471B68"/>
    <w:rsid w:val="00480F51"/>
    <w:rsid w:val="004811D1"/>
    <w:rsid w:val="0048130F"/>
    <w:rsid w:val="004816E0"/>
    <w:rsid w:val="00487D63"/>
    <w:rsid w:val="004919E0"/>
    <w:rsid w:val="004954B9"/>
    <w:rsid w:val="00495CF4"/>
    <w:rsid w:val="004A00EC"/>
    <w:rsid w:val="004A0D5B"/>
    <w:rsid w:val="004A0D68"/>
    <w:rsid w:val="004A7550"/>
    <w:rsid w:val="004B172F"/>
    <w:rsid w:val="004B235D"/>
    <w:rsid w:val="004B5948"/>
    <w:rsid w:val="004B7907"/>
    <w:rsid w:val="004C02D0"/>
    <w:rsid w:val="004C1136"/>
    <w:rsid w:val="004C69B9"/>
    <w:rsid w:val="004D42FF"/>
    <w:rsid w:val="004D5697"/>
    <w:rsid w:val="004D7648"/>
    <w:rsid w:val="004D79DE"/>
    <w:rsid w:val="004E1758"/>
    <w:rsid w:val="004E22AA"/>
    <w:rsid w:val="004E27B3"/>
    <w:rsid w:val="004E3126"/>
    <w:rsid w:val="004E450A"/>
    <w:rsid w:val="004E6990"/>
    <w:rsid w:val="004E6F4D"/>
    <w:rsid w:val="004E6FAC"/>
    <w:rsid w:val="004F0CA8"/>
    <w:rsid w:val="004F3588"/>
    <w:rsid w:val="004F36A7"/>
    <w:rsid w:val="004F5827"/>
    <w:rsid w:val="004F73D8"/>
    <w:rsid w:val="004F7948"/>
    <w:rsid w:val="0050187D"/>
    <w:rsid w:val="00504CE4"/>
    <w:rsid w:val="005108BC"/>
    <w:rsid w:val="005115E0"/>
    <w:rsid w:val="00513992"/>
    <w:rsid w:val="005139E0"/>
    <w:rsid w:val="00514815"/>
    <w:rsid w:val="00523551"/>
    <w:rsid w:val="005238CE"/>
    <w:rsid w:val="00524F9D"/>
    <w:rsid w:val="00525BCE"/>
    <w:rsid w:val="00530CB7"/>
    <w:rsid w:val="00532094"/>
    <w:rsid w:val="005322DF"/>
    <w:rsid w:val="005328F5"/>
    <w:rsid w:val="00533210"/>
    <w:rsid w:val="0053505C"/>
    <w:rsid w:val="00537456"/>
    <w:rsid w:val="0054442B"/>
    <w:rsid w:val="005474D4"/>
    <w:rsid w:val="005501E4"/>
    <w:rsid w:val="00552319"/>
    <w:rsid w:val="005549FE"/>
    <w:rsid w:val="00555671"/>
    <w:rsid w:val="005603EF"/>
    <w:rsid w:val="005611EB"/>
    <w:rsid w:val="005617E2"/>
    <w:rsid w:val="00563A84"/>
    <w:rsid w:val="00565922"/>
    <w:rsid w:val="005825A4"/>
    <w:rsid w:val="00583B26"/>
    <w:rsid w:val="005A0B32"/>
    <w:rsid w:val="005A4634"/>
    <w:rsid w:val="005A4C24"/>
    <w:rsid w:val="005A7EDE"/>
    <w:rsid w:val="005B04D6"/>
    <w:rsid w:val="005B38DF"/>
    <w:rsid w:val="005B5C50"/>
    <w:rsid w:val="005C2F82"/>
    <w:rsid w:val="005C33CF"/>
    <w:rsid w:val="005C3BD8"/>
    <w:rsid w:val="005C4C93"/>
    <w:rsid w:val="005C52EE"/>
    <w:rsid w:val="005C6B01"/>
    <w:rsid w:val="005E30A9"/>
    <w:rsid w:val="005E5A14"/>
    <w:rsid w:val="005E5E0B"/>
    <w:rsid w:val="005F2B37"/>
    <w:rsid w:val="005F5048"/>
    <w:rsid w:val="005F59B9"/>
    <w:rsid w:val="005F71B9"/>
    <w:rsid w:val="00600B6D"/>
    <w:rsid w:val="00603396"/>
    <w:rsid w:val="00604C02"/>
    <w:rsid w:val="0060660F"/>
    <w:rsid w:val="006068F6"/>
    <w:rsid w:val="00611716"/>
    <w:rsid w:val="00611E06"/>
    <w:rsid w:val="00616A16"/>
    <w:rsid w:val="006176B0"/>
    <w:rsid w:val="006217FF"/>
    <w:rsid w:val="0062226B"/>
    <w:rsid w:val="00624170"/>
    <w:rsid w:val="00625133"/>
    <w:rsid w:val="00630200"/>
    <w:rsid w:val="006302AB"/>
    <w:rsid w:val="006317DB"/>
    <w:rsid w:val="00631BCA"/>
    <w:rsid w:val="00644A1F"/>
    <w:rsid w:val="00644C40"/>
    <w:rsid w:val="00651339"/>
    <w:rsid w:val="006518C7"/>
    <w:rsid w:val="006539C3"/>
    <w:rsid w:val="00653D29"/>
    <w:rsid w:val="006556B4"/>
    <w:rsid w:val="00660770"/>
    <w:rsid w:val="00661C56"/>
    <w:rsid w:val="00666524"/>
    <w:rsid w:val="0066798A"/>
    <w:rsid w:val="006706C0"/>
    <w:rsid w:val="00670A5D"/>
    <w:rsid w:val="00674420"/>
    <w:rsid w:val="00674B8F"/>
    <w:rsid w:val="00675F82"/>
    <w:rsid w:val="00684DB4"/>
    <w:rsid w:val="006855F1"/>
    <w:rsid w:val="00690F42"/>
    <w:rsid w:val="00691786"/>
    <w:rsid w:val="00691923"/>
    <w:rsid w:val="006933D4"/>
    <w:rsid w:val="0069490B"/>
    <w:rsid w:val="006A0E86"/>
    <w:rsid w:val="006A3206"/>
    <w:rsid w:val="006A4505"/>
    <w:rsid w:val="006B4440"/>
    <w:rsid w:val="006B649E"/>
    <w:rsid w:val="006C08FD"/>
    <w:rsid w:val="006C128F"/>
    <w:rsid w:val="006C4456"/>
    <w:rsid w:val="006D0A9E"/>
    <w:rsid w:val="006D4D11"/>
    <w:rsid w:val="006D7A42"/>
    <w:rsid w:val="006E18DE"/>
    <w:rsid w:val="006E26CB"/>
    <w:rsid w:val="006E2B5E"/>
    <w:rsid w:val="006E546A"/>
    <w:rsid w:val="006E6F4E"/>
    <w:rsid w:val="006E76F8"/>
    <w:rsid w:val="006F0E9E"/>
    <w:rsid w:val="006F2792"/>
    <w:rsid w:val="006F6129"/>
    <w:rsid w:val="006F68CA"/>
    <w:rsid w:val="007016FA"/>
    <w:rsid w:val="007032BC"/>
    <w:rsid w:val="00703EDD"/>
    <w:rsid w:val="0070430A"/>
    <w:rsid w:val="00706AFF"/>
    <w:rsid w:val="00714D11"/>
    <w:rsid w:val="007167F8"/>
    <w:rsid w:val="0071718C"/>
    <w:rsid w:val="00721DD7"/>
    <w:rsid w:val="00732886"/>
    <w:rsid w:val="0074097F"/>
    <w:rsid w:val="007417DD"/>
    <w:rsid w:val="007423E5"/>
    <w:rsid w:val="007462B0"/>
    <w:rsid w:val="00747F84"/>
    <w:rsid w:val="00751CC3"/>
    <w:rsid w:val="00753F13"/>
    <w:rsid w:val="00756BCE"/>
    <w:rsid w:val="007616A9"/>
    <w:rsid w:val="00766E4B"/>
    <w:rsid w:val="00767065"/>
    <w:rsid w:val="00767C70"/>
    <w:rsid w:val="007704DA"/>
    <w:rsid w:val="00771715"/>
    <w:rsid w:val="007754DA"/>
    <w:rsid w:val="0077600C"/>
    <w:rsid w:val="00780063"/>
    <w:rsid w:val="007836C6"/>
    <w:rsid w:val="0078552B"/>
    <w:rsid w:val="00790C20"/>
    <w:rsid w:val="00790C2F"/>
    <w:rsid w:val="007928EE"/>
    <w:rsid w:val="00794F9C"/>
    <w:rsid w:val="00795AA1"/>
    <w:rsid w:val="007A1364"/>
    <w:rsid w:val="007A2AE9"/>
    <w:rsid w:val="007A4F91"/>
    <w:rsid w:val="007B103B"/>
    <w:rsid w:val="007B303D"/>
    <w:rsid w:val="007B5EF9"/>
    <w:rsid w:val="007B6926"/>
    <w:rsid w:val="007C05A1"/>
    <w:rsid w:val="007C1335"/>
    <w:rsid w:val="007C1DF8"/>
    <w:rsid w:val="007C5637"/>
    <w:rsid w:val="007C62DF"/>
    <w:rsid w:val="007C6D0C"/>
    <w:rsid w:val="007D51D5"/>
    <w:rsid w:val="007D599F"/>
    <w:rsid w:val="007E2C42"/>
    <w:rsid w:val="007E3A0B"/>
    <w:rsid w:val="007E3E45"/>
    <w:rsid w:val="007E48EA"/>
    <w:rsid w:val="007E6E9D"/>
    <w:rsid w:val="007F6DED"/>
    <w:rsid w:val="00803ADE"/>
    <w:rsid w:val="00807292"/>
    <w:rsid w:val="00811E83"/>
    <w:rsid w:val="00812BF6"/>
    <w:rsid w:val="008138C1"/>
    <w:rsid w:val="00817BA8"/>
    <w:rsid w:val="00821E0F"/>
    <w:rsid w:val="0083291E"/>
    <w:rsid w:val="008329AD"/>
    <w:rsid w:val="0083544B"/>
    <w:rsid w:val="0084235F"/>
    <w:rsid w:val="008446BD"/>
    <w:rsid w:val="00844D03"/>
    <w:rsid w:val="008514A3"/>
    <w:rsid w:val="00852355"/>
    <w:rsid w:val="00854450"/>
    <w:rsid w:val="008554A7"/>
    <w:rsid w:val="008558E4"/>
    <w:rsid w:val="00856F1C"/>
    <w:rsid w:val="00857E01"/>
    <w:rsid w:val="008600C6"/>
    <w:rsid w:val="0086025F"/>
    <w:rsid w:val="00864D06"/>
    <w:rsid w:val="008662EF"/>
    <w:rsid w:val="00866971"/>
    <w:rsid w:val="00866A4C"/>
    <w:rsid w:val="00867A33"/>
    <w:rsid w:val="008702BE"/>
    <w:rsid w:val="008716B8"/>
    <w:rsid w:val="00873597"/>
    <w:rsid w:val="00873F71"/>
    <w:rsid w:val="00882E8C"/>
    <w:rsid w:val="00882FD7"/>
    <w:rsid w:val="00885411"/>
    <w:rsid w:val="008855B7"/>
    <w:rsid w:val="00890E84"/>
    <w:rsid w:val="00893A83"/>
    <w:rsid w:val="00893E37"/>
    <w:rsid w:val="00893E50"/>
    <w:rsid w:val="008949F1"/>
    <w:rsid w:val="00895A4D"/>
    <w:rsid w:val="0089686D"/>
    <w:rsid w:val="008A118B"/>
    <w:rsid w:val="008A3618"/>
    <w:rsid w:val="008A3751"/>
    <w:rsid w:val="008A39B4"/>
    <w:rsid w:val="008A3C6A"/>
    <w:rsid w:val="008A4084"/>
    <w:rsid w:val="008A709E"/>
    <w:rsid w:val="008A71B8"/>
    <w:rsid w:val="008A77CE"/>
    <w:rsid w:val="008B1806"/>
    <w:rsid w:val="008B1C98"/>
    <w:rsid w:val="008B4168"/>
    <w:rsid w:val="008B521E"/>
    <w:rsid w:val="008B6F3C"/>
    <w:rsid w:val="008C2F71"/>
    <w:rsid w:val="008C6627"/>
    <w:rsid w:val="008D0A39"/>
    <w:rsid w:val="008D363D"/>
    <w:rsid w:val="008D468A"/>
    <w:rsid w:val="008E2C45"/>
    <w:rsid w:val="008E4F3D"/>
    <w:rsid w:val="008E6775"/>
    <w:rsid w:val="008F2C16"/>
    <w:rsid w:val="00903B6B"/>
    <w:rsid w:val="009048E3"/>
    <w:rsid w:val="0090581A"/>
    <w:rsid w:val="00905B0D"/>
    <w:rsid w:val="00907946"/>
    <w:rsid w:val="009113C0"/>
    <w:rsid w:val="009165E5"/>
    <w:rsid w:val="00917A0D"/>
    <w:rsid w:val="00917A30"/>
    <w:rsid w:val="00926F55"/>
    <w:rsid w:val="00927E0A"/>
    <w:rsid w:val="00930938"/>
    <w:rsid w:val="00932AE1"/>
    <w:rsid w:val="009350AF"/>
    <w:rsid w:val="0093561F"/>
    <w:rsid w:val="009400AC"/>
    <w:rsid w:val="00943DB4"/>
    <w:rsid w:val="00945EFE"/>
    <w:rsid w:val="009462BA"/>
    <w:rsid w:val="00952A23"/>
    <w:rsid w:val="009536D4"/>
    <w:rsid w:val="00954389"/>
    <w:rsid w:val="00961B08"/>
    <w:rsid w:val="00965563"/>
    <w:rsid w:val="009768AE"/>
    <w:rsid w:val="00980570"/>
    <w:rsid w:val="009824D3"/>
    <w:rsid w:val="009836D2"/>
    <w:rsid w:val="00984B9B"/>
    <w:rsid w:val="009927D3"/>
    <w:rsid w:val="009A571F"/>
    <w:rsid w:val="009A6ABF"/>
    <w:rsid w:val="009A6AC7"/>
    <w:rsid w:val="009B06E8"/>
    <w:rsid w:val="009B163F"/>
    <w:rsid w:val="009B1A5C"/>
    <w:rsid w:val="009C1DAD"/>
    <w:rsid w:val="009C4014"/>
    <w:rsid w:val="009C5E9A"/>
    <w:rsid w:val="009C64C7"/>
    <w:rsid w:val="009D086B"/>
    <w:rsid w:val="009D759E"/>
    <w:rsid w:val="009E053D"/>
    <w:rsid w:val="009E1131"/>
    <w:rsid w:val="009E3E12"/>
    <w:rsid w:val="009E7AB7"/>
    <w:rsid w:val="009F0278"/>
    <w:rsid w:val="009F3CAA"/>
    <w:rsid w:val="00A008DD"/>
    <w:rsid w:val="00A01BE3"/>
    <w:rsid w:val="00A03C5C"/>
    <w:rsid w:val="00A04E49"/>
    <w:rsid w:val="00A04E56"/>
    <w:rsid w:val="00A11BC3"/>
    <w:rsid w:val="00A12BC1"/>
    <w:rsid w:val="00A1323B"/>
    <w:rsid w:val="00A1502C"/>
    <w:rsid w:val="00A158F6"/>
    <w:rsid w:val="00A16FC4"/>
    <w:rsid w:val="00A1746E"/>
    <w:rsid w:val="00A236EF"/>
    <w:rsid w:val="00A255C0"/>
    <w:rsid w:val="00A26A5C"/>
    <w:rsid w:val="00A3120F"/>
    <w:rsid w:val="00A41219"/>
    <w:rsid w:val="00A45147"/>
    <w:rsid w:val="00A5236E"/>
    <w:rsid w:val="00A52438"/>
    <w:rsid w:val="00A5250D"/>
    <w:rsid w:val="00A54C14"/>
    <w:rsid w:val="00A55C8D"/>
    <w:rsid w:val="00A56F73"/>
    <w:rsid w:val="00A57543"/>
    <w:rsid w:val="00A57E26"/>
    <w:rsid w:val="00A61F45"/>
    <w:rsid w:val="00A62D64"/>
    <w:rsid w:val="00A67DAA"/>
    <w:rsid w:val="00A72214"/>
    <w:rsid w:val="00A83A86"/>
    <w:rsid w:val="00A9418E"/>
    <w:rsid w:val="00A95CF7"/>
    <w:rsid w:val="00A975C9"/>
    <w:rsid w:val="00AA7915"/>
    <w:rsid w:val="00AA7E84"/>
    <w:rsid w:val="00AB2215"/>
    <w:rsid w:val="00AB4610"/>
    <w:rsid w:val="00AB7E28"/>
    <w:rsid w:val="00AC3270"/>
    <w:rsid w:val="00AC3C3C"/>
    <w:rsid w:val="00AC4D5D"/>
    <w:rsid w:val="00AC5AA7"/>
    <w:rsid w:val="00AD690F"/>
    <w:rsid w:val="00AD73FA"/>
    <w:rsid w:val="00AE0C58"/>
    <w:rsid w:val="00AE0D94"/>
    <w:rsid w:val="00AE0E4D"/>
    <w:rsid w:val="00AE1E43"/>
    <w:rsid w:val="00AE3B91"/>
    <w:rsid w:val="00AE4398"/>
    <w:rsid w:val="00AF0D2A"/>
    <w:rsid w:val="00AF3A06"/>
    <w:rsid w:val="00AF6938"/>
    <w:rsid w:val="00AF7440"/>
    <w:rsid w:val="00AF78EF"/>
    <w:rsid w:val="00B13CEF"/>
    <w:rsid w:val="00B155DD"/>
    <w:rsid w:val="00B15B10"/>
    <w:rsid w:val="00B21A32"/>
    <w:rsid w:val="00B244BB"/>
    <w:rsid w:val="00B27DE0"/>
    <w:rsid w:val="00B32B11"/>
    <w:rsid w:val="00B3423B"/>
    <w:rsid w:val="00B3441B"/>
    <w:rsid w:val="00B40B08"/>
    <w:rsid w:val="00B421BD"/>
    <w:rsid w:val="00B45E8E"/>
    <w:rsid w:val="00B46385"/>
    <w:rsid w:val="00B473CC"/>
    <w:rsid w:val="00B47BCB"/>
    <w:rsid w:val="00B51BFD"/>
    <w:rsid w:val="00B52524"/>
    <w:rsid w:val="00B53D45"/>
    <w:rsid w:val="00B55AF6"/>
    <w:rsid w:val="00B63B41"/>
    <w:rsid w:val="00B711BE"/>
    <w:rsid w:val="00B717A9"/>
    <w:rsid w:val="00B747D7"/>
    <w:rsid w:val="00B74890"/>
    <w:rsid w:val="00B76009"/>
    <w:rsid w:val="00B80792"/>
    <w:rsid w:val="00B81256"/>
    <w:rsid w:val="00B84687"/>
    <w:rsid w:val="00B867C0"/>
    <w:rsid w:val="00B900E1"/>
    <w:rsid w:val="00B92674"/>
    <w:rsid w:val="00B93E5B"/>
    <w:rsid w:val="00B96084"/>
    <w:rsid w:val="00B97442"/>
    <w:rsid w:val="00BA0387"/>
    <w:rsid w:val="00BA39C1"/>
    <w:rsid w:val="00BA539A"/>
    <w:rsid w:val="00BA57D7"/>
    <w:rsid w:val="00BB0EC5"/>
    <w:rsid w:val="00BB4B14"/>
    <w:rsid w:val="00BB6D67"/>
    <w:rsid w:val="00BC0900"/>
    <w:rsid w:val="00BC5106"/>
    <w:rsid w:val="00BC524A"/>
    <w:rsid w:val="00BD26AF"/>
    <w:rsid w:val="00BD48AA"/>
    <w:rsid w:val="00BE382E"/>
    <w:rsid w:val="00BE3FA1"/>
    <w:rsid w:val="00BE4126"/>
    <w:rsid w:val="00BE6E1D"/>
    <w:rsid w:val="00C11F6F"/>
    <w:rsid w:val="00C12640"/>
    <w:rsid w:val="00C151B1"/>
    <w:rsid w:val="00C176E9"/>
    <w:rsid w:val="00C17CE0"/>
    <w:rsid w:val="00C21279"/>
    <w:rsid w:val="00C22119"/>
    <w:rsid w:val="00C232C1"/>
    <w:rsid w:val="00C24098"/>
    <w:rsid w:val="00C2559F"/>
    <w:rsid w:val="00C3018F"/>
    <w:rsid w:val="00C40C97"/>
    <w:rsid w:val="00C5165B"/>
    <w:rsid w:val="00C51AB8"/>
    <w:rsid w:val="00C51EE5"/>
    <w:rsid w:val="00C532E6"/>
    <w:rsid w:val="00C53BA2"/>
    <w:rsid w:val="00C55F12"/>
    <w:rsid w:val="00C564CD"/>
    <w:rsid w:val="00C57160"/>
    <w:rsid w:val="00C57866"/>
    <w:rsid w:val="00C64BA6"/>
    <w:rsid w:val="00C6680D"/>
    <w:rsid w:val="00C67C66"/>
    <w:rsid w:val="00C70A38"/>
    <w:rsid w:val="00C7357E"/>
    <w:rsid w:val="00C73FAC"/>
    <w:rsid w:val="00C74243"/>
    <w:rsid w:val="00C83EB1"/>
    <w:rsid w:val="00C84A4A"/>
    <w:rsid w:val="00C9057A"/>
    <w:rsid w:val="00C920CC"/>
    <w:rsid w:val="00C92E98"/>
    <w:rsid w:val="00C935A9"/>
    <w:rsid w:val="00C94026"/>
    <w:rsid w:val="00C96E8F"/>
    <w:rsid w:val="00CA0406"/>
    <w:rsid w:val="00CA1180"/>
    <w:rsid w:val="00CA1E73"/>
    <w:rsid w:val="00CA2391"/>
    <w:rsid w:val="00CA3BCA"/>
    <w:rsid w:val="00CB0003"/>
    <w:rsid w:val="00CB5496"/>
    <w:rsid w:val="00CB5DBF"/>
    <w:rsid w:val="00CB5DFE"/>
    <w:rsid w:val="00CC060E"/>
    <w:rsid w:val="00CC1262"/>
    <w:rsid w:val="00CC1AC8"/>
    <w:rsid w:val="00CD0611"/>
    <w:rsid w:val="00CD09B7"/>
    <w:rsid w:val="00CD1CAC"/>
    <w:rsid w:val="00CD39E0"/>
    <w:rsid w:val="00CD6D88"/>
    <w:rsid w:val="00CE0942"/>
    <w:rsid w:val="00CE2915"/>
    <w:rsid w:val="00CE76A9"/>
    <w:rsid w:val="00CF147C"/>
    <w:rsid w:val="00CF2B83"/>
    <w:rsid w:val="00CF42EC"/>
    <w:rsid w:val="00CF55B4"/>
    <w:rsid w:val="00CF6608"/>
    <w:rsid w:val="00CF7467"/>
    <w:rsid w:val="00D02959"/>
    <w:rsid w:val="00D108A5"/>
    <w:rsid w:val="00D13E7D"/>
    <w:rsid w:val="00D304AA"/>
    <w:rsid w:val="00D30C6D"/>
    <w:rsid w:val="00D30E1A"/>
    <w:rsid w:val="00D3277A"/>
    <w:rsid w:val="00D41D51"/>
    <w:rsid w:val="00D436FD"/>
    <w:rsid w:val="00D4516F"/>
    <w:rsid w:val="00D45427"/>
    <w:rsid w:val="00D46DDC"/>
    <w:rsid w:val="00D52E16"/>
    <w:rsid w:val="00D55BB0"/>
    <w:rsid w:val="00D57455"/>
    <w:rsid w:val="00D65373"/>
    <w:rsid w:val="00D6706E"/>
    <w:rsid w:val="00D70F92"/>
    <w:rsid w:val="00D71743"/>
    <w:rsid w:val="00D740E8"/>
    <w:rsid w:val="00D77EC3"/>
    <w:rsid w:val="00D81593"/>
    <w:rsid w:val="00D87760"/>
    <w:rsid w:val="00D931DC"/>
    <w:rsid w:val="00D94B07"/>
    <w:rsid w:val="00DA4E0A"/>
    <w:rsid w:val="00DA4FEB"/>
    <w:rsid w:val="00DA7C94"/>
    <w:rsid w:val="00DB1629"/>
    <w:rsid w:val="00DB1748"/>
    <w:rsid w:val="00DC1FA4"/>
    <w:rsid w:val="00DC3C22"/>
    <w:rsid w:val="00DC52DB"/>
    <w:rsid w:val="00DD0BC5"/>
    <w:rsid w:val="00DE16F5"/>
    <w:rsid w:val="00DE1906"/>
    <w:rsid w:val="00DE380B"/>
    <w:rsid w:val="00DF0BAA"/>
    <w:rsid w:val="00DF1FF4"/>
    <w:rsid w:val="00DF2023"/>
    <w:rsid w:val="00DF2240"/>
    <w:rsid w:val="00DF248B"/>
    <w:rsid w:val="00DF3618"/>
    <w:rsid w:val="00DF43B6"/>
    <w:rsid w:val="00DF4C47"/>
    <w:rsid w:val="00DF75D4"/>
    <w:rsid w:val="00E01ADB"/>
    <w:rsid w:val="00E03906"/>
    <w:rsid w:val="00E06149"/>
    <w:rsid w:val="00E11F3B"/>
    <w:rsid w:val="00E120EA"/>
    <w:rsid w:val="00E13092"/>
    <w:rsid w:val="00E135A7"/>
    <w:rsid w:val="00E1447A"/>
    <w:rsid w:val="00E16C01"/>
    <w:rsid w:val="00E17A69"/>
    <w:rsid w:val="00E20C96"/>
    <w:rsid w:val="00E223BF"/>
    <w:rsid w:val="00E22A81"/>
    <w:rsid w:val="00E31078"/>
    <w:rsid w:val="00E32D13"/>
    <w:rsid w:val="00E35599"/>
    <w:rsid w:val="00E357A3"/>
    <w:rsid w:val="00E36BB7"/>
    <w:rsid w:val="00E41287"/>
    <w:rsid w:val="00E47460"/>
    <w:rsid w:val="00E47BE9"/>
    <w:rsid w:val="00E51ECA"/>
    <w:rsid w:val="00E56FBB"/>
    <w:rsid w:val="00E60B39"/>
    <w:rsid w:val="00E61F30"/>
    <w:rsid w:val="00E63D60"/>
    <w:rsid w:val="00E66E3C"/>
    <w:rsid w:val="00E756B8"/>
    <w:rsid w:val="00E75B18"/>
    <w:rsid w:val="00E76BEE"/>
    <w:rsid w:val="00E82EE5"/>
    <w:rsid w:val="00E8339A"/>
    <w:rsid w:val="00E847A0"/>
    <w:rsid w:val="00E96787"/>
    <w:rsid w:val="00E97177"/>
    <w:rsid w:val="00EC4E08"/>
    <w:rsid w:val="00EC7C92"/>
    <w:rsid w:val="00ED5122"/>
    <w:rsid w:val="00ED53E4"/>
    <w:rsid w:val="00ED7026"/>
    <w:rsid w:val="00EE3AC0"/>
    <w:rsid w:val="00EE3D3A"/>
    <w:rsid w:val="00EE4E1B"/>
    <w:rsid w:val="00EE60C6"/>
    <w:rsid w:val="00EF2BF1"/>
    <w:rsid w:val="00EF381D"/>
    <w:rsid w:val="00EF4991"/>
    <w:rsid w:val="00EF5991"/>
    <w:rsid w:val="00EF70F2"/>
    <w:rsid w:val="00EF7593"/>
    <w:rsid w:val="00EF7CAE"/>
    <w:rsid w:val="00F00790"/>
    <w:rsid w:val="00F026C5"/>
    <w:rsid w:val="00F031FF"/>
    <w:rsid w:val="00F0736C"/>
    <w:rsid w:val="00F07B5A"/>
    <w:rsid w:val="00F15873"/>
    <w:rsid w:val="00F1660B"/>
    <w:rsid w:val="00F22615"/>
    <w:rsid w:val="00F22645"/>
    <w:rsid w:val="00F226D0"/>
    <w:rsid w:val="00F233C6"/>
    <w:rsid w:val="00F269FD"/>
    <w:rsid w:val="00F274A1"/>
    <w:rsid w:val="00F32CDE"/>
    <w:rsid w:val="00F349F5"/>
    <w:rsid w:val="00F37841"/>
    <w:rsid w:val="00F423EB"/>
    <w:rsid w:val="00F42572"/>
    <w:rsid w:val="00F446DB"/>
    <w:rsid w:val="00F47184"/>
    <w:rsid w:val="00F5019B"/>
    <w:rsid w:val="00F52265"/>
    <w:rsid w:val="00F56127"/>
    <w:rsid w:val="00F568CB"/>
    <w:rsid w:val="00F57479"/>
    <w:rsid w:val="00F65B2F"/>
    <w:rsid w:val="00F66BFF"/>
    <w:rsid w:val="00F725DB"/>
    <w:rsid w:val="00F742A1"/>
    <w:rsid w:val="00F81705"/>
    <w:rsid w:val="00F828F1"/>
    <w:rsid w:val="00F82D3D"/>
    <w:rsid w:val="00F86CE0"/>
    <w:rsid w:val="00F91BF6"/>
    <w:rsid w:val="00F94CEA"/>
    <w:rsid w:val="00F95FCC"/>
    <w:rsid w:val="00FA18CD"/>
    <w:rsid w:val="00FA5B32"/>
    <w:rsid w:val="00FA7B19"/>
    <w:rsid w:val="00FB0497"/>
    <w:rsid w:val="00FB2BF8"/>
    <w:rsid w:val="00FB4A27"/>
    <w:rsid w:val="00FB6802"/>
    <w:rsid w:val="00FB787B"/>
    <w:rsid w:val="00FC19EB"/>
    <w:rsid w:val="00FC2D7F"/>
    <w:rsid w:val="00FC50B3"/>
    <w:rsid w:val="00FC708A"/>
    <w:rsid w:val="00FD5892"/>
    <w:rsid w:val="00FD6AE9"/>
    <w:rsid w:val="00FE12E0"/>
    <w:rsid w:val="00FE682D"/>
    <w:rsid w:val="00FE77FF"/>
    <w:rsid w:val="00FF059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CFB1"/>
  <w15:chartTrackingRefBased/>
  <w15:docId w15:val="{9C326B94-DD85-4865-B614-07FA44668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8FC"/>
    <w:pPr>
      <w:spacing w:after="200" w:line="276" w:lineRule="auto"/>
    </w:pPr>
    <w:rPr>
      <w:sz w:val="22"/>
      <w:szCs w:val="22"/>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urfulListAccent11">
    <w:name w:val="Colourful List – Accent 11"/>
    <w:basedOn w:val="Normal"/>
    <w:uiPriority w:val="34"/>
    <w:qFormat/>
    <w:rsid w:val="00010D4E"/>
    <w:pPr>
      <w:ind w:left="720"/>
      <w:contextualSpacing/>
    </w:pPr>
  </w:style>
  <w:style w:type="table" w:styleId="TableGrid">
    <w:name w:val="Table Grid"/>
    <w:basedOn w:val="TableNormal"/>
    <w:uiPriority w:val="59"/>
    <w:rsid w:val="00010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60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0D9"/>
  </w:style>
  <w:style w:type="paragraph" w:styleId="Footer">
    <w:name w:val="footer"/>
    <w:basedOn w:val="Normal"/>
    <w:link w:val="FooterChar"/>
    <w:uiPriority w:val="99"/>
    <w:unhideWhenUsed/>
    <w:rsid w:val="002660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0D9"/>
  </w:style>
  <w:style w:type="paragraph" w:styleId="BalloonText">
    <w:name w:val="Balloon Text"/>
    <w:basedOn w:val="Normal"/>
    <w:link w:val="BalloonTextChar"/>
    <w:uiPriority w:val="99"/>
    <w:semiHidden/>
    <w:unhideWhenUsed/>
    <w:rsid w:val="002660D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660D9"/>
    <w:rPr>
      <w:rFonts w:ascii="Tahoma" w:hAnsi="Tahoma" w:cs="Tahoma"/>
      <w:sz w:val="16"/>
      <w:szCs w:val="16"/>
    </w:rPr>
  </w:style>
  <w:style w:type="paragraph" w:styleId="ListParagraph">
    <w:name w:val="List Paragraph"/>
    <w:basedOn w:val="Normal"/>
    <w:uiPriority w:val="34"/>
    <w:qFormat/>
    <w:rsid w:val="001E1005"/>
    <w:pPr>
      <w:ind w:left="720"/>
    </w:pPr>
  </w:style>
  <w:style w:type="paragraph" w:styleId="NormalWeb">
    <w:name w:val="Normal (Web)"/>
    <w:basedOn w:val="Normal"/>
    <w:uiPriority w:val="99"/>
    <w:unhideWhenUsed/>
    <w:rsid w:val="00D4516F"/>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CD0611"/>
    <w:rPr>
      <w:rFonts w:ascii="Times New Roman" w:eastAsia="Times New Roman" w:hAnsi="Times New Roman"/>
      <w:sz w:val="24"/>
      <w:szCs w:val="24"/>
      <w:lang w:val="de-DE" w:eastAsia="de-DE"/>
    </w:rPr>
  </w:style>
  <w:style w:type="paragraph" w:customStyle="1" w:styleId="ColorfulList-Accent11">
    <w:name w:val="Colorful List - Accent 11"/>
    <w:basedOn w:val="Normal"/>
    <w:uiPriority w:val="34"/>
    <w:qFormat/>
    <w:rsid w:val="007A1364"/>
    <w:pPr>
      <w:ind w:left="720"/>
      <w:contextualSpacing/>
    </w:pPr>
  </w:style>
  <w:style w:type="character" w:customStyle="1" w:styleId="apple-converted-space">
    <w:name w:val="apple-converted-space"/>
    <w:rsid w:val="000D75DD"/>
  </w:style>
  <w:style w:type="paragraph" w:customStyle="1" w:styleId="Default">
    <w:name w:val="Default"/>
    <w:rsid w:val="00854450"/>
    <w:pPr>
      <w:autoSpaceDE w:val="0"/>
      <w:autoSpaceDN w:val="0"/>
      <w:adjustRightInd w:val="0"/>
    </w:pPr>
    <w:rPr>
      <w:rFonts w:ascii="Times New Roman" w:hAnsi="Times New Roman"/>
      <w:color w:val="000000"/>
      <w:sz w:val="24"/>
      <w:szCs w:val="24"/>
      <w:lang w:val="en-US" w:eastAsia="en-US"/>
    </w:rPr>
  </w:style>
  <w:style w:type="table" w:styleId="LightGrid-Accent5">
    <w:name w:val="Light Grid Accent 5"/>
    <w:basedOn w:val="TableNormal"/>
    <w:uiPriority w:val="62"/>
    <w:rsid w:val="008A3751"/>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DengXian" w:eastAsia="Times New Roman" w:hAnsi="DengXian"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DengXian" w:eastAsia="Times New Roman" w:hAnsi="DengXian"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TableGrid1">
    <w:name w:val="Table Grid1"/>
    <w:basedOn w:val="TableNormal"/>
    <w:next w:val="TableGrid"/>
    <w:uiPriority w:val="59"/>
    <w:rsid w:val="005F50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70A5D"/>
    <w:rPr>
      <w:sz w:val="22"/>
      <w:szCs w:val="22"/>
      <w:lang w:val="sq-AL" w:eastAsia="en-US"/>
    </w:rPr>
  </w:style>
  <w:style w:type="character" w:styleId="CommentReference">
    <w:name w:val="annotation reference"/>
    <w:uiPriority w:val="99"/>
    <w:semiHidden/>
    <w:unhideWhenUsed/>
    <w:rsid w:val="0040744A"/>
    <w:rPr>
      <w:sz w:val="16"/>
      <w:szCs w:val="16"/>
    </w:rPr>
  </w:style>
  <w:style w:type="paragraph" w:styleId="CommentText">
    <w:name w:val="annotation text"/>
    <w:basedOn w:val="Normal"/>
    <w:link w:val="CommentTextChar"/>
    <w:uiPriority w:val="99"/>
    <w:unhideWhenUsed/>
    <w:rsid w:val="0040744A"/>
    <w:rPr>
      <w:sz w:val="20"/>
      <w:szCs w:val="20"/>
    </w:rPr>
  </w:style>
  <w:style w:type="character" w:customStyle="1" w:styleId="CommentTextChar">
    <w:name w:val="Comment Text Char"/>
    <w:link w:val="CommentText"/>
    <w:uiPriority w:val="99"/>
    <w:rsid w:val="0040744A"/>
    <w:rPr>
      <w:lang w:val="sq-AL"/>
    </w:rPr>
  </w:style>
  <w:style w:type="paragraph" w:styleId="CommentSubject">
    <w:name w:val="annotation subject"/>
    <w:basedOn w:val="CommentText"/>
    <w:next w:val="CommentText"/>
    <w:link w:val="CommentSubjectChar"/>
    <w:uiPriority w:val="99"/>
    <w:semiHidden/>
    <w:unhideWhenUsed/>
    <w:rsid w:val="0040744A"/>
    <w:rPr>
      <w:b/>
      <w:bCs/>
    </w:rPr>
  </w:style>
  <w:style w:type="character" w:customStyle="1" w:styleId="CommentSubjectChar">
    <w:name w:val="Comment Subject Char"/>
    <w:link w:val="CommentSubject"/>
    <w:uiPriority w:val="99"/>
    <w:semiHidden/>
    <w:rsid w:val="0040744A"/>
    <w:rPr>
      <w:b/>
      <w:bCs/>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500066">
      <w:bodyDiv w:val="1"/>
      <w:marLeft w:val="0"/>
      <w:marRight w:val="0"/>
      <w:marTop w:val="0"/>
      <w:marBottom w:val="0"/>
      <w:divBdr>
        <w:top w:val="none" w:sz="0" w:space="0" w:color="auto"/>
        <w:left w:val="none" w:sz="0" w:space="0" w:color="auto"/>
        <w:bottom w:val="none" w:sz="0" w:space="0" w:color="auto"/>
        <w:right w:val="none" w:sz="0" w:space="0" w:color="auto"/>
      </w:divBdr>
      <w:divsChild>
        <w:div w:id="548762996">
          <w:marLeft w:val="0"/>
          <w:marRight w:val="0"/>
          <w:marTop w:val="15"/>
          <w:marBottom w:val="0"/>
          <w:divBdr>
            <w:top w:val="none" w:sz="0" w:space="0" w:color="auto"/>
            <w:left w:val="none" w:sz="0" w:space="0" w:color="auto"/>
            <w:bottom w:val="none" w:sz="0" w:space="0" w:color="auto"/>
            <w:right w:val="none" w:sz="0" w:space="0" w:color="auto"/>
          </w:divBdr>
          <w:divsChild>
            <w:div w:id="776603796">
              <w:marLeft w:val="0"/>
              <w:marRight w:val="0"/>
              <w:marTop w:val="0"/>
              <w:marBottom w:val="0"/>
              <w:divBdr>
                <w:top w:val="single" w:sz="6" w:space="0" w:color="808080"/>
                <w:left w:val="single" w:sz="6" w:space="0" w:color="808080"/>
                <w:bottom w:val="single" w:sz="6" w:space="0" w:color="808080"/>
                <w:right w:val="single" w:sz="6" w:space="0" w:color="808080"/>
              </w:divBdr>
              <w:divsChild>
                <w:div w:id="69561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433094">
          <w:marLeft w:val="0"/>
          <w:marRight w:val="0"/>
          <w:marTop w:val="15"/>
          <w:marBottom w:val="0"/>
          <w:divBdr>
            <w:top w:val="none" w:sz="0" w:space="0" w:color="auto"/>
            <w:left w:val="none" w:sz="0" w:space="0" w:color="auto"/>
            <w:bottom w:val="none" w:sz="0" w:space="0" w:color="auto"/>
            <w:right w:val="none" w:sz="0" w:space="0" w:color="auto"/>
          </w:divBdr>
          <w:divsChild>
            <w:div w:id="448210007">
              <w:marLeft w:val="0"/>
              <w:marRight w:val="0"/>
              <w:marTop w:val="0"/>
              <w:marBottom w:val="0"/>
              <w:divBdr>
                <w:top w:val="single" w:sz="6" w:space="0" w:color="808080"/>
                <w:left w:val="single" w:sz="6" w:space="0" w:color="808080"/>
                <w:bottom w:val="single" w:sz="6" w:space="0" w:color="808080"/>
                <w:right w:val="single" w:sz="6" w:space="0" w:color="808080"/>
              </w:divBdr>
              <w:divsChild>
                <w:div w:id="78604900">
                  <w:marLeft w:val="0"/>
                  <w:marRight w:val="0"/>
                  <w:marTop w:val="0"/>
                  <w:marBottom w:val="0"/>
                  <w:divBdr>
                    <w:top w:val="none" w:sz="0" w:space="0" w:color="auto"/>
                    <w:left w:val="none" w:sz="0" w:space="0" w:color="auto"/>
                    <w:bottom w:val="none" w:sz="0" w:space="0" w:color="auto"/>
                    <w:right w:val="none" w:sz="0" w:space="0" w:color="auto"/>
                  </w:divBdr>
                </w:div>
                <w:div w:id="134226193">
                  <w:marLeft w:val="0"/>
                  <w:marRight w:val="0"/>
                  <w:marTop w:val="0"/>
                  <w:marBottom w:val="0"/>
                  <w:divBdr>
                    <w:top w:val="none" w:sz="0" w:space="0" w:color="auto"/>
                    <w:left w:val="none" w:sz="0" w:space="0" w:color="auto"/>
                    <w:bottom w:val="none" w:sz="0" w:space="0" w:color="auto"/>
                    <w:right w:val="none" w:sz="0" w:space="0" w:color="auto"/>
                  </w:divBdr>
                </w:div>
                <w:div w:id="416246369">
                  <w:marLeft w:val="0"/>
                  <w:marRight w:val="0"/>
                  <w:marTop w:val="0"/>
                  <w:marBottom w:val="0"/>
                  <w:divBdr>
                    <w:top w:val="none" w:sz="0" w:space="0" w:color="auto"/>
                    <w:left w:val="none" w:sz="0" w:space="0" w:color="auto"/>
                    <w:bottom w:val="none" w:sz="0" w:space="0" w:color="auto"/>
                    <w:right w:val="none" w:sz="0" w:space="0" w:color="auto"/>
                  </w:divBdr>
                </w:div>
                <w:div w:id="497304956">
                  <w:marLeft w:val="0"/>
                  <w:marRight w:val="0"/>
                  <w:marTop w:val="0"/>
                  <w:marBottom w:val="0"/>
                  <w:divBdr>
                    <w:top w:val="none" w:sz="0" w:space="0" w:color="auto"/>
                    <w:left w:val="none" w:sz="0" w:space="0" w:color="auto"/>
                    <w:bottom w:val="none" w:sz="0" w:space="0" w:color="auto"/>
                    <w:right w:val="none" w:sz="0" w:space="0" w:color="auto"/>
                  </w:divBdr>
                </w:div>
                <w:div w:id="562788927">
                  <w:marLeft w:val="0"/>
                  <w:marRight w:val="0"/>
                  <w:marTop w:val="0"/>
                  <w:marBottom w:val="0"/>
                  <w:divBdr>
                    <w:top w:val="none" w:sz="0" w:space="0" w:color="auto"/>
                    <w:left w:val="none" w:sz="0" w:space="0" w:color="auto"/>
                    <w:bottom w:val="none" w:sz="0" w:space="0" w:color="auto"/>
                    <w:right w:val="none" w:sz="0" w:space="0" w:color="auto"/>
                  </w:divBdr>
                </w:div>
                <w:div w:id="615872764">
                  <w:marLeft w:val="0"/>
                  <w:marRight w:val="0"/>
                  <w:marTop w:val="0"/>
                  <w:marBottom w:val="0"/>
                  <w:divBdr>
                    <w:top w:val="none" w:sz="0" w:space="0" w:color="auto"/>
                    <w:left w:val="none" w:sz="0" w:space="0" w:color="auto"/>
                    <w:bottom w:val="none" w:sz="0" w:space="0" w:color="auto"/>
                    <w:right w:val="none" w:sz="0" w:space="0" w:color="auto"/>
                  </w:divBdr>
                </w:div>
                <w:div w:id="729311335">
                  <w:marLeft w:val="0"/>
                  <w:marRight w:val="0"/>
                  <w:marTop w:val="0"/>
                  <w:marBottom w:val="0"/>
                  <w:divBdr>
                    <w:top w:val="none" w:sz="0" w:space="0" w:color="auto"/>
                    <w:left w:val="none" w:sz="0" w:space="0" w:color="auto"/>
                    <w:bottom w:val="none" w:sz="0" w:space="0" w:color="auto"/>
                    <w:right w:val="none" w:sz="0" w:space="0" w:color="auto"/>
                  </w:divBdr>
                </w:div>
                <w:div w:id="862132622">
                  <w:marLeft w:val="0"/>
                  <w:marRight w:val="0"/>
                  <w:marTop w:val="0"/>
                  <w:marBottom w:val="0"/>
                  <w:divBdr>
                    <w:top w:val="none" w:sz="0" w:space="0" w:color="auto"/>
                    <w:left w:val="none" w:sz="0" w:space="0" w:color="auto"/>
                    <w:bottom w:val="none" w:sz="0" w:space="0" w:color="auto"/>
                    <w:right w:val="none" w:sz="0" w:space="0" w:color="auto"/>
                  </w:divBdr>
                </w:div>
                <w:div w:id="917711524">
                  <w:marLeft w:val="0"/>
                  <w:marRight w:val="0"/>
                  <w:marTop w:val="0"/>
                  <w:marBottom w:val="0"/>
                  <w:divBdr>
                    <w:top w:val="none" w:sz="0" w:space="0" w:color="auto"/>
                    <w:left w:val="none" w:sz="0" w:space="0" w:color="auto"/>
                    <w:bottom w:val="none" w:sz="0" w:space="0" w:color="auto"/>
                    <w:right w:val="none" w:sz="0" w:space="0" w:color="auto"/>
                  </w:divBdr>
                </w:div>
                <w:div w:id="1474450095">
                  <w:marLeft w:val="0"/>
                  <w:marRight w:val="0"/>
                  <w:marTop w:val="0"/>
                  <w:marBottom w:val="0"/>
                  <w:divBdr>
                    <w:top w:val="none" w:sz="0" w:space="0" w:color="auto"/>
                    <w:left w:val="none" w:sz="0" w:space="0" w:color="auto"/>
                    <w:bottom w:val="none" w:sz="0" w:space="0" w:color="auto"/>
                    <w:right w:val="none" w:sz="0" w:space="0" w:color="auto"/>
                  </w:divBdr>
                </w:div>
                <w:div w:id="1487890790">
                  <w:marLeft w:val="0"/>
                  <w:marRight w:val="0"/>
                  <w:marTop w:val="0"/>
                  <w:marBottom w:val="0"/>
                  <w:divBdr>
                    <w:top w:val="none" w:sz="0" w:space="0" w:color="auto"/>
                    <w:left w:val="none" w:sz="0" w:space="0" w:color="auto"/>
                    <w:bottom w:val="none" w:sz="0" w:space="0" w:color="auto"/>
                    <w:right w:val="none" w:sz="0" w:space="0" w:color="auto"/>
                  </w:divBdr>
                </w:div>
                <w:div w:id="1543589651">
                  <w:marLeft w:val="0"/>
                  <w:marRight w:val="0"/>
                  <w:marTop w:val="0"/>
                  <w:marBottom w:val="0"/>
                  <w:divBdr>
                    <w:top w:val="none" w:sz="0" w:space="0" w:color="auto"/>
                    <w:left w:val="none" w:sz="0" w:space="0" w:color="auto"/>
                    <w:bottom w:val="none" w:sz="0" w:space="0" w:color="auto"/>
                    <w:right w:val="none" w:sz="0" w:space="0" w:color="auto"/>
                  </w:divBdr>
                </w:div>
                <w:div w:id="1602370958">
                  <w:marLeft w:val="0"/>
                  <w:marRight w:val="0"/>
                  <w:marTop w:val="0"/>
                  <w:marBottom w:val="0"/>
                  <w:divBdr>
                    <w:top w:val="none" w:sz="0" w:space="0" w:color="auto"/>
                    <w:left w:val="none" w:sz="0" w:space="0" w:color="auto"/>
                    <w:bottom w:val="none" w:sz="0" w:space="0" w:color="auto"/>
                    <w:right w:val="none" w:sz="0" w:space="0" w:color="auto"/>
                  </w:divBdr>
                </w:div>
                <w:div w:id="1628002545">
                  <w:marLeft w:val="0"/>
                  <w:marRight w:val="0"/>
                  <w:marTop w:val="0"/>
                  <w:marBottom w:val="0"/>
                  <w:divBdr>
                    <w:top w:val="none" w:sz="0" w:space="0" w:color="auto"/>
                    <w:left w:val="none" w:sz="0" w:space="0" w:color="auto"/>
                    <w:bottom w:val="none" w:sz="0" w:space="0" w:color="auto"/>
                    <w:right w:val="none" w:sz="0" w:space="0" w:color="auto"/>
                  </w:divBdr>
                </w:div>
                <w:div w:id="1701517586">
                  <w:marLeft w:val="0"/>
                  <w:marRight w:val="0"/>
                  <w:marTop w:val="0"/>
                  <w:marBottom w:val="0"/>
                  <w:divBdr>
                    <w:top w:val="none" w:sz="0" w:space="0" w:color="auto"/>
                    <w:left w:val="none" w:sz="0" w:space="0" w:color="auto"/>
                    <w:bottom w:val="none" w:sz="0" w:space="0" w:color="auto"/>
                    <w:right w:val="none" w:sz="0" w:space="0" w:color="auto"/>
                  </w:divBdr>
                </w:div>
                <w:div w:id="182854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647165">
      <w:bodyDiv w:val="1"/>
      <w:marLeft w:val="0"/>
      <w:marRight w:val="0"/>
      <w:marTop w:val="0"/>
      <w:marBottom w:val="0"/>
      <w:divBdr>
        <w:top w:val="none" w:sz="0" w:space="0" w:color="auto"/>
        <w:left w:val="none" w:sz="0" w:space="0" w:color="auto"/>
        <w:bottom w:val="none" w:sz="0" w:space="0" w:color="auto"/>
        <w:right w:val="none" w:sz="0" w:space="0" w:color="auto"/>
      </w:divBdr>
      <w:divsChild>
        <w:div w:id="721833330">
          <w:marLeft w:val="0"/>
          <w:marRight w:val="0"/>
          <w:marTop w:val="0"/>
          <w:marBottom w:val="0"/>
          <w:divBdr>
            <w:top w:val="none" w:sz="0" w:space="0" w:color="auto"/>
            <w:left w:val="none" w:sz="0" w:space="0" w:color="auto"/>
            <w:bottom w:val="none" w:sz="0" w:space="0" w:color="auto"/>
            <w:right w:val="none" w:sz="0" w:space="0" w:color="auto"/>
          </w:divBdr>
        </w:div>
        <w:div w:id="1078553304">
          <w:marLeft w:val="0"/>
          <w:marRight w:val="0"/>
          <w:marTop w:val="0"/>
          <w:marBottom w:val="0"/>
          <w:divBdr>
            <w:top w:val="none" w:sz="0" w:space="0" w:color="auto"/>
            <w:left w:val="none" w:sz="0" w:space="0" w:color="auto"/>
            <w:bottom w:val="none" w:sz="0" w:space="0" w:color="auto"/>
            <w:right w:val="none" w:sz="0" w:space="0" w:color="auto"/>
          </w:divBdr>
        </w:div>
        <w:div w:id="2009211232">
          <w:marLeft w:val="0"/>
          <w:marRight w:val="0"/>
          <w:marTop w:val="0"/>
          <w:marBottom w:val="0"/>
          <w:divBdr>
            <w:top w:val="none" w:sz="0" w:space="0" w:color="auto"/>
            <w:left w:val="none" w:sz="0" w:space="0" w:color="auto"/>
            <w:bottom w:val="none" w:sz="0" w:space="0" w:color="auto"/>
            <w:right w:val="none" w:sz="0" w:space="0" w:color="auto"/>
          </w:divBdr>
        </w:div>
        <w:div w:id="2050565921">
          <w:marLeft w:val="0"/>
          <w:marRight w:val="0"/>
          <w:marTop w:val="0"/>
          <w:marBottom w:val="0"/>
          <w:divBdr>
            <w:top w:val="none" w:sz="0" w:space="0" w:color="auto"/>
            <w:left w:val="none" w:sz="0" w:space="0" w:color="auto"/>
            <w:bottom w:val="none" w:sz="0" w:space="0" w:color="auto"/>
            <w:right w:val="none" w:sz="0" w:space="0" w:color="auto"/>
          </w:divBdr>
        </w:div>
      </w:divsChild>
    </w:div>
    <w:div w:id="392658235">
      <w:bodyDiv w:val="1"/>
      <w:marLeft w:val="0"/>
      <w:marRight w:val="0"/>
      <w:marTop w:val="0"/>
      <w:marBottom w:val="0"/>
      <w:divBdr>
        <w:top w:val="none" w:sz="0" w:space="0" w:color="auto"/>
        <w:left w:val="none" w:sz="0" w:space="0" w:color="auto"/>
        <w:bottom w:val="none" w:sz="0" w:space="0" w:color="auto"/>
        <w:right w:val="none" w:sz="0" w:space="0" w:color="auto"/>
      </w:divBdr>
    </w:div>
    <w:div w:id="430664515">
      <w:bodyDiv w:val="1"/>
      <w:marLeft w:val="0"/>
      <w:marRight w:val="0"/>
      <w:marTop w:val="0"/>
      <w:marBottom w:val="0"/>
      <w:divBdr>
        <w:top w:val="none" w:sz="0" w:space="0" w:color="auto"/>
        <w:left w:val="none" w:sz="0" w:space="0" w:color="auto"/>
        <w:bottom w:val="none" w:sz="0" w:space="0" w:color="auto"/>
        <w:right w:val="none" w:sz="0" w:space="0" w:color="auto"/>
      </w:divBdr>
    </w:div>
    <w:div w:id="554317196">
      <w:bodyDiv w:val="1"/>
      <w:marLeft w:val="0"/>
      <w:marRight w:val="0"/>
      <w:marTop w:val="0"/>
      <w:marBottom w:val="0"/>
      <w:divBdr>
        <w:top w:val="none" w:sz="0" w:space="0" w:color="auto"/>
        <w:left w:val="none" w:sz="0" w:space="0" w:color="auto"/>
        <w:bottom w:val="none" w:sz="0" w:space="0" w:color="auto"/>
        <w:right w:val="none" w:sz="0" w:space="0" w:color="auto"/>
      </w:divBdr>
      <w:divsChild>
        <w:div w:id="796217855">
          <w:marLeft w:val="0"/>
          <w:marRight w:val="0"/>
          <w:marTop w:val="0"/>
          <w:marBottom w:val="0"/>
          <w:divBdr>
            <w:top w:val="none" w:sz="0" w:space="0" w:color="auto"/>
            <w:left w:val="none" w:sz="0" w:space="0" w:color="auto"/>
            <w:bottom w:val="none" w:sz="0" w:space="0" w:color="auto"/>
            <w:right w:val="none" w:sz="0" w:space="0" w:color="auto"/>
          </w:divBdr>
        </w:div>
        <w:div w:id="1024554384">
          <w:marLeft w:val="0"/>
          <w:marRight w:val="0"/>
          <w:marTop w:val="0"/>
          <w:marBottom w:val="0"/>
          <w:divBdr>
            <w:top w:val="none" w:sz="0" w:space="0" w:color="auto"/>
            <w:left w:val="none" w:sz="0" w:space="0" w:color="auto"/>
            <w:bottom w:val="none" w:sz="0" w:space="0" w:color="auto"/>
            <w:right w:val="none" w:sz="0" w:space="0" w:color="auto"/>
          </w:divBdr>
        </w:div>
        <w:div w:id="1089931939">
          <w:marLeft w:val="0"/>
          <w:marRight w:val="0"/>
          <w:marTop w:val="0"/>
          <w:marBottom w:val="0"/>
          <w:divBdr>
            <w:top w:val="none" w:sz="0" w:space="0" w:color="auto"/>
            <w:left w:val="none" w:sz="0" w:space="0" w:color="auto"/>
            <w:bottom w:val="none" w:sz="0" w:space="0" w:color="auto"/>
            <w:right w:val="none" w:sz="0" w:space="0" w:color="auto"/>
          </w:divBdr>
        </w:div>
      </w:divsChild>
    </w:div>
    <w:div w:id="559481189">
      <w:bodyDiv w:val="1"/>
      <w:marLeft w:val="0"/>
      <w:marRight w:val="0"/>
      <w:marTop w:val="0"/>
      <w:marBottom w:val="0"/>
      <w:divBdr>
        <w:top w:val="none" w:sz="0" w:space="0" w:color="auto"/>
        <w:left w:val="none" w:sz="0" w:space="0" w:color="auto"/>
        <w:bottom w:val="none" w:sz="0" w:space="0" w:color="auto"/>
        <w:right w:val="none" w:sz="0" w:space="0" w:color="auto"/>
      </w:divBdr>
      <w:divsChild>
        <w:div w:id="220137667">
          <w:marLeft w:val="0"/>
          <w:marRight w:val="0"/>
          <w:marTop w:val="15"/>
          <w:marBottom w:val="0"/>
          <w:divBdr>
            <w:top w:val="none" w:sz="0" w:space="0" w:color="auto"/>
            <w:left w:val="none" w:sz="0" w:space="0" w:color="auto"/>
            <w:bottom w:val="none" w:sz="0" w:space="0" w:color="auto"/>
            <w:right w:val="none" w:sz="0" w:space="0" w:color="auto"/>
          </w:divBdr>
          <w:divsChild>
            <w:div w:id="890657215">
              <w:marLeft w:val="0"/>
              <w:marRight w:val="0"/>
              <w:marTop w:val="0"/>
              <w:marBottom w:val="0"/>
              <w:divBdr>
                <w:top w:val="single" w:sz="6" w:space="0" w:color="808080"/>
                <w:left w:val="single" w:sz="6" w:space="0" w:color="808080"/>
                <w:bottom w:val="single" w:sz="6" w:space="0" w:color="808080"/>
                <w:right w:val="single" w:sz="6" w:space="0" w:color="808080"/>
              </w:divBdr>
              <w:divsChild>
                <w:div w:id="196827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158735">
          <w:marLeft w:val="0"/>
          <w:marRight w:val="0"/>
          <w:marTop w:val="15"/>
          <w:marBottom w:val="0"/>
          <w:divBdr>
            <w:top w:val="none" w:sz="0" w:space="0" w:color="auto"/>
            <w:left w:val="none" w:sz="0" w:space="0" w:color="auto"/>
            <w:bottom w:val="none" w:sz="0" w:space="0" w:color="auto"/>
            <w:right w:val="none" w:sz="0" w:space="0" w:color="auto"/>
          </w:divBdr>
          <w:divsChild>
            <w:div w:id="1851293325">
              <w:marLeft w:val="0"/>
              <w:marRight w:val="0"/>
              <w:marTop w:val="0"/>
              <w:marBottom w:val="0"/>
              <w:divBdr>
                <w:top w:val="single" w:sz="6" w:space="0" w:color="808080"/>
                <w:left w:val="single" w:sz="6" w:space="0" w:color="808080"/>
                <w:bottom w:val="single" w:sz="6" w:space="0" w:color="808080"/>
                <w:right w:val="single" w:sz="6" w:space="0" w:color="808080"/>
              </w:divBdr>
              <w:divsChild>
                <w:div w:id="363211607">
                  <w:marLeft w:val="0"/>
                  <w:marRight w:val="0"/>
                  <w:marTop w:val="0"/>
                  <w:marBottom w:val="0"/>
                  <w:divBdr>
                    <w:top w:val="none" w:sz="0" w:space="0" w:color="auto"/>
                    <w:left w:val="none" w:sz="0" w:space="0" w:color="auto"/>
                    <w:bottom w:val="none" w:sz="0" w:space="0" w:color="auto"/>
                    <w:right w:val="none" w:sz="0" w:space="0" w:color="auto"/>
                  </w:divBdr>
                </w:div>
                <w:div w:id="461994847">
                  <w:marLeft w:val="0"/>
                  <w:marRight w:val="0"/>
                  <w:marTop w:val="0"/>
                  <w:marBottom w:val="0"/>
                  <w:divBdr>
                    <w:top w:val="none" w:sz="0" w:space="0" w:color="auto"/>
                    <w:left w:val="none" w:sz="0" w:space="0" w:color="auto"/>
                    <w:bottom w:val="none" w:sz="0" w:space="0" w:color="auto"/>
                    <w:right w:val="none" w:sz="0" w:space="0" w:color="auto"/>
                  </w:divBdr>
                </w:div>
                <w:div w:id="694354097">
                  <w:marLeft w:val="0"/>
                  <w:marRight w:val="0"/>
                  <w:marTop w:val="0"/>
                  <w:marBottom w:val="0"/>
                  <w:divBdr>
                    <w:top w:val="none" w:sz="0" w:space="0" w:color="auto"/>
                    <w:left w:val="none" w:sz="0" w:space="0" w:color="auto"/>
                    <w:bottom w:val="none" w:sz="0" w:space="0" w:color="auto"/>
                    <w:right w:val="none" w:sz="0" w:space="0" w:color="auto"/>
                  </w:divBdr>
                </w:div>
                <w:div w:id="746154550">
                  <w:marLeft w:val="0"/>
                  <w:marRight w:val="0"/>
                  <w:marTop w:val="0"/>
                  <w:marBottom w:val="0"/>
                  <w:divBdr>
                    <w:top w:val="none" w:sz="0" w:space="0" w:color="auto"/>
                    <w:left w:val="none" w:sz="0" w:space="0" w:color="auto"/>
                    <w:bottom w:val="none" w:sz="0" w:space="0" w:color="auto"/>
                    <w:right w:val="none" w:sz="0" w:space="0" w:color="auto"/>
                  </w:divBdr>
                </w:div>
                <w:div w:id="1281840457">
                  <w:marLeft w:val="0"/>
                  <w:marRight w:val="0"/>
                  <w:marTop w:val="0"/>
                  <w:marBottom w:val="0"/>
                  <w:divBdr>
                    <w:top w:val="none" w:sz="0" w:space="0" w:color="auto"/>
                    <w:left w:val="none" w:sz="0" w:space="0" w:color="auto"/>
                    <w:bottom w:val="none" w:sz="0" w:space="0" w:color="auto"/>
                    <w:right w:val="none" w:sz="0" w:space="0" w:color="auto"/>
                  </w:divBdr>
                </w:div>
                <w:div w:id="180604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515669">
      <w:bodyDiv w:val="1"/>
      <w:marLeft w:val="0"/>
      <w:marRight w:val="0"/>
      <w:marTop w:val="0"/>
      <w:marBottom w:val="0"/>
      <w:divBdr>
        <w:top w:val="none" w:sz="0" w:space="0" w:color="auto"/>
        <w:left w:val="none" w:sz="0" w:space="0" w:color="auto"/>
        <w:bottom w:val="none" w:sz="0" w:space="0" w:color="auto"/>
        <w:right w:val="none" w:sz="0" w:space="0" w:color="auto"/>
      </w:divBdr>
      <w:divsChild>
        <w:div w:id="671445439">
          <w:marLeft w:val="0"/>
          <w:marRight w:val="0"/>
          <w:marTop w:val="0"/>
          <w:marBottom w:val="0"/>
          <w:divBdr>
            <w:top w:val="none" w:sz="0" w:space="0" w:color="auto"/>
            <w:left w:val="none" w:sz="0" w:space="0" w:color="auto"/>
            <w:bottom w:val="none" w:sz="0" w:space="0" w:color="auto"/>
            <w:right w:val="none" w:sz="0" w:space="0" w:color="auto"/>
          </w:divBdr>
        </w:div>
        <w:div w:id="1094715153">
          <w:marLeft w:val="0"/>
          <w:marRight w:val="0"/>
          <w:marTop w:val="0"/>
          <w:marBottom w:val="0"/>
          <w:divBdr>
            <w:top w:val="none" w:sz="0" w:space="0" w:color="auto"/>
            <w:left w:val="none" w:sz="0" w:space="0" w:color="auto"/>
            <w:bottom w:val="none" w:sz="0" w:space="0" w:color="auto"/>
            <w:right w:val="none" w:sz="0" w:space="0" w:color="auto"/>
          </w:divBdr>
        </w:div>
        <w:div w:id="1661274304">
          <w:marLeft w:val="0"/>
          <w:marRight w:val="0"/>
          <w:marTop w:val="0"/>
          <w:marBottom w:val="0"/>
          <w:divBdr>
            <w:top w:val="none" w:sz="0" w:space="0" w:color="auto"/>
            <w:left w:val="none" w:sz="0" w:space="0" w:color="auto"/>
            <w:bottom w:val="none" w:sz="0" w:space="0" w:color="auto"/>
            <w:right w:val="none" w:sz="0" w:space="0" w:color="auto"/>
          </w:divBdr>
        </w:div>
      </w:divsChild>
    </w:div>
    <w:div w:id="949315194">
      <w:bodyDiv w:val="1"/>
      <w:marLeft w:val="0"/>
      <w:marRight w:val="0"/>
      <w:marTop w:val="0"/>
      <w:marBottom w:val="0"/>
      <w:divBdr>
        <w:top w:val="none" w:sz="0" w:space="0" w:color="auto"/>
        <w:left w:val="none" w:sz="0" w:space="0" w:color="auto"/>
        <w:bottom w:val="none" w:sz="0" w:space="0" w:color="auto"/>
        <w:right w:val="none" w:sz="0" w:space="0" w:color="auto"/>
      </w:divBdr>
      <w:divsChild>
        <w:div w:id="65883675">
          <w:marLeft w:val="0"/>
          <w:marRight w:val="0"/>
          <w:marTop w:val="0"/>
          <w:marBottom w:val="0"/>
          <w:divBdr>
            <w:top w:val="none" w:sz="0" w:space="0" w:color="auto"/>
            <w:left w:val="none" w:sz="0" w:space="0" w:color="auto"/>
            <w:bottom w:val="none" w:sz="0" w:space="0" w:color="auto"/>
            <w:right w:val="none" w:sz="0" w:space="0" w:color="auto"/>
          </w:divBdr>
        </w:div>
        <w:div w:id="987126852">
          <w:marLeft w:val="0"/>
          <w:marRight w:val="0"/>
          <w:marTop w:val="0"/>
          <w:marBottom w:val="0"/>
          <w:divBdr>
            <w:top w:val="none" w:sz="0" w:space="0" w:color="auto"/>
            <w:left w:val="none" w:sz="0" w:space="0" w:color="auto"/>
            <w:bottom w:val="none" w:sz="0" w:space="0" w:color="auto"/>
            <w:right w:val="none" w:sz="0" w:space="0" w:color="auto"/>
          </w:divBdr>
        </w:div>
        <w:div w:id="1677223851">
          <w:marLeft w:val="0"/>
          <w:marRight w:val="0"/>
          <w:marTop w:val="0"/>
          <w:marBottom w:val="0"/>
          <w:divBdr>
            <w:top w:val="none" w:sz="0" w:space="0" w:color="auto"/>
            <w:left w:val="none" w:sz="0" w:space="0" w:color="auto"/>
            <w:bottom w:val="none" w:sz="0" w:space="0" w:color="auto"/>
            <w:right w:val="none" w:sz="0" w:space="0" w:color="auto"/>
          </w:divBdr>
        </w:div>
        <w:div w:id="1890998601">
          <w:marLeft w:val="0"/>
          <w:marRight w:val="0"/>
          <w:marTop w:val="0"/>
          <w:marBottom w:val="0"/>
          <w:divBdr>
            <w:top w:val="none" w:sz="0" w:space="0" w:color="auto"/>
            <w:left w:val="none" w:sz="0" w:space="0" w:color="auto"/>
            <w:bottom w:val="none" w:sz="0" w:space="0" w:color="auto"/>
            <w:right w:val="none" w:sz="0" w:space="0" w:color="auto"/>
          </w:divBdr>
        </w:div>
        <w:div w:id="1921743997">
          <w:marLeft w:val="0"/>
          <w:marRight w:val="0"/>
          <w:marTop w:val="0"/>
          <w:marBottom w:val="0"/>
          <w:divBdr>
            <w:top w:val="none" w:sz="0" w:space="0" w:color="auto"/>
            <w:left w:val="none" w:sz="0" w:space="0" w:color="auto"/>
            <w:bottom w:val="none" w:sz="0" w:space="0" w:color="auto"/>
            <w:right w:val="none" w:sz="0" w:space="0" w:color="auto"/>
          </w:divBdr>
        </w:div>
      </w:divsChild>
    </w:div>
    <w:div w:id="995187266">
      <w:bodyDiv w:val="1"/>
      <w:marLeft w:val="0"/>
      <w:marRight w:val="0"/>
      <w:marTop w:val="0"/>
      <w:marBottom w:val="0"/>
      <w:divBdr>
        <w:top w:val="none" w:sz="0" w:space="0" w:color="auto"/>
        <w:left w:val="none" w:sz="0" w:space="0" w:color="auto"/>
        <w:bottom w:val="none" w:sz="0" w:space="0" w:color="auto"/>
        <w:right w:val="none" w:sz="0" w:space="0" w:color="auto"/>
      </w:divBdr>
    </w:div>
    <w:div w:id="1021737457">
      <w:bodyDiv w:val="1"/>
      <w:marLeft w:val="0"/>
      <w:marRight w:val="0"/>
      <w:marTop w:val="0"/>
      <w:marBottom w:val="0"/>
      <w:divBdr>
        <w:top w:val="none" w:sz="0" w:space="0" w:color="auto"/>
        <w:left w:val="none" w:sz="0" w:space="0" w:color="auto"/>
        <w:bottom w:val="none" w:sz="0" w:space="0" w:color="auto"/>
        <w:right w:val="none" w:sz="0" w:space="0" w:color="auto"/>
      </w:divBdr>
      <w:divsChild>
        <w:div w:id="389425621">
          <w:marLeft w:val="0"/>
          <w:marRight w:val="0"/>
          <w:marTop w:val="0"/>
          <w:marBottom w:val="0"/>
          <w:divBdr>
            <w:top w:val="none" w:sz="0" w:space="0" w:color="auto"/>
            <w:left w:val="none" w:sz="0" w:space="0" w:color="auto"/>
            <w:bottom w:val="none" w:sz="0" w:space="0" w:color="auto"/>
            <w:right w:val="none" w:sz="0" w:space="0" w:color="auto"/>
          </w:divBdr>
        </w:div>
        <w:div w:id="418793058">
          <w:marLeft w:val="0"/>
          <w:marRight w:val="0"/>
          <w:marTop w:val="0"/>
          <w:marBottom w:val="0"/>
          <w:divBdr>
            <w:top w:val="none" w:sz="0" w:space="0" w:color="auto"/>
            <w:left w:val="none" w:sz="0" w:space="0" w:color="auto"/>
            <w:bottom w:val="none" w:sz="0" w:space="0" w:color="auto"/>
            <w:right w:val="none" w:sz="0" w:space="0" w:color="auto"/>
          </w:divBdr>
        </w:div>
        <w:div w:id="856430884">
          <w:marLeft w:val="0"/>
          <w:marRight w:val="0"/>
          <w:marTop w:val="0"/>
          <w:marBottom w:val="0"/>
          <w:divBdr>
            <w:top w:val="none" w:sz="0" w:space="0" w:color="auto"/>
            <w:left w:val="none" w:sz="0" w:space="0" w:color="auto"/>
            <w:bottom w:val="none" w:sz="0" w:space="0" w:color="auto"/>
            <w:right w:val="none" w:sz="0" w:space="0" w:color="auto"/>
          </w:divBdr>
        </w:div>
        <w:div w:id="1326010055">
          <w:marLeft w:val="0"/>
          <w:marRight w:val="0"/>
          <w:marTop w:val="0"/>
          <w:marBottom w:val="0"/>
          <w:divBdr>
            <w:top w:val="none" w:sz="0" w:space="0" w:color="auto"/>
            <w:left w:val="none" w:sz="0" w:space="0" w:color="auto"/>
            <w:bottom w:val="none" w:sz="0" w:space="0" w:color="auto"/>
            <w:right w:val="none" w:sz="0" w:space="0" w:color="auto"/>
          </w:divBdr>
        </w:div>
        <w:div w:id="1405682039">
          <w:marLeft w:val="0"/>
          <w:marRight w:val="0"/>
          <w:marTop w:val="0"/>
          <w:marBottom w:val="0"/>
          <w:divBdr>
            <w:top w:val="none" w:sz="0" w:space="0" w:color="auto"/>
            <w:left w:val="none" w:sz="0" w:space="0" w:color="auto"/>
            <w:bottom w:val="none" w:sz="0" w:space="0" w:color="auto"/>
            <w:right w:val="none" w:sz="0" w:space="0" w:color="auto"/>
          </w:divBdr>
        </w:div>
        <w:div w:id="1724481101">
          <w:marLeft w:val="0"/>
          <w:marRight w:val="0"/>
          <w:marTop w:val="0"/>
          <w:marBottom w:val="0"/>
          <w:divBdr>
            <w:top w:val="none" w:sz="0" w:space="0" w:color="auto"/>
            <w:left w:val="none" w:sz="0" w:space="0" w:color="auto"/>
            <w:bottom w:val="none" w:sz="0" w:space="0" w:color="auto"/>
            <w:right w:val="none" w:sz="0" w:space="0" w:color="auto"/>
          </w:divBdr>
        </w:div>
        <w:div w:id="1748840613">
          <w:marLeft w:val="0"/>
          <w:marRight w:val="0"/>
          <w:marTop w:val="0"/>
          <w:marBottom w:val="0"/>
          <w:divBdr>
            <w:top w:val="none" w:sz="0" w:space="0" w:color="auto"/>
            <w:left w:val="none" w:sz="0" w:space="0" w:color="auto"/>
            <w:bottom w:val="none" w:sz="0" w:space="0" w:color="auto"/>
            <w:right w:val="none" w:sz="0" w:space="0" w:color="auto"/>
          </w:divBdr>
        </w:div>
        <w:div w:id="2026664018">
          <w:marLeft w:val="0"/>
          <w:marRight w:val="0"/>
          <w:marTop w:val="0"/>
          <w:marBottom w:val="0"/>
          <w:divBdr>
            <w:top w:val="none" w:sz="0" w:space="0" w:color="auto"/>
            <w:left w:val="none" w:sz="0" w:space="0" w:color="auto"/>
            <w:bottom w:val="none" w:sz="0" w:space="0" w:color="auto"/>
            <w:right w:val="none" w:sz="0" w:space="0" w:color="auto"/>
          </w:divBdr>
        </w:div>
      </w:divsChild>
    </w:div>
    <w:div w:id="1058088987">
      <w:bodyDiv w:val="1"/>
      <w:marLeft w:val="0"/>
      <w:marRight w:val="0"/>
      <w:marTop w:val="0"/>
      <w:marBottom w:val="0"/>
      <w:divBdr>
        <w:top w:val="none" w:sz="0" w:space="0" w:color="auto"/>
        <w:left w:val="none" w:sz="0" w:space="0" w:color="auto"/>
        <w:bottom w:val="none" w:sz="0" w:space="0" w:color="auto"/>
        <w:right w:val="none" w:sz="0" w:space="0" w:color="auto"/>
      </w:divBdr>
      <w:divsChild>
        <w:div w:id="41222251">
          <w:marLeft w:val="0"/>
          <w:marRight w:val="0"/>
          <w:marTop w:val="0"/>
          <w:marBottom w:val="0"/>
          <w:divBdr>
            <w:top w:val="none" w:sz="0" w:space="0" w:color="auto"/>
            <w:left w:val="none" w:sz="0" w:space="0" w:color="auto"/>
            <w:bottom w:val="none" w:sz="0" w:space="0" w:color="auto"/>
            <w:right w:val="none" w:sz="0" w:space="0" w:color="auto"/>
          </w:divBdr>
        </w:div>
        <w:div w:id="389690974">
          <w:marLeft w:val="0"/>
          <w:marRight w:val="0"/>
          <w:marTop w:val="0"/>
          <w:marBottom w:val="0"/>
          <w:divBdr>
            <w:top w:val="none" w:sz="0" w:space="0" w:color="auto"/>
            <w:left w:val="none" w:sz="0" w:space="0" w:color="auto"/>
            <w:bottom w:val="none" w:sz="0" w:space="0" w:color="auto"/>
            <w:right w:val="none" w:sz="0" w:space="0" w:color="auto"/>
          </w:divBdr>
        </w:div>
        <w:div w:id="428429545">
          <w:marLeft w:val="0"/>
          <w:marRight w:val="0"/>
          <w:marTop w:val="0"/>
          <w:marBottom w:val="0"/>
          <w:divBdr>
            <w:top w:val="none" w:sz="0" w:space="0" w:color="auto"/>
            <w:left w:val="none" w:sz="0" w:space="0" w:color="auto"/>
            <w:bottom w:val="none" w:sz="0" w:space="0" w:color="auto"/>
            <w:right w:val="none" w:sz="0" w:space="0" w:color="auto"/>
          </w:divBdr>
        </w:div>
        <w:div w:id="492917171">
          <w:marLeft w:val="0"/>
          <w:marRight w:val="0"/>
          <w:marTop w:val="0"/>
          <w:marBottom w:val="0"/>
          <w:divBdr>
            <w:top w:val="none" w:sz="0" w:space="0" w:color="auto"/>
            <w:left w:val="none" w:sz="0" w:space="0" w:color="auto"/>
            <w:bottom w:val="none" w:sz="0" w:space="0" w:color="auto"/>
            <w:right w:val="none" w:sz="0" w:space="0" w:color="auto"/>
          </w:divBdr>
        </w:div>
        <w:div w:id="493448294">
          <w:marLeft w:val="0"/>
          <w:marRight w:val="0"/>
          <w:marTop w:val="0"/>
          <w:marBottom w:val="0"/>
          <w:divBdr>
            <w:top w:val="none" w:sz="0" w:space="0" w:color="auto"/>
            <w:left w:val="none" w:sz="0" w:space="0" w:color="auto"/>
            <w:bottom w:val="none" w:sz="0" w:space="0" w:color="auto"/>
            <w:right w:val="none" w:sz="0" w:space="0" w:color="auto"/>
          </w:divBdr>
        </w:div>
        <w:div w:id="602762582">
          <w:marLeft w:val="0"/>
          <w:marRight w:val="0"/>
          <w:marTop w:val="0"/>
          <w:marBottom w:val="0"/>
          <w:divBdr>
            <w:top w:val="none" w:sz="0" w:space="0" w:color="auto"/>
            <w:left w:val="none" w:sz="0" w:space="0" w:color="auto"/>
            <w:bottom w:val="none" w:sz="0" w:space="0" w:color="auto"/>
            <w:right w:val="none" w:sz="0" w:space="0" w:color="auto"/>
          </w:divBdr>
        </w:div>
        <w:div w:id="777874056">
          <w:marLeft w:val="0"/>
          <w:marRight w:val="0"/>
          <w:marTop w:val="0"/>
          <w:marBottom w:val="0"/>
          <w:divBdr>
            <w:top w:val="none" w:sz="0" w:space="0" w:color="auto"/>
            <w:left w:val="none" w:sz="0" w:space="0" w:color="auto"/>
            <w:bottom w:val="none" w:sz="0" w:space="0" w:color="auto"/>
            <w:right w:val="none" w:sz="0" w:space="0" w:color="auto"/>
          </w:divBdr>
        </w:div>
        <w:div w:id="1731926392">
          <w:marLeft w:val="0"/>
          <w:marRight w:val="0"/>
          <w:marTop w:val="0"/>
          <w:marBottom w:val="0"/>
          <w:divBdr>
            <w:top w:val="none" w:sz="0" w:space="0" w:color="auto"/>
            <w:left w:val="none" w:sz="0" w:space="0" w:color="auto"/>
            <w:bottom w:val="none" w:sz="0" w:space="0" w:color="auto"/>
            <w:right w:val="none" w:sz="0" w:space="0" w:color="auto"/>
          </w:divBdr>
        </w:div>
      </w:divsChild>
    </w:div>
    <w:div w:id="1115053309">
      <w:bodyDiv w:val="1"/>
      <w:marLeft w:val="0"/>
      <w:marRight w:val="0"/>
      <w:marTop w:val="0"/>
      <w:marBottom w:val="0"/>
      <w:divBdr>
        <w:top w:val="none" w:sz="0" w:space="0" w:color="auto"/>
        <w:left w:val="none" w:sz="0" w:space="0" w:color="auto"/>
        <w:bottom w:val="none" w:sz="0" w:space="0" w:color="auto"/>
        <w:right w:val="none" w:sz="0" w:space="0" w:color="auto"/>
      </w:divBdr>
      <w:divsChild>
        <w:div w:id="931595256">
          <w:marLeft w:val="0"/>
          <w:marRight w:val="0"/>
          <w:marTop w:val="15"/>
          <w:marBottom w:val="0"/>
          <w:divBdr>
            <w:top w:val="none" w:sz="0" w:space="0" w:color="auto"/>
            <w:left w:val="none" w:sz="0" w:space="0" w:color="auto"/>
            <w:bottom w:val="none" w:sz="0" w:space="0" w:color="auto"/>
            <w:right w:val="none" w:sz="0" w:space="0" w:color="auto"/>
          </w:divBdr>
          <w:divsChild>
            <w:div w:id="331104959">
              <w:marLeft w:val="0"/>
              <w:marRight w:val="0"/>
              <w:marTop w:val="0"/>
              <w:marBottom w:val="0"/>
              <w:divBdr>
                <w:top w:val="single" w:sz="6" w:space="0" w:color="808080"/>
                <w:left w:val="single" w:sz="6" w:space="0" w:color="808080"/>
                <w:bottom w:val="single" w:sz="6" w:space="0" w:color="808080"/>
                <w:right w:val="single" w:sz="6" w:space="0" w:color="808080"/>
              </w:divBdr>
              <w:divsChild>
                <w:div w:id="454522903">
                  <w:marLeft w:val="0"/>
                  <w:marRight w:val="0"/>
                  <w:marTop w:val="0"/>
                  <w:marBottom w:val="0"/>
                  <w:divBdr>
                    <w:top w:val="none" w:sz="0" w:space="0" w:color="auto"/>
                    <w:left w:val="none" w:sz="0" w:space="0" w:color="auto"/>
                    <w:bottom w:val="none" w:sz="0" w:space="0" w:color="auto"/>
                    <w:right w:val="none" w:sz="0" w:space="0" w:color="auto"/>
                  </w:divBdr>
                </w:div>
                <w:div w:id="528110980">
                  <w:marLeft w:val="0"/>
                  <w:marRight w:val="0"/>
                  <w:marTop w:val="0"/>
                  <w:marBottom w:val="0"/>
                  <w:divBdr>
                    <w:top w:val="none" w:sz="0" w:space="0" w:color="auto"/>
                    <w:left w:val="none" w:sz="0" w:space="0" w:color="auto"/>
                    <w:bottom w:val="none" w:sz="0" w:space="0" w:color="auto"/>
                    <w:right w:val="none" w:sz="0" w:space="0" w:color="auto"/>
                  </w:divBdr>
                </w:div>
                <w:div w:id="872231044">
                  <w:marLeft w:val="0"/>
                  <w:marRight w:val="0"/>
                  <w:marTop w:val="0"/>
                  <w:marBottom w:val="0"/>
                  <w:divBdr>
                    <w:top w:val="none" w:sz="0" w:space="0" w:color="auto"/>
                    <w:left w:val="none" w:sz="0" w:space="0" w:color="auto"/>
                    <w:bottom w:val="none" w:sz="0" w:space="0" w:color="auto"/>
                    <w:right w:val="none" w:sz="0" w:space="0" w:color="auto"/>
                  </w:divBdr>
                </w:div>
                <w:div w:id="1131629705">
                  <w:marLeft w:val="0"/>
                  <w:marRight w:val="0"/>
                  <w:marTop w:val="0"/>
                  <w:marBottom w:val="0"/>
                  <w:divBdr>
                    <w:top w:val="none" w:sz="0" w:space="0" w:color="auto"/>
                    <w:left w:val="none" w:sz="0" w:space="0" w:color="auto"/>
                    <w:bottom w:val="none" w:sz="0" w:space="0" w:color="auto"/>
                    <w:right w:val="none" w:sz="0" w:space="0" w:color="auto"/>
                  </w:divBdr>
                </w:div>
                <w:div w:id="1240867271">
                  <w:marLeft w:val="0"/>
                  <w:marRight w:val="0"/>
                  <w:marTop w:val="0"/>
                  <w:marBottom w:val="0"/>
                  <w:divBdr>
                    <w:top w:val="none" w:sz="0" w:space="0" w:color="auto"/>
                    <w:left w:val="none" w:sz="0" w:space="0" w:color="auto"/>
                    <w:bottom w:val="none" w:sz="0" w:space="0" w:color="auto"/>
                    <w:right w:val="none" w:sz="0" w:space="0" w:color="auto"/>
                  </w:divBdr>
                </w:div>
                <w:div w:id="1281305430">
                  <w:marLeft w:val="0"/>
                  <w:marRight w:val="0"/>
                  <w:marTop w:val="0"/>
                  <w:marBottom w:val="0"/>
                  <w:divBdr>
                    <w:top w:val="none" w:sz="0" w:space="0" w:color="auto"/>
                    <w:left w:val="none" w:sz="0" w:space="0" w:color="auto"/>
                    <w:bottom w:val="none" w:sz="0" w:space="0" w:color="auto"/>
                    <w:right w:val="none" w:sz="0" w:space="0" w:color="auto"/>
                  </w:divBdr>
                </w:div>
                <w:div w:id="1326011223">
                  <w:marLeft w:val="0"/>
                  <w:marRight w:val="0"/>
                  <w:marTop w:val="0"/>
                  <w:marBottom w:val="0"/>
                  <w:divBdr>
                    <w:top w:val="none" w:sz="0" w:space="0" w:color="auto"/>
                    <w:left w:val="none" w:sz="0" w:space="0" w:color="auto"/>
                    <w:bottom w:val="none" w:sz="0" w:space="0" w:color="auto"/>
                    <w:right w:val="none" w:sz="0" w:space="0" w:color="auto"/>
                  </w:divBdr>
                </w:div>
                <w:div w:id="1403484294">
                  <w:marLeft w:val="0"/>
                  <w:marRight w:val="0"/>
                  <w:marTop w:val="0"/>
                  <w:marBottom w:val="0"/>
                  <w:divBdr>
                    <w:top w:val="none" w:sz="0" w:space="0" w:color="auto"/>
                    <w:left w:val="none" w:sz="0" w:space="0" w:color="auto"/>
                    <w:bottom w:val="none" w:sz="0" w:space="0" w:color="auto"/>
                    <w:right w:val="none" w:sz="0" w:space="0" w:color="auto"/>
                  </w:divBdr>
                </w:div>
                <w:div w:id="1442726055">
                  <w:marLeft w:val="0"/>
                  <w:marRight w:val="0"/>
                  <w:marTop w:val="0"/>
                  <w:marBottom w:val="0"/>
                  <w:divBdr>
                    <w:top w:val="none" w:sz="0" w:space="0" w:color="auto"/>
                    <w:left w:val="none" w:sz="0" w:space="0" w:color="auto"/>
                    <w:bottom w:val="none" w:sz="0" w:space="0" w:color="auto"/>
                    <w:right w:val="none" w:sz="0" w:space="0" w:color="auto"/>
                  </w:divBdr>
                </w:div>
                <w:div w:id="1580016925">
                  <w:marLeft w:val="0"/>
                  <w:marRight w:val="0"/>
                  <w:marTop w:val="0"/>
                  <w:marBottom w:val="0"/>
                  <w:divBdr>
                    <w:top w:val="none" w:sz="0" w:space="0" w:color="auto"/>
                    <w:left w:val="none" w:sz="0" w:space="0" w:color="auto"/>
                    <w:bottom w:val="none" w:sz="0" w:space="0" w:color="auto"/>
                    <w:right w:val="none" w:sz="0" w:space="0" w:color="auto"/>
                  </w:divBdr>
                </w:div>
                <w:div w:id="1605529177">
                  <w:marLeft w:val="0"/>
                  <w:marRight w:val="0"/>
                  <w:marTop w:val="0"/>
                  <w:marBottom w:val="0"/>
                  <w:divBdr>
                    <w:top w:val="none" w:sz="0" w:space="0" w:color="auto"/>
                    <w:left w:val="none" w:sz="0" w:space="0" w:color="auto"/>
                    <w:bottom w:val="none" w:sz="0" w:space="0" w:color="auto"/>
                    <w:right w:val="none" w:sz="0" w:space="0" w:color="auto"/>
                  </w:divBdr>
                </w:div>
                <w:div w:id="1680963481">
                  <w:marLeft w:val="0"/>
                  <w:marRight w:val="0"/>
                  <w:marTop w:val="0"/>
                  <w:marBottom w:val="0"/>
                  <w:divBdr>
                    <w:top w:val="none" w:sz="0" w:space="0" w:color="auto"/>
                    <w:left w:val="none" w:sz="0" w:space="0" w:color="auto"/>
                    <w:bottom w:val="none" w:sz="0" w:space="0" w:color="auto"/>
                    <w:right w:val="none" w:sz="0" w:space="0" w:color="auto"/>
                  </w:divBdr>
                </w:div>
                <w:div w:id="1798449225">
                  <w:marLeft w:val="0"/>
                  <w:marRight w:val="0"/>
                  <w:marTop w:val="0"/>
                  <w:marBottom w:val="0"/>
                  <w:divBdr>
                    <w:top w:val="none" w:sz="0" w:space="0" w:color="auto"/>
                    <w:left w:val="none" w:sz="0" w:space="0" w:color="auto"/>
                    <w:bottom w:val="none" w:sz="0" w:space="0" w:color="auto"/>
                    <w:right w:val="none" w:sz="0" w:space="0" w:color="auto"/>
                  </w:divBdr>
                </w:div>
                <w:div w:id="1885671379">
                  <w:marLeft w:val="0"/>
                  <w:marRight w:val="0"/>
                  <w:marTop w:val="0"/>
                  <w:marBottom w:val="0"/>
                  <w:divBdr>
                    <w:top w:val="none" w:sz="0" w:space="0" w:color="auto"/>
                    <w:left w:val="none" w:sz="0" w:space="0" w:color="auto"/>
                    <w:bottom w:val="none" w:sz="0" w:space="0" w:color="auto"/>
                    <w:right w:val="none" w:sz="0" w:space="0" w:color="auto"/>
                  </w:divBdr>
                </w:div>
                <w:div w:id="1902515901">
                  <w:marLeft w:val="0"/>
                  <w:marRight w:val="0"/>
                  <w:marTop w:val="0"/>
                  <w:marBottom w:val="0"/>
                  <w:divBdr>
                    <w:top w:val="none" w:sz="0" w:space="0" w:color="auto"/>
                    <w:left w:val="none" w:sz="0" w:space="0" w:color="auto"/>
                    <w:bottom w:val="none" w:sz="0" w:space="0" w:color="auto"/>
                    <w:right w:val="none" w:sz="0" w:space="0" w:color="auto"/>
                  </w:divBdr>
                </w:div>
                <w:div w:id="191380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682567">
          <w:marLeft w:val="0"/>
          <w:marRight w:val="0"/>
          <w:marTop w:val="15"/>
          <w:marBottom w:val="0"/>
          <w:divBdr>
            <w:top w:val="none" w:sz="0" w:space="0" w:color="auto"/>
            <w:left w:val="none" w:sz="0" w:space="0" w:color="auto"/>
            <w:bottom w:val="none" w:sz="0" w:space="0" w:color="auto"/>
            <w:right w:val="none" w:sz="0" w:space="0" w:color="auto"/>
          </w:divBdr>
          <w:divsChild>
            <w:div w:id="2052613639">
              <w:marLeft w:val="0"/>
              <w:marRight w:val="0"/>
              <w:marTop w:val="0"/>
              <w:marBottom w:val="0"/>
              <w:divBdr>
                <w:top w:val="single" w:sz="6" w:space="0" w:color="808080"/>
                <w:left w:val="single" w:sz="6" w:space="0" w:color="808080"/>
                <w:bottom w:val="single" w:sz="6" w:space="0" w:color="808080"/>
                <w:right w:val="single" w:sz="6" w:space="0" w:color="808080"/>
              </w:divBdr>
              <w:divsChild>
                <w:div w:id="134421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538098">
      <w:bodyDiv w:val="1"/>
      <w:marLeft w:val="0"/>
      <w:marRight w:val="0"/>
      <w:marTop w:val="0"/>
      <w:marBottom w:val="0"/>
      <w:divBdr>
        <w:top w:val="none" w:sz="0" w:space="0" w:color="auto"/>
        <w:left w:val="none" w:sz="0" w:space="0" w:color="auto"/>
        <w:bottom w:val="none" w:sz="0" w:space="0" w:color="auto"/>
        <w:right w:val="none" w:sz="0" w:space="0" w:color="auto"/>
      </w:divBdr>
      <w:divsChild>
        <w:div w:id="234825413">
          <w:marLeft w:val="0"/>
          <w:marRight w:val="0"/>
          <w:marTop w:val="0"/>
          <w:marBottom w:val="0"/>
          <w:divBdr>
            <w:top w:val="none" w:sz="0" w:space="0" w:color="auto"/>
            <w:left w:val="none" w:sz="0" w:space="0" w:color="auto"/>
            <w:bottom w:val="none" w:sz="0" w:space="0" w:color="auto"/>
            <w:right w:val="none" w:sz="0" w:space="0" w:color="auto"/>
          </w:divBdr>
        </w:div>
        <w:div w:id="372272639">
          <w:marLeft w:val="0"/>
          <w:marRight w:val="0"/>
          <w:marTop w:val="0"/>
          <w:marBottom w:val="0"/>
          <w:divBdr>
            <w:top w:val="none" w:sz="0" w:space="0" w:color="auto"/>
            <w:left w:val="none" w:sz="0" w:space="0" w:color="auto"/>
            <w:bottom w:val="none" w:sz="0" w:space="0" w:color="auto"/>
            <w:right w:val="none" w:sz="0" w:space="0" w:color="auto"/>
          </w:divBdr>
        </w:div>
        <w:div w:id="428352892">
          <w:marLeft w:val="0"/>
          <w:marRight w:val="0"/>
          <w:marTop w:val="0"/>
          <w:marBottom w:val="0"/>
          <w:divBdr>
            <w:top w:val="none" w:sz="0" w:space="0" w:color="auto"/>
            <w:left w:val="none" w:sz="0" w:space="0" w:color="auto"/>
            <w:bottom w:val="none" w:sz="0" w:space="0" w:color="auto"/>
            <w:right w:val="none" w:sz="0" w:space="0" w:color="auto"/>
          </w:divBdr>
        </w:div>
        <w:div w:id="1035891249">
          <w:marLeft w:val="0"/>
          <w:marRight w:val="0"/>
          <w:marTop w:val="0"/>
          <w:marBottom w:val="0"/>
          <w:divBdr>
            <w:top w:val="none" w:sz="0" w:space="0" w:color="auto"/>
            <w:left w:val="none" w:sz="0" w:space="0" w:color="auto"/>
            <w:bottom w:val="none" w:sz="0" w:space="0" w:color="auto"/>
            <w:right w:val="none" w:sz="0" w:space="0" w:color="auto"/>
          </w:divBdr>
        </w:div>
        <w:div w:id="1211724824">
          <w:marLeft w:val="0"/>
          <w:marRight w:val="0"/>
          <w:marTop w:val="0"/>
          <w:marBottom w:val="0"/>
          <w:divBdr>
            <w:top w:val="none" w:sz="0" w:space="0" w:color="auto"/>
            <w:left w:val="none" w:sz="0" w:space="0" w:color="auto"/>
            <w:bottom w:val="none" w:sz="0" w:space="0" w:color="auto"/>
            <w:right w:val="none" w:sz="0" w:space="0" w:color="auto"/>
          </w:divBdr>
        </w:div>
        <w:div w:id="1516843794">
          <w:marLeft w:val="0"/>
          <w:marRight w:val="0"/>
          <w:marTop w:val="0"/>
          <w:marBottom w:val="0"/>
          <w:divBdr>
            <w:top w:val="none" w:sz="0" w:space="0" w:color="auto"/>
            <w:left w:val="none" w:sz="0" w:space="0" w:color="auto"/>
            <w:bottom w:val="none" w:sz="0" w:space="0" w:color="auto"/>
            <w:right w:val="none" w:sz="0" w:space="0" w:color="auto"/>
          </w:divBdr>
        </w:div>
        <w:div w:id="1520849873">
          <w:marLeft w:val="0"/>
          <w:marRight w:val="0"/>
          <w:marTop w:val="0"/>
          <w:marBottom w:val="0"/>
          <w:divBdr>
            <w:top w:val="none" w:sz="0" w:space="0" w:color="auto"/>
            <w:left w:val="none" w:sz="0" w:space="0" w:color="auto"/>
            <w:bottom w:val="none" w:sz="0" w:space="0" w:color="auto"/>
            <w:right w:val="none" w:sz="0" w:space="0" w:color="auto"/>
          </w:divBdr>
        </w:div>
        <w:div w:id="1646356849">
          <w:marLeft w:val="0"/>
          <w:marRight w:val="0"/>
          <w:marTop w:val="0"/>
          <w:marBottom w:val="0"/>
          <w:divBdr>
            <w:top w:val="none" w:sz="0" w:space="0" w:color="auto"/>
            <w:left w:val="none" w:sz="0" w:space="0" w:color="auto"/>
            <w:bottom w:val="none" w:sz="0" w:space="0" w:color="auto"/>
            <w:right w:val="none" w:sz="0" w:space="0" w:color="auto"/>
          </w:divBdr>
        </w:div>
        <w:div w:id="1767118631">
          <w:marLeft w:val="0"/>
          <w:marRight w:val="0"/>
          <w:marTop w:val="0"/>
          <w:marBottom w:val="0"/>
          <w:divBdr>
            <w:top w:val="none" w:sz="0" w:space="0" w:color="auto"/>
            <w:left w:val="none" w:sz="0" w:space="0" w:color="auto"/>
            <w:bottom w:val="none" w:sz="0" w:space="0" w:color="auto"/>
            <w:right w:val="none" w:sz="0" w:space="0" w:color="auto"/>
          </w:divBdr>
        </w:div>
        <w:div w:id="1803420772">
          <w:marLeft w:val="0"/>
          <w:marRight w:val="0"/>
          <w:marTop w:val="0"/>
          <w:marBottom w:val="0"/>
          <w:divBdr>
            <w:top w:val="none" w:sz="0" w:space="0" w:color="auto"/>
            <w:left w:val="none" w:sz="0" w:space="0" w:color="auto"/>
            <w:bottom w:val="none" w:sz="0" w:space="0" w:color="auto"/>
            <w:right w:val="none" w:sz="0" w:space="0" w:color="auto"/>
          </w:divBdr>
        </w:div>
        <w:div w:id="2012025479">
          <w:marLeft w:val="0"/>
          <w:marRight w:val="0"/>
          <w:marTop w:val="0"/>
          <w:marBottom w:val="0"/>
          <w:divBdr>
            <w:top w:val="none" w:sz="0" w:space="0" w:color="auto"/>
            <w:left w:val="none" w:sz="0" w:space="0" w:color="auto"/>
            <w:bottom w:val="none" w:sz="0" w:space="0" w:color="auto"/>
            <w:right w:val="none" w:sz="0" w:space="0" w:color="auto"/>
          </w:divBdr>
        </w:div>
      </w:divsChild>
    </w:div>
    <w:div w:id="1675301142">
      <w:bodyDiv w:val="1"/>
      <w:marLeft w:val="0"/>
      <w:marRight w:val="0"/>
      <w:marTop w:val="0"/>
      <w:marBottom w:val="0"/>
      <w:divBdr>
        <w:top w:val="none" w:sz="0" w:space="0" w:color="auto"/>
        <w:left w:val="none" w:sz="0" w:space="0" w:color="auto"/>
        <w:bottom w:val="none" w:sz="0" w:space="0" w:color="auto"/>
        <w:right w:val="none" w:sz="0" w:space="0" w:color="auto"/>
      </w:divBdr>
      <w:divsChild>
        <w:div w:id="656955297">
          <w:marLeft w:val="0"/>
          <w:marRight w:val="0"/>
          <w:marTop w:val="0"/>
          <w:marBottom w:val="0"/>
          <w:divBdr>
            <w:top w:val="none" w:sz="0" w:space="0" w:color="auto"/>
            <w:left w:val="none" w:sz="0" w:space="0" w:color="auto"/>
            <w:bottom w:val="none" w:sz="0" w:space="0" w:color="auto"/>
            <w:right w:val="none" w:sz="0" w:space="0" w:color="auto"/>
          </w:divBdr>
        </w:div>
        <w:div w:id="1135833693">
          <w:marLeft w:val="0"/>
          <w:marRight w:val="0"/>
          <w:marTop w:val="0"/>
          <w:marBottom w:val="0"/>
          <w:divBdr>
            <w:top w:val="none" w:sz="0" w:space="0" w:color="auto"/>
            <w:left w:val="none" w:sz="0" w:space="0" w:color="auto"/>
            <w:bottom w:val="none" w:sz="0" w:space="0" w:color="auto"/>
            <w:right w:val="none" w:sz="0" w:space="0" w:color="auto"/>
          </w:divBdr>
        </w:div>
        <w:div w:id="1955747383">
          <w:marLeft w:val="0"/>
          <w:marRight w:val="0"/>
          <w:marTop w:val="0"/>
          <w:marBottom w:val="0"/>
          <w:divBdr>
            <w:top w:val="none" w:sz="0" w:space="0" w:color="auto"/>
            <w:left w:val="none" w:sz="0" w:space="0" w:color="auto"/>
            <w:bottom w:val="none" w:sz="0" w:space="0" w:color="auto"/>
            <w:right w:val="none" w:sz="0" w:space="0" w:color="auto"/>
          </w:divBdr>
        </w:div>
      </w:divsChild>
    </w:div>
    <w:div w:id="1749618868">
      <w:bodyDiv w:val="1"/>
      <w:marLeft w:val="0"/>
      <w:marRight w:val="0"/>
      <w:marTop w:val="0"/>
      <w:marBottom w:val="0"/>
      <w:divBdr>
        <w:top w:val="none" w:sz="0" w:space="0" w:color="auto"/>
        <w:left w:val="none" w:sz="0" w:space="0" w:color="auto"/>
        <w:bottom w:val="none" w:sz="0" w:space="0" w:color="auto"/>
        <w:right w:val="none" w:sz="0" w:space="0" w:color="auto"/>
      </w:divBdr>
    </w:div>
    <w:div w:id="1760562489">
      <w:bodyDiv w:val="1"/>
      <w:marLeft w:val="0"/>
      <w:marRight w:val="0"/>
      <w:marTop w:val="0"/>
      <w:marBottom w:val="0"/>
      <w:divBdr>
        <w:top w:val="none" w:sz="0" w:space="0" w:color="auto"/>
        <w:left w:val="none" w:sz="0" w:space="0" w:color="auto"/>
        <w:bottom w:val="none" w:sz="0" w:space="0" w:color="auto"/>
        <w:right w:val="none" w:sz="0" w:space="0" w:color="auto"/>
      </w:divBdr>
    </w:div>
    <w:div w:id="1762292522">
      <w:bodyDiv w:val="1"/>
      <w:marLeft w:val="0"/>
      <w:marRight w:val="0"/>
      <w:marTop w:val="0"/>
      <w:marBottom w:val="0"/>
      <w:divBdr>
        <w:top w:val="none" w:sz="0" w:space="0" w:color="auto"/>
        <w:left w:val="none" w:sz="0" w:space="0" w:color="auto"/>
        <w:bottom w:val="none" w:sz="0" w:space="0" w:color="auto"/>
        <w:right w:val="none" w:sz="0" w:space="0" w:color="auto"/>
      </w:divBdr>
      <w:divsChild>
        <w:div w:id="411585596">
          <w:marLeft w:val="0"/>
          <w:marRight w:val="0"/>
          <w:marTop w:val="0"/>
          <w:marBottom w:val="0"/>
          <w:divBdr>
            <w:top w:val="none" w:sz="0" w:space="0" w:color="auto"/>
            <w:left w:val="none" w:sz="0" w:space="0" w:color="auto"/>
            <w:bottom w:val="none" w:sz="0" w:space="0" w:color="auto"/>
            <w:right w:val="none" w:sz="0" w:space="0" w:color="auto"/>
          </w:divBdr>
        </w:div>
        <w:div w:id="444933261">
          <w:marLeft w:val="0"/>
          <w:marRight w:val="0"/>
          <w:marTop w:val="0"/>
          <w:marBottom w:val="0"/>
          <w:divBdr>
            <w:top w:val="none" w:sz="0" w:space="0" w:color="auto"/>
            <w:left w:val="none" w:sz="0" w:space="0" w:color="auto"/>
            <w:bottom w:val="none" w:sz="0" w:space="0" w:color="auto"/>
            <w:right w:val="none" w:sz="0" w:space="0" w:color="auto"/>
          </w:divBdr>
        </w:div>
        <w:div w:id="558634293">
          <w:marLeft w:val="0"/>
          <w:marRight w:val="0"/>
          <w:marTop w:val="0"/>
          <w:marBottom w:val="0"/>
          <w:divBdr>
            <w:top w:val="none" w:sz="0" w:space="0" w:color="auto"/>
            <w:left w:val="none" w:sz="0" w:space="0" w:color="auto"/>
            <w:bottom w:val="none" w:sz="0" w:space="0" w:color="auto"/>
            <w:right w:val="none" w:sz="0" w:space="0" w:color="auto"/>
          </w:divBdr>
        </w:div>
        <w:div w:id="1160927725">
          <w:marLeft w:val="0"/>
          <w:marRight w:val="0"/>
          <w:marTop w:val="0"/>
          <w:marBottom w:val="0"/>
          <w:divBdr>
            <w:top w:val="none" w:sz="0" w:space="0" w:color="auto"/>
            <w:left w:val="none" w:sz="0" w:space="0" w:color="auto"/>
            <w:bottom w:val="none" w:sz="0" w:space="0" w:color="auto"/>
            <w:right w:val="none" w:sz="0" w:space="0" w:color="auto"/>
          </w:divBdr>
        </w:div>
        <w:div w:id="1231846024">
          <w:marLeft w:val="0"/>
          <w:marRight w:val="0"/>
          <w:marTop w:val="0"/>
          <w:marBottom w:val="0"/>
          <w:divBdr>
            <w:top w:val="none" w:sz="0" w:space="0" w:color="auto"/>
            <w:left w:val="none" w:sz="0" w:space="0" w:color="auto"/>
            <w:bottom w:val="none" w:sz="0" w:space="0" w:color="auto"/>
            <w:right w:val="none" w:sz="0" w:space="0" w:color="auto"/>
          </w:divBdr>
        </w:div>
        <w:div w:id="1335298735">
          <w:marLeft w:val="0"/>
          <w:marRight w:val="0"/>
          <w:marTop w:val="0"/>
          <w:marBottom w:val="0"/>
          <w:divBdr>
            <w:top w:val="none" w:sz="0" w:space="0" w:color="auto"/>
            <w:left w:val="none" w:sz="0" w:space="0" w:color="auto"/>
            <w:bottom w:val="none" w:sz="0" w:space="0" w:color="auto"/>
            <w:right w:val="none" w:sz="0" w:space="0" w:color="auto"/>
          </w:divBdr>
        </w:div>
        <w:div w:id="1678535735">
          <w:marLeft w:val="0"/>
          <w:marRight w:val="0"/>
          <w:marTop w:val="0"/>
          <w:marBottom w:val="0"/>
          <w:divBdr>
            <w:top w:val="none" w:sz="0" w:space="0" w:color="auto"/>
            <w:left w:val="none" w:sz="0" w:space="0" w:color="auto"/>
            <w:bottom w:val="none" w:sz="0" w:space="0" w:color="auto"/>
            <w:right w:val="none" w:sz="0" w:space="0" w:color="auto"/>
          </w:divBdr>
        </w:div>
        <w:div w:id="1728185144">
          <w:marLeft w:val="0"/>
          <w:marRight w:val="0"/>
          <w:marTop w:val="0"/>
          <w:marBottom w:val="0"/>
          <w:divBdr>
            <w:top w:val="none" w:sz="0" w:space="0" w:color="auto"/>
            <w:left w:val="none" w:sz="0" w:space="0" w:color="auto"/>
            <w:bottom w:val="none" w:sz="0" w:space="0" w:color="auto"/>
            <w:right w:val="none" w:sz="0" w:space="0" w:color="auto"/>
          </w:divBdr>
        </w:div>
        <w:div w:id="1896550185">
          <w:marLeft w:val="0"/>
          <w:marRight w:val="0"/>
          <w:marTop w:val="0"/>
          <w:marBottom w:val="0"/>
          <w:divBdr>
            <w:top w:val="none" w:sz="0" w:space="0" w:color="auto"/>
            <w:left w:val="none" w:sz="0" w:space="0" w:color="auto"/>
            <w:bottom w:val="none" w:sz="0" w:space="0" w:color="auto"/>
            <w:right w:val="none" w:sz="0" w:space="0" w:color="auto"/>
          </w:divBdr>
        </w:div>
        <w:div w:id="1936088994">
          <w:marLeft w:val="0"/>
          <w:marRight w:val="0"/>
          <w:marTop w:val="0"/>
          <w:marBottom w:val="0"/>
          <w:divBdr>
            <w:top w:val="none" w:sz="0" w:space="0" w:color="auto"/>
            <w:left w:val="none" w:sz="0" w:space="0" w:color="auto"/>
            <w:bottom w:val="none" w:sz="0" w:space="0" w:color="auto"/>
            <w:right w:val="none" w:sz="0" w:space="0" w:color="auto"/>
          </w:divBdr>
        </w:div>
        <w:div w:id="2142258627">
          <w:marLeft w:val="0"/>
          <w:marRight w:val="0"/>
          <w:marTop w:val="0"/>
          <w:marBottom w:val="0"/>
          <w:divBdr>
            <w:top w:val="none" w:sz="0" w:space="0" w:color="auto"/>
            <w:left w:val="none" w:sz="0" w:space="0" w:color="auto"/>
            <w:bottom w:val="none" w:sz="0" w:space="0" w:color="auto"/>
            <w:right w:val="none" w:sz="0" w:space="0" w:color="auto"/>
          </w:divBdr>
        </w:div>
      </w:divsChild>
    </w:div>
    <w:div w:id="1845823918">
      <w:bodyDiv w:val="1"/>
      <w:marLeft w:val="0"/>
      <w:marRight w:val="0"/>
      <w:marTop w:val="0"/>
      <w:marBottom w:val="0"/>
      <w:divBdr>
        <w:top w:val="none" w:sz="0" w:space="0" w:color="auto"/>
        <w:left w:val="none" w:sz="0" w:space="0" w:color="auto"/>
        <w:bottom w:val="none" w:sz="0" w:space="0" w:color="auto"/>
        <w:right w:val="none" w:sz="0" w:space="0" w:color="auto"/>
      </w:divBdr>
      <w:divsChild>
        <w:div w:id="1162432480">
          <w:marLeft w:val="0"/>
          <w:marRight w:val="0"/>
          <w:marTop w:val="0"/>
          <w:marBottom w:val="0"/>
          <w:divBdr>
            <w:top w:val="none" w:sz="0" w:space="0" w:color="auto"/>
            <w:left w:val="none" w:sz="0" w:space="0" w:color="auto"/>
            <w:bottom w:val="none" w:sz="0" w:space="0" w:color="auto"/>
            <w:right w:val="none" w:sz="0" w:space="0" w:color="auto"/>
          </w:divBdr>
        </w:div>
        <w:div w:id="1251156787">
          <w:marLeft w:val="0"/>
          <w:marRight w:val="0"/>
          <w:marTop w:val="0"/>
          <w:marBottom w:val="0"/>
          <w:divBdr>
            <w:top w:val="none" w:sz="0" w:space="0" w:color="auto"/>
            <w:left w:val="none" w:sz="0" w:space="0" w:color="auto"/>
            <w:bottom w:val="none" w:sz="0" w:space="0" w:color="auto"/>
            <w:right w:val="none" w:sz="0" w:space="0" w:color="auto"/>
          </w:divBdr>
        </w:div>
        <w:div w:id="1580599700">
          <w:marLeft w:val="0"/>
          <w:marRight w:val="0"/>
          <w:marTop w:val="0"/>
          <w:marBottom w:val="0"/>
          <w:divBdr>
            <w:top w:val="none" w:sz="0" w:space="0" w:color="auto"/>
            <w:left w:val="none" w:sz="0" w:space="0" w:color="auto"/>
            <w:bottom w:val="none" w:sz="0" w:space="0" w:color="auto"/>
            <w:right w:val="none" w:sz="0" w:space="0" w:color="auto"/>
          </w:divBdr>
        </w:div>
        <w:div w:id="1957638049">
          <w:marLeft w:val="0"/>
          <w:marRight w:val="0"/>
          <w:marTop w:val="0"/>
          <w:marBottom w:val="0"/>
          <w:divBdr>
            <w:top w:val="none" w:sz="0" w:space="0" w:color="auto"/>
            <w:left w:val="none" w:sz="0" w:space="0" w:color="auto"/>
            <w:bottom w:val="none" w:sz="0" w:space="0" w:color="auto"/>
            <w:right w:val="none" w:sz="0" w:space="0" w:color="auto"/>
          </w:divBdr>
        </w:div>
      </w:divsChild>
    </w:div>
    <w:div w:id="1900094079">
      <w:bodyDiv w:val="1"/>
      <w:marLeft w:val="0"/>
      <w:marRight w:val="0"/>
      <w:marTop w:val="0"/>
      <w:marBottom w:val="0"/>
      <w:divBdr>
        <w:top w:val="none" w:sz="0" w:space="0" w:color="auto"/>
        <w:left w:val="none" w:sz="0" w:space="0" w:color="auto"/>
        <w:bottom w:val="none" w:sz="0" w:space="0" w:color="auto"/>
        <w:right w:val="none" w:sz="0" w:space="0" w:color="auto"/>
      </w:divBdr>
      <w:divsChild>
        <w:div w:id="29382371">
          <w:marLeft w:val="0"/>
          <w:marRight w:val="0"/>
          <w:marTop w:val="0"/>
          <w:marBottom w:val="0"/>
          <w:divBdr>
            <w:top w:val="none" w:sz="0" w:space="0" w:color="auto"/>
            <w:left w:val="none" w:sz="0" w:space="0" w:color="auto"/>
            <w:bottom w:val="none" w:sz="0" w:space="0" w:color="auto"/>
            <w:right w:val="none" w:sz="0" w:space="0" w:color="auto"/>
          </w:divBdr>
        </w:div>
        <w:div w:id="79252812">
          <w:marLeft w:val="0"/>
          <w:marRight w:val="0"/>
          <w:marTop w:val="0"/>
          <w:marBottom w:val="0"/>
          <w:divBdr>
            <w:top w:val="none" w:sz="0" w:space="0" w:color="auto"/>
            <w:left w:val="none" w:sz="0" w:space="0" w:color="auto"/>
            <w:bottom w:val="none" w:sz="0" w:space="0" w:color="auto"/>
            <w:right w:val="none" w:sz="0" w:space="0" w:color="auto"/>
          </w:divBdr>
        </w:div>
        <w:div w:id="497769858">
          <w:marLeft w:val="0"/>
          <w:marRight w:val="0"/>
          <w:marTop w:val="0"/>
          <w:marBottom w:val="0"/>
          <w:divBdr>
            <w:top w:val="none" w:sz="0" w:space="0" w:color="auto"/>
            <w:left w:val="none" w:sz="0" w:space="0" w:color="auto"/>
            <w:bottom w:val="none" w:sz="0" w:space="0" w:color="auto"/>
            <w:right w:val="none" w:sz="0" w:space="0" w:color="auto"/>
          </w:divBdr>
        </w:div>
        <w:div w:id="834304037">
          <w:marLeft w:val="0"/>
          <w:marRight w:val="0"/>
          <w:marTop w:val="0"/>
          <w:marBottom w:val="0"/>
          <w:divBdr>
            <w:top w:val="none" w:sz="0" w:space="0" w:color="auto"/>
            <w:left w:val="none" w:sz="0" w:space="0" w:color="auto"/>
            <w:bottom w:val="none" w:sz="0" w:space="0" w:color="auto"/>
            <w:right w:val="none" w:sz="0" w:space="0" w:color="auto"/>
          </w:divBdr>
        </w:div>
        <w:div w:id="836770150">
          <w:marLeft w:val="0"/>
          <w:marRight w:val="0"/>
          <w:marTop w:val="0"/>
          <w:marBottom w:val="0"/>
          <w:divBdr>
            <w:top w:val="none" w:sz="0" w:space="0" w:color="auto"/>
            <w:left w:val="none" w:sz="0" w:space="0" w:color="auto"/>
            <w:bottom w:val="none" w:sz="0" w:space="0" w:color="auto"/>
            <w:right w:val="none" w:sz="0" w:space="0" w:color="auto"/>
          </w:divBdr>
        </w:div>
        <w:div w:id="906379652">
          <w:marLeft w:val="0"/>
          <w:marRight w:val="0"/>
          <w:marTop w:val="0"/>
          <w:marBottom w:val="0"/>
          <w:divBdr>
            <w:top w:val="none" w:sz="0" w:space="0" w:color="auto"/>
            <w:left w:val="none" w:sz="0" w:space="0" w:color="auto"/>
            <w:bottom w:val="none" w:sz="0" w:space="0" w:color="auto"/>
            <w:right w:val="none" w:sz="0" w:space="0" w:color="auto"/>
          </w:divBdr>
        </w:div>
        <w:div w:id="990794028">
          <w:marLeft w:val="0"/>
          <w:marRight w:val="0"/>
          <w:marTop w:val="0"/>
          <w:marBottom w:val="0"/>
          <w:divBdr>
            <w:top w:val="none" w:sz="0" w:space="0" w:color="auto"/>
            <w:left w:val="none" w:sz="0" w:space="0" w:color="auto"/>
            <w:bottom w:val="none" w:sz="0" w:space="0" w:color="auto"/>
            <w:right w:val="none" w:sz="0" w:space="0" w:color="auto"/>
          </w:divBdr>
        </w:div>
        <w:div w:id="1106460623">
          <w:marLeft w:val="0"/>
          <w:marRight w:val="0"/>
          <w:marTop w:val="0"/>
          <w:marBottom w:val="0"/>
          <w:divBdr>
            <w:top w:val="none" w:sz="0" w:space="0" w:color="auto"/>
            <w:left w:val="none" w:sz="0" w:space="0" w:color="auto"/>
            <w:bottom w:val="none" w:sz="0" w:space="0" w:color="auto"/>
            <w:right w:val="none" w:sz="0" w:space="0" w:color="auto"/>
          </w:divBdr>
        </w:div>
        <w:div w:id="1522352036">
          <w:marLeft w:val="0"/>
          <w:marRight w:val="0"/>
          <w:marTop w:val="0"/>
          <w:marBottom w:val="0"/>
          <w:divBdr>
            <w:top w:val="none" w:sz="0" w:space="0" w:color="auto"/>
            <w:left w:val="none" w:sz="0" w:space="0" w:color="auto"/>
            <w:bottom w:val="none" w:sz="0" w:space="0" w:color="auto"/>
            <w:right w:val="none" w:sz="0" w:space="0" w:color="auto"/>
          </w:divBdr>
        </w:div>
        <w:div w:id="1569731139">
          <w:marLeft w:val="0"/>
          <w:marRight w:val="0"/>
          <w:marTop w:val="0"/>
          <w:marBottom w:val="0"/>
          <w:divBdr>
            <w:top w:val="none" w:sz="0" w:space="0" w:color="auto"/>
            <w:left w:val="none" w:sz="0" w:space="0" w:color="auto"/>
            <w:bottom w:val="none" w:sz="0" w:space="0" w:color="auto"/>
            <w:right w:val="none" w:sz="0" w:space="0" w:color="auto"/>
          </w:divBdr>
        </w:div>
        <w:div w:id="1772162961">
          <w:marLeft w:val="0"/>
          <w:marRight w:val="0"/>
          <w:marTop w:val="0"/>
          <w:marBottom w:val="0"/>
          <w:divBdr>
            <w:top w:val="none" w:sz="0" w:space="0" w:color="auto"/>
            <w:left w:val="none" w:sz="0" w:space="0" w:color="auto"/>
            <w:bottom w:val="none" w:sz="0" w:space="0" w:color="auto"/>
            <w:right w:val="none" w:sz="0" w:space="0" w:color="auto"/>
          </w:divBdr>
        </w:div>
        <w:div w:id="1949770177">
          <w:marLeft w:val="0"/>
          <w:marRight w:val="0"/>
          <w:marTop w:val="0"/>
          <w:marBottom w:val="0"/>
          <w:divBdr>
            <w:top w:val="none" w:sz="0" w:space="0" w:color="auto"/>
            <w:left w:val="none" w:sz="0" w:space="0" w:color="auto"/>
            <w:bottom w:val="none" w:sz="0" w:space="0" w:color="auto"/>
            <w:right w:val="none" w:sz="0" w:space="0" w:color="auto"/>
          </w:divBdr>
        </w:div>
        <w:div w:id="2051832393">
          <w:marLeft w:val="0"/>
          <w:marRight w:val="0"/>
          <w:marTop w:val="0"/>
          <w:marBottom w:val="0"/>
          <w:divBdr>
            <w:top w:val="none" w:sz="0" w:space="0" w:color="auto"/>
            <w:left w:val="none" w:sz="0" w:space="0" w:color="auto"/>
            <w:bottom w:val="none" w:sz="0" w:space="0" w:color="auto"/>
            <w:right w:val="none" w:sz="0" w:space="0" w:color="auto"/>
          </w:divBdr>
        </w:div>
      </w:divsChild>
    </w:div>
    <w:div w:id="1947347687">
      <w:bodyDiv w:val="1"/>
      <w:marLeft w:val="0"/>
      <w:marRight w:val="0"/>
      <w:marTop w:val="0"/>
      <w:marBottom w:val="0"/>
      <w:divBdr>
        <w:top w:val="none" w:sz="0" w:space="0" w:color="auto"/>
        <w:left w:val="none" w:sz="0" w:space="0" w:color="auto"/>
        <w:bottom w:val="none" w:sz="0" w:space="0" w:color="auto"/>
        <w:right w:val="none" w:sz="0" w:space="0" w:color="auto"/>
      </w:divBdr>
      <w:divsChild>
        <w:div w:id="1696229535">
          <w:marLeft w:val="0"/>
          <w:marRight w:val="0"/>
          <w:marTop w:val="15"/>
          <w:marBottom w:val="0"/>
          <w:divBdr>
            <w:top w:val="none" w:sz="0" w:space="0" w:color="auto"/>
            <w:left w:val="none" w:sz="0" w:space="0" w:color="auto"/>
            <w:bottom w:val="none" w:sz="0" w:space="0" w:color="auto"/>
            <w:right w:val="none" w:sz="0" w:space="0" w:color="auto"/>
          </w:divBdr>
          <w:divsChild>
            <w:div w:id="1199931290">
              <w:marLeft w:val="0"/>
              <w:marRight w:val="0"/>
              <w:marTop w:val="0"/>
              <w:marBottom w:val="0"/>
              <w:divBdr>
                <w:top w:val="single" w:sz="6" w:space="0" w:color="808080"/>
                <w:left w:val="single" w:sz="6" w:space="0" w:color="808080"/>
                <w:bottom w:val="single" w:sz="6" w:space="0" w:color="808080"/>
                <w:right w:val="single" w:sz="6" w:space="0" w:color="808080"/>
              </w:divBdr>
              <w:divsChild>
                <w:div w:id="736632885">
                  <w:marLeft w:val="0"/>
                  <w:marRight w:val="0"/>
                  <w:marTop w:val="0"/>
                  <w:marBottom w:val="0"/>
                  <w:divBdr>
                    <w:top w:val="none" w:sz="0" w:space="0" w:color="auto"/>
                    <w:left w:val="none" w:sz="0" w:space="0" w:color="auto"/>
                    <w:bottom w:val="none" w:sz="0" w:space="0" w:color="auto"/>
                    <w:right w:val="none" w:sz="0" w:space="0" w:color="auto"/>
                  </w:divBdr>
                </w:div>
                <w:div w:id="812064508">
                  <w:marLeft w:val="0"/>
                  <w:marRight w:val="0"/>
                  <w:marTop w:val="0"/>
                  <w:marBottom w:val="0"/>
                  <w:divBdr>
                    <w:top w:val="none" w:sz="0" w:space="0" w:color="auto"/>
                    <w:left w:val="none" w:sz="0" w:space="0" w:color="auto"/>
                    <w:bottom w:val="none" w:sz="0" w:space="0" w:color="auto"/>
                    <w:right w:val="none" w:sz="0" w:space="0" w:color="auto"/>
                  </w:divBdr>
                </w:div>
                <w:div w:id="819813430">
                  <w:marLeft w:val="0"/>
                  <w:marRight w:val="0"/>
                  <w:marTop w:val="0"/>
                  <w:marBottom w:val="0"/>
                  <w:divBdr>
                    <w:top w:val="none" w:sz="0" w:space="0" w:color="auto"/>
                    <w:left w:val="none" w:sz="0" w:space="0" w:color="auto"/>
                    <w:bottom w:val="none" w:sz="0" w:space="0" w:color="auto"/>
                    <w:right w:val="none" w:sz="0" w:space="0" w:color="auto"/>
                  </w:divBdr>
                </w:div>
                <w:div w:id="990669040">
                  <w:marLeft w:val="0"/>
                  <w:marRight w:val="0"/>
                  <w:marTop w:val="0"/>
                  <w:marBottom w:val="0"/>
                  <w:divBdr>
                    <w:top w:val="none" w:sz="0" w:space="0" w:color="auto"/>
                    <w:left w:val="none" w:sz="0" w:space="0" w:color="auto"/>
                    <w:bottom w:val="none" w:sz="0" w:space="0" w:color="auto"/>
                    <w:right w:val="none" w:sz="0" w:space="0" w:color="auto"/>
                  </w:divBdr>
                </w:div>
                <w:div w:id="1702124723">
                  <w:marLeft w:val="0"/>
                  <w:marRight w:val="0"/>
                  <w:marTop w:val="0"/>
                  <w:marBottom w:val="0"/>
                  <w:divBdr>
                    <w:top w:val="none" w:sz="0" w:space="0" w:color="auto"/>
                    <w:left w:val="none" w:sz="0" w:space="0" w:color="auto"/>
                    <w:bottom w:val="none" w:sz="0" w:space="0" w:color="auto"/>
                    <w:right w:val="none" w:sz="0" w:space="0" w:color="auto"/>
                  </w:divBdr>
                </w:div>
                <w:div w:id="171253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530962">
          <w:marLeft w:val="0"/>
          <w:marRight w:val="0"/>
          <w:marTop w:val="15"/>
          <w:marBottom w:val="0"/>
          <w:divBdr>
            <w:top w:val="none" w:sz="0" w:space="0" w:color="auto"/>
            <w:left w:val="none" w:sz="0" w:space="0" w:color="auto"/>
            <w:bottom w:val="none" w:sz="0" w:space="0" w:color="auto"/>
            <w:right w:val="none" w:sz="0" w:space="0" w:color="auto"/>
          </w:divBdr>
          <w:divsChild>
            <w:div w:id="439689692">
              <w:marLeft w:val="0"/>
              <w:marRight w:val="0"/>
              <w:marTop w:val="0"/>
              <w:marBottom w:val="0"/>
              <w:divBdr>
                <w:top w:val="single" w:sz="6" w:space="0" w:color="808080"/>
                <w:left w:val="single" w:sz="6" w:space="0" w:color="808080"/>
                <w:bottom w:val="single" w:sz="6" w:space="0" w:color="808080"/>
                <w:right w:val="single" w:sz="6" w:space="0" w:color="808080"/>
              </w:divBdr>
              <w:divsChild>
                <w:div w:id="86502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123903">
      <w:bodyDiv w:val="1"/>
      <w:marLeft w:val="0"/>
      <w:marRight w:val="0"/>
      <w:marTop w:val="0"/>
      <w:marBottom w:val="0"/>
      <w:divBdr>
        <w:top w:val="none" w:sz="0" w:space="0" w:color="auto"/>
        <w:left w:val="none" w:sz="0" w:space="0" w:color="auto"/>
        <w:bottom w:val="none" w:sz="0" w:space="0" w:color="auto"/>
        <w:right w:val="none" w:sz="0" w:space="0" w:color="auto"/>
      </w:divBdr>
    </w:div>
    <w:div w:id="2022510862">
      <w:bodyDiv w:val="1"/>
      <w:marLeft w:val="0"/>
      <w:marRight w:val="0"/>
      <w:marTop w:val="0"/>
      <w:marBottom w:val="0"/>
      <w:divBdr>
        <w:top w:val="none" w:sz="0" w:space="0" w:color="auto"/>
        <w:left w:val="none" w:sz="0" w:space="0" w:color="auto"/>
        <w:bottom w:val="none" w:sz="0" w:space="0" w:color="auto"/>
        <w:right w:val="none" w:sz="0" w:space="0" w:color="auto"/>
      </w:divBdr>
      <w:divsChild>
        <w:div w:id="573321679">
          <w:marLeft w:val="0"/>
          <w:marRight w:val="0"/>
          <w:marTop w:val="0"/>
          <w:marBottom w:val="0"/>
          <w:divBdr>
            <w:top w:val="none" w:sz="0" w:space="0" w:color="auto"/>
            <w:left w:val="none" w:sz="0" w:space="0" w:color="auto"/>
            <w:bottom w:val="none" w:sz="0" w:space="0" w:color="auto"/>
            <w:right w:val="none" w:sz="0" w:space="0" w:color="auto"/>
          </w:divBdr>
        </w:div>
        <w:div w:id="608048689">
          <w:marLeft w:val="0"/>
          <w:marRight w:val="0"/>
          <w:marTop w:val="0"/>
          <w:marBottom w:val="0"/>
          <w:divBdr>
            <w:top w:val="none" w:sz="0" w:space="0" w:color="auto"/>
            <w:left w:val="none" w:sz="0" w:space="0" w:color="auto"/>
            <w:bottom w:val="none" w:sz="0" w:space="0" w:color="auto"/>
            <w:right w:val="none" w:sz="0" w:space="0" w:color="auto"/>
          </w:divBdr>
        </w:div>
        <w:div w:id="748575141">
          <w:marLeft w:val="0"/>
          <w:marRight w:val="0"/>
          <w:marTop w:val="0"/>
          <w:marBottom w:val="0"/>
          <w:divBdr>
            <w:top w:val="none" w:sz="0" w:space="0" w:color="auto"/>
            <w:left w:val="none" w:sz="0" w:space="0" w:color="auto"/>
            <w:bottom w:val="none" w:sz="0" w:space="0" w:color="auto"/>
            <w:right w:val="none" w:sz="0" w:space="0" w:color="auto"/>
          </w:divBdr>
        </w:div>
        <w:div w:id="1404525290">
          <w:marLeft w:val="0"/>
          <w:marRight w:val="0"/>
          <w:marTop w:val="0"/>
          <w:marBottom w:val="0"/>
          <w:divBdr>
            <w:top w:val="none" w:sz="0" w:space="0" w:color="auto"/>
            <w:left w:val="none" w:sz="0" w:space="0" w:color="auto"/>
            <w:bottom w:val="none" w:sz="0" w:space="0" w:color="auto"/>
            <w:right w:val="none" w:sz="0" w:space="0" w:color="auto"/>
          </w:divBdr>
        </w:div>
        <w:div w:id="1459059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27977E868D147FA8624C2C481C11C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2026-09-14T07:39:00Z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2026-09-11T00:00:00Z</Date_x0020_protokolli>
    <Titulli xmlns="0e656187-b300-4fb0-8bf4-3a50f872073c">Për disa shtesa dhe ndryshime në udhëzimin nr.5222, datë 26.6.2015, "Për zbatimin e vendimit të Këshillit të Minstrave nr.926, datë 29.12.2014, "Për kriteret e vlerësimit të pronës shtetërore që privatizohet apo transformohet dhe procedurën e shitjes", të ndryshuar"</Titulli>
    <Modifikuesi xmlns="0e656187-b300-4fb0-8bf4-3a50f872073c">elnejda.cokalli</Modifikuesi>
    <Nr_x002e__x0020_prot_x0020_QBZ xmlns="0e656187-b300-4fb0-8bf4-3a50f872073c">1965/3</Nr_x002e__x0020_prot_x0020_QBZ>
    <Data_x0020_e_x0020_Modifikimit xmlns="0e656187-b300-4fb0-8bf4-3a50f872073c">2026-09-14T07:59:54Z</Data_x0020_e_x0020_Modifikimit>
    <Dekretuar xmlns="0e656187-b300-4fb0-8bf4-3a50f872073c">false</Dekretuar>
    <Data xmlns="0e656187-b300-4fb0-8bf4-3a50f872073c">2026-09-01T00:00:00Z</Data>
    <Nr_x002e__x0020_protokolli_x0020_i_x0020_aktit xmlns="0e656187-b300-4fb0-8bf4-3a50f872073c">6869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097BE-B55B-4B37-89F6-EB305F51C95F}">
  <ds:schemaRefs>
    <ds:schemaRef ds:uri="http://schemas.microsoft.com/sharepoint/v3/contenttype/forms"/>
  </ds:schemaRefs>
</ds:datastoreItem>
</file>

<file path=customXml/itemProps2.xml><?xml version="1.0" encoding="utf-8"?>
<ds:datastoreItem xmlns:ds="http://schemas.openxmlformats.org/officeDocument/2006/customXml" ds:itemID="{29EB550C-8799-4A88-8136-9B25C72F1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6C87282-CEF0-4285-A59A-F12B30DD35C7}">
  <ds:schemaRefs>
    <ds:schemaRef ds:uri="http://schemas.microsoft.com/office/2006/metadata/longProperties"/>
  </ds:schemaRefs>
</ds:datastoreItem>
</file>

<file path=customXml/itemProps4.xml><?xml version="1.0" encoding="utf-8"?>
<ds:datastoreItem xmlns:ds="http://schemas.openxmlformats.org/officeDocument/2006/customXml" ds:itemID="{CBD54C83-0C1D-4A09-8FCB-77911E989CBD}">
  <ds:schemaRefs>
    <ds:schemaRef ds:uri="0e656187-b300-4fb0-8bf4-3a50f872073c"/>
    <ds:schemaRef ds:uri="http://schemas.microsoft.com/office/2006/documentManagement/types"/>
    <ds:schemaRef ds:uri="http://purl.org/dc/elements/1.1/"/>
    <ds:schemaRef ds:uri="http://schemas.openxmlformats.org/package/2006/metadata/core-properties"/>
    <ds:schemaRef ds:uri="http://www.w3.org/XML/1998/namespace"/>
    <ds:schemaRef ds:uri="http://purl.org/dc/terms/"/>
    <ds:schemaRef ds:uri="http://purl.org/dc/dcmitype/"/>
    <ds:schemaRef ds:uri="http://schemas.microsoft.com/office/2006/metadata/properties"/>
  </ds:schemaRefs>
</ds:datastoreItem>
</file>

<file path=customXml/itemProps5.xml><?xml version="1.0" encoding="utf-8"?>
<ds:datastoreItem xmlns:ds="http://schemas.openxmlformats.org/officeDocument/2006/customXml" ds:itemID="{6F1C3C45-5950-4AA1-93DD-3EEE9879FC9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3075</Words>
  <Characters>17533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Për disa shtesa dhe ndryshime në udhëzimin nr.5222, datë 26.6.2015, "Për zbatimin e vendimit të Këshillit të Minstrave nr.926, datë 29.12.2014, "Për kriteret e vlerësimit të pronës shtetërore që privatizohet apo transformohet dhe procedurën e shitjes", të</vt:lpstr>
    </vt:vector>
  </TitlesOfParts>
  <Company>Microsoft</Company>
  <LinksUpToDate>false</LinksUpToDate>
  <CharactersWithSpaces>20567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nr.5222, datë 26.6.2015, "Për zbatimin e vendimit të Këshillit të Minstrave nr.926, datë 29.12.2014, "Për kriteret e vlerësimit të pronës shtetërore që privatizohet apo transformohet dhe procedurën e shitjes", të ndryshuar"</dc:title>
  <dc:creator>Ilirjana Nano</dc:creator>
  <cp:lastModifiedBy>fjora.cahani</cp:lastModifiedBy>
  <cp:revision>2</cp:revision>
  <cp:lastPrinted>2026-02-20T12:20:00Z</cp:lastPrinted>
  <dcterms:created xsi:type="dcterms:W3CDTF">2026-09-14T08:43:00Z</dcterms:created>
  <dcterms:modified xsi:type="dcterms:W3CDTF">2026-09-14T08:43:00Z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 vendim</vt:lpwstr>
  </property>
  <property fmtid="{D5CDD505-2E9C-101B-9397-08002B2CF9AE}" pid="3" name="MSIP_Label_6cf46c2e-64e9-484b-aa4e-3ffc4469b01c_Enabled">
    <vt:lpwstr>true</vt:lpwstr>
  </property>
  <property fmtid="{D5CDD505-2E9C-101B-9397-08002B2CF9AE}" pid="4" name="MSIP_Label_6cf46c2e-64e9-484b-aa4e-3ffc4469b01c_SetDate">
    <vt:lpwstr>2026-08-24T11:24:20Z</vt:lpwstr>
  </property>
  <property fmtid="{D5CDD505-2E9C-101B-9397-08002B2CF9AE}" pid="5" name="MSIP_Label_6cf46c2e-64e9-484b-aa4e-3ffc4469b01c_Method">
    <vt:lpwstr>Standard</vt:lpwstr>
  </property>
  <property fmtid="{D5CDD505-2E9C-101B-9397-08002B2CF9AE}" pid="6" name="MSIP_Label_6cf46c2e-64e9-484b-aa4e-3ffc4469b01c_Name">
    <vt:lpwstr>General</vt:lpwstr>
  </property>
  <property fmtid="{D5CDD505-2E9C-101B-9397-08002B2CF9AE}" pid="7" name="MSIP_Label_6cf46c2e-64e9-484b-aa4e-3ffc4469b01c_SiteId">
    <vt:lpwstr>f5d8b812-606a-42ba-8cf9-3371cfe29c72</vt:lpwstr>
  </property>
  <property fmtid="{D5CDD505-2E9C-101B-9397-08002B2CF9AE}" pid="8" name="MSIP_Label_6cf46c2e-64e9-484b-aa4e-3ffc4469b01c_ActionId">
    <vt:lpwstr>465aa8ff-45c0-4ff7-aeac-124f626edd72</vt:lpwstr>
  </property>
  <property fmtid="{D5CDD505-2E9C-101B-9397-08002B2CF9AE}" pid="9" name="MSIP_Label_6cf46c2e-64e9-484b-aa4e-3ffc4469b01c_ContentBits">
    <vt:lpwstr>0</vt:lpwstr>
  </property>
</Properties>
</file>