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B16" w:rsidRPr="00871DDF" w:rsidRDefault="00650B16" w:rsidP="00013FE7">
      <w:pPr>
        <w:pStyle w:val="Akti"/>
      </w:pPr>
      <w:bookmarkStart w:id="0" w:name="_GoBack"/>
      <w:bookmarkEnd w:id="0"/>
      <w:r w:rsidRPr="00871DDF">
        <w:t>U D H Ë Z I M</w:t>
      </w:r>
    </w:p>
    <w:p w:rsidR="00650B16" w:rsidRPr="00871DDF" w:rsidRDefault="00650B16" w:rsidP="00650B16">
      <w:pPr>
        <w:pStyle w:val="NumriData"/>
      </w:pPr>
      <w:r w:rsidRPr="00871DDF">
        <w:t xml:space="preserve">Nr. 3, datë 27.1.2003  </w:t>
      </w:r>
    </w:p>
    <w:p w:rsidR="00650B16" w:rsidRPr="00871DDF" w:rsidRDefault="00650B16" w:rsidP="00650B16">
      <w:pPr>
        <w:pStyle w:val="Paragrafi"/>
      </w:pPr>
    </w:p>
    <w:p w:rsidR="00650B16" w:rsidRPr="00871DDF" w:rsidRDefault="00650B16" w:rsidP="00650B16">
      <w:pPr>
        <w:pStyle w:val="Titulli"/>
      </w:pPr>
      <w:r w:rsidRPr="00871DDF">
        <w:t>PËR TATIMIN E THJESHTUAR MBI FITIMIN</w:t>
      </w:r>
    </w:p>
    <w:p w:rsidR="00650B16" w:rsidRPr="00871DDF" w:rsidRDefault="00650B16" w:rsidP="00650B16">
      <w:pPr>
        <w:pStyle w:val="Paragrafi"/>
      </w:pPr>
    </w:p>
    <w:p w:rsidR="00650B16" w:rsidRPr="00871DDF" w:rsidRDefault="00650B16" w:rsidP="00650B16">
      <w:pPr>
        <w:pStyle w:val="Paragrafi"/>
      </w:pPr>
      <w:r w:rsidRPr="00871DDF">
        <w:t>Në mbështetje të nenit 102, pika 4 të Kushtetutës së Republikës së Shqipërisë dhe në zbatim të nenit 32/2 pika 4 të ligjit nr. 8979, datë 12.12.2002 “Për disa shtesa dhe ndryshime” në ligjin nr.8438, datë 28.12.1998 Për tatimin mbi të ardhurat, me ndryshimet përkatëse”, Ministri i Financave</w:t>
      </w:r>
    </w:p>
    <w:p w:rsidR="00650B16" w:rsidRPr="00871DDF" w:rsidRDefault="00650B16" w:rsidP="00650B16">
      <w:pPr>
        <w:pStyle w:val="Paragrafi"/>
      </w:pPr>
    </w:p>
    <w:p w:rsidR="00650B16" w:rsidRPr="00871DDF" w:rsidRDefault="00650B16" w:rsidP="00803CF6">
      <w:pPr>
        <w:pStyle w:val="VENDOSI"/>
      </w:pPr>
      <w:r w:rsidRPr="001C6C3D">
        <w:t>U D H Ë Z O N</w:t>
      </w:r>
      <w:r w:rsidRPr="00871DDF">
        <w:t xml:space="preserve">: </w:t>
      </w:r>
    </w:p>
    <w:p w:rsidR="00650B16" w:rsidRPr="00871DDF" w:rsidRDefault="00650B16" w:rsidP="00650B16">
      <w:pPr>
        <w:pStyle w:val="Paragrafi"/>
      </w:pPr>
    </w:p>
    <w:p w:rsidR="00650B16" w:rsidRPr="00871DDF" w:rsidRDefault="00650B16" w:rsidP="00650B16">
      <w:pPr>
        <w:pStyle w:val="Paragrafi"/>
      </w:pPr>
      <w:r w:rsidRPr="00871DDF">
        <w:t>1.  Objekti i tatimit të thjeshtuar mbi fitimin</w:t>
      </w:r>
    </w:p>
    <w:p w:rsidR="00650B16" w:rsidRPr="00871DDF" w:rsidRDefault="00650B16" w:rsidP="00650B16">
      <w:pPr>
        <w:pStyle w:val="Paragrafi"/>
      </w:pPr>
      <w:r w:rsidRPr="00871DDF">
        <w:t xml:space="preserve">Tatimi i thjeshtuar mbi fitimin zbatohet ndaj tatimpaguesve që nuk janë të regjistruar ose të detyruar me ligj për t’u regjistruar për TVSH-në. Nga ky tatim janë të përjashtuar tatimpaguesit ambulantë në fushën e tregtisë dhe të shërbimeve, si dhe tatimpaguesit që kryejnë veprimtari në lidhje me transportin individual. </w:t>
      </w:r>
    </w:p>
    <w:p w:rsidR="00650B16" w:rsidRPr="00871DDF" w:rsidRDefault="00650B16" w:rsidP="00650B16">
      <w:pPr>
        <w:pStyle w:val="Paragrafi"/>
      </w:pPr>
      <w:r w:rsidRPr="00871DDF">
        <w:t xml:space="preserve">Përkufizimi “ambulant në fushën e tregtisë dhe të sherbimeve” përfshin çdo person i cili nuk ka një vendndodhje fikse (të palëvizshme) biznesi dhe merret me shitjen e mallrave ose kryerjen e shërbimeve në mënyrë ambulante. Përkufizimi përfshin, por nuk është i kufizuar vetëm me tregtarët në rrugë, tezgat e përkohshme për tregtim, marangozët, elektriçistët, muratorët, bojaxhinjtë, llustraxhinjte, hidraulikët, këpucëndreqësit etj., të cilët nuk kanë nje vendndodhje fikse (të palëvizshme) biznesi.   </w:t>
      </w:r>
    </w:p>
    <w:p w:rsidR="00650B16" w:rsidRPr="00871DDF" w:rsidRDefault="00650B16" w:rsidP="00650B16">
      <w:pPr>
        <w:pStyle w:val="Paragrafi"/>
      </w:pPr>
      <w:r w:rsidRPr="00871DDF">
        <w:t>2.  Regjistrimi</w:t>
      </w:r>
    </w:p>
    <w:p w:rsidR="00650B16" w:rsidRPr="00871DDF" w:rsidRDefault="00650B16" w:rsidP="00650B16">
      <w:pPr>
        <w:pStyle w:val="Paragrafi"/>
      </w:pPr>
      <w:r w:rsidRPr="00871DDF">
        <w:t>2.1. Kërkesat për regjistrimin për herë të parë</w:t>
      </w:r>
    </w:p>
    <w:p w:rsidR="00650B16" w:rsidRPr="00871DDF" w:rsidRDefault="00650B16" w:rsidP="00650B16">
      <w:pPr>
        <w:pStyle w:val="Paragrafi"/>
      </w:pPr>
      <w:r w:rsidRPr="00871DDF">
        <w:t>Në rastin e regjistrimit për herë të parë, tatimpaguesi duhet t’u paraqesë organeve tatimore te dhenat dhe dokumentet e mëposhtme :</w:t>
      </w:r>
    </w:p>
    <w:p w:rsidR="00650B16" w:rsidRPr="00871DDF" w:rsidRDefault="00650B16" w:rsidP="00650B16">
      <w:pPr>
        <w:pStyle w:val="Paragrafi"/>
      </w:pPr>
      <w:r w:rsidRPr="00871DDF">
        <w:t>- Formularin “Kërkesë për regjistrim” sipas formatit të përcaktuar nga Drejtoria e Përgjithshme e Tatimeve, të plotësuar me të gjithë të dhënat e kërkuara, si dhe të nënshkruar nga tatimpaguesi.</w:t>
      </w:r>
    </w:p>
    <w:p w:rsidR="00650B16" w:rsidRPr="00871DDF" w:rsidRDefault="00650B16" w:rsidP="00650B16">
      <w:pPr>
        <w:pStyle w:val="Paragrafi"/>
      </w:pPr>
      <w:r w:rsidRPr="00871DDF">
        <w:t>- Dokumentin e identifikimit (certifikatën personale me fotografi) të lëshuar nga zyra e gjendjes civile.</w:t>
      </w:r>
    </w:p>
    <w:p w:rsidR="00650B16" w:rsidRPr="00871DDF" w:rsidRDefault="00650B16" w:rsidP="00650B16">
      <w:pPr>
        <w:pStyle w:val="Paragrafi"/>
      </w:pPr>
      <w:r w:rsidRPr="00871DDF">
        <w:t>- Vendimin e gjykatës.</w:t>
      </w:r>
    </w:p>
    <w:p w:rsidR="00650B16" w:rsidRPr="00871DDF" w:rsidRDefault="00650B16" w:rsidP="00650B16">
      <w:pPr>
        <w:pStyle w:val="Paragrafi"/>
      </w:pPr>
      <w:r w:rsidRPr="00871DDF">
        <w:t>- Statutin dhe aktin e themelimit në rastin e regjistrimit të shoqërive.</w:t>
      </w:r>
    </w:p>
    <w:p w:rsidR="00650B16" w:rsidRPr="00871DDF" w:rsidRDefault="00650B16" w:rsidP="00650B16">
      <w:pPr>
        <w:pStyle w:val="Paragrafi"/>
      </w:pPr>
      <w:r w:rsidRPr="00871DDF">
        <w:t>- Vërtetim nga dega e Institutit të Sigurimeve Shoqërore për pagesën e kontributit të sigurimeve shoqerore.</w:t>
      </w:r>
    </w:p>
    <w:p w:rsidR="00650B16" w:rsidRPr="00871DDF" w:rsidRDefault="00650B16" w:rsidP="00650B16">
      <w:pPr>
        <w:pStyle w:val="Paragrafi"/>
      </w:pPr>
      <w:r w:rsidRPr="00871DDF">
        <w:t>- Aktin e pronësisë të vendndodhjeve të biznesit ose kontratat e qiramarrjes për vendndodhjet e biznesit.</w:t>
      </w:r>
    </w:p>
    <w:p w:rsidR="00650B16" w:rsidRPr="00871DDF" w:rsidRDefault="00650B16" w:rsidP="00650B16">
      <w:pPr>
        <w:pStyle w:val="Paragrafi"/>
      </w:pPr>
      <w:r w:rsidRPr="00871DDF">
        <w:t xml:space="preserve">- Të dhëna për qarkullimin e parashikuar për vitin vijues. </w:t>
      </w:r>
    </w:p>
    <w:p w:rsidR="00650B16" w:rsidRPr="00871DDF" w:rsidRDefault="00650B16" w:rsidP="00650B16">
      <w:pPr>
        <w:pStyle w:val="Paragrafi"/>
      </w:pPr>
      <w:r w:rsidRPr="00871DDF">
        <w:t xml:space="preserve">- Licencën teknike dhe profesionale për veprimtari ekonomike për të cilat kërkohet me ligj një gjë e tillë. </w:t>
      </w:r>
    </w:p>
    <w:p w:rsidR="00650B16" w:rsidRPr="00871DDF" w:rsidRDefault="00650B16" w:rsidP="00650B16">
      <w:pPr>
        <w:pStyle w:val="Paragrafi"/>
      </w:pPr>
      <w:r w:rsidRPr="00871DDF">
        <w:t>2.2.  Kërkesat per riregjistrim.</w:t>
      </w:r>
    </w:p>
    <w:p w:rsidR="00650B16" w:rsidRPr="00871DDF" w:rsidRDefault="00650B16" w:rsidP="00650B16">
      <w:pPr>
        <w:pStyle w:val="Paragrafi"/>
      </w:pPr>
      <w:r w:rsidRPr="00871DDF">
        <w:t>Në rastin e riregjistrimit, tatimpaguesi duhet të paraqesë në organet tatimore dokumentet dhe te dhënat e mëposhtme :</w:t>
      </w:r>
    </w:p>
    <w:p w:rsidR="00650B16" w:rsidRPr="00871DDF" w:rsidRDefault="00650B16" w:rsidP="00650B16">
      <w:pPr>
        <w:pStyle w:val="Paragrafi"/>
      </w:pPr>
      <w:r w:rsidRPr="00871DDF">
        <w:t xml:space="preserve">- Certifikatën tatimore të vitit te mëparshem. </w:t>
      </w:r>
    </w:p>
    <w:p w:rsidR="00650B16" w:rsidRPr="00871DDF" w:rsidRDefault="00650B16" w:rsidP="00650B16">
      <w:pPr>
        <w:pStyle w:val="Paragrafi"/>
      </w:pPr>
      <w:r w:rsidRPr="00871DDF">
        <w:t>- Formularin “Kërkese për Regjistrim” sipas formatit të përcaktuar nga Drejtoria e Pergjithshme e Tatimeve, të plotësuar me të gjithë të dhënat e kërkuara, si dhe të nënshkruar nga tatimpaguesi.</w:t>
      </w:r>
    </w:p>
    <w:p w:rsidR="00650B16" w:rsidRPr="00871DDF" w:rsidRDefault="00650B16" w:rsidP="00650B16">
      <w:pPr>
        <w:pStyle w:val="Paragrafi"/>
      </w:pPr>
      <w:r w:rsidRPr="00871DDF">
        <w:t>- Mandatpagesat për të gjitha detyrimet tatimore të vitit të kaluar.</w:t>
      </w:r>
    </w:p>
    <w:p w:rsidR="00650B16" w:rsidRPr="00871DDF" w:rsidRDefault="00650B16" w:rsidP="00650B16">
      <w:pPr>
        <w:pStyle w:val="Paragrafi"/>
      </w:pPr>
      <w:r w:rsidRPr="00871DDF">
        <w:t>- Deklaratë me shkrim për qarkullimin e realizuar në vitin e mëparshëm.</w:t>
      </w:r>
    </w:p>
    <w:p w:rsidR="00650B16" w:rsidRPr="00871DDF" w:rsidRDefault="00650B16" w:rsidP="00650B16">
      <w:pPr>
        <w:pStyle w:val="Paragrafi"/>
      </w:pPr>
      <w:r w:rsidRPr="00871DDF">
        <w:t>- Vërtetim nga dega e Institutit të Sigurimeve Shoqërore për pagesën e kontributit te Sigurimeve Shoqërore.</w:t>
      </w:r>
    </w:p>
    <w:p w:rsidR="00650B16" w:rsidRPr="00871DDF" w:rsidRDefault="00650B16" w:rsidP="00650B16">
      <w:pPr>
        <w:pStyle w:val="Paragrafi"/>
      </w:pPr>
      <w:r w:rsidRPr="00871DDF">
        <w:t>- Librat e shitjes dhe të blerjes kur një gjë e tillë kërkohet nga administrata tatimore.</w:t>
      </w:r>
    </w:p>
    <w:p w:rsidR="00650B16" w:rsidRPr="00871DDF" w:rsidRDefault="00650B16" w:rsidP="00650B16">
      <w:pPr>
        <w:pStyle w:val="Paragrafi"/>
      </w:pPr>
      <w:r w:rsidRPr="00871DDF">
        <w:t>2.3.  Certifikata e regjistrimit</w:t>
      </w:r>
    </w:p>
    <w:p w:rsidR="00650B16" w:rsidRPr="00871DDF" w:rsidRDefault="00650B16" w:rsidP="00650B16">
      <w:pPr>
        <w:pStyle w:val="Paragrafi"/>
      </w:pPr>
      <w:r w:rsidRPr="00871DDF">
        <w:t xml:space="preserve">Tatimpaguesit do të regjistrohen ose riregjistrohen në degën e tatimeve ku gjendet vendi kryesor i biznesit. Vendi kryesor i biznesit është vendndodhja e biznesit, e caktuar nga tatimpaguesi si </w:t>
      </w:r>
      <w:r w:rsidRPr="00871DDF">
        <w:lastRenderedPageBreak/>
        <w:t>vendi kryesor i veprimtarisë në kërkesën për regjistrim. Çdo ndryshim në vendin kryesor të biznesit, që është caktuar duhet të bëhet gjatë riregjistrimit ose duke dorëzuar një formular njoftim për ndryshime në të dhënat individuale.</w:t>
      </w:r>
    </w:p>
    <w:p w:rsidR="00650B16" w:rsidRPr="00871DDF" w:rsidRDefault="00650B16" w:rsidP="00650B16">
      <w:pPr>
        <w:pStyle w:val="Paragrafi"/>
      </w:pPr>
      <w:r w:rsidRPr="00871DDF">
        <w:t>Nëse nuk ka vendndodhje fikse të veprimtarisë, vendi kryesor i veprimtarisë do të jetë adresa e vendbanimit ose ajo e deklaruar nga vetë tatimpaguesi.</w:t>
      </w:r>
    </w:p>
    <w:p w:rsidR="00650B16" w:rsidRPr="00871DDF" w:rsidRDefault="00650B16" w:rsidP="00650B16">
      <w:pPr>
        <w:pStyle w:val="Paragrafi"/>
      </w:pPr>
      <w:r w:rsidRPr="00871DDF">
        <w:t>Çdo tatimpagues, pas përfundimit të procesit të regjistrimit, do të pajiset me një certifikatë regjistrimi nga dega e tatimeve. Tatimpaguesit që janë regjistruar me detyrim, nuk do të pajisen me certifikatë regjistrimi deri sa të plotësojnë të gjithë kërkesat për regjistrim të parashikuara në nenin 32/2. Megjithatë, për qëllime evidentimi, kjo kategori do të konsiderohet si tatimpagues të regjistruar.</w:t>
      </w:r>
    </w:p>
    <w:p w:rsidR="00650B16" w:rsidRPr="00871DDF" w:rsidRDefault="00650B16" w:rsidP="00650B16">
      <w:pPr>
        <w:pStyle w:val="Paragrafi"/>
      </w:pPr>
      <w:r w:rsidRPr="00871DDF">
        <w:t>Kur tatimpaguesi ka më shumë se një vendndodhje biznesi, ai do te pajiset me certifikate për çdo njërën nga këto vendndodhje. Në këtë rast certifikatat do të jenë me të njëjtin NIPT, por me numër serial të ndryshëm, të plotësuara me të dhënat e çdo vendndodhje të biznesit. Për qëllimet e nenit 32/2, pika (5) dhe çdo dispozite tjetër të këtij ligji nuk do të pranohet fotokopja e certifikatës së regjistrimit. Certifikata e regjistrimit është e detyrueshme të vendoset në një hapësire të dukshme të vendndodhjes së biznesit, me qëllim identifikimin e regjistrimit të kësaj vendndodhjeje. Certifikata e regjistrimit është subjekt inspektimi nga organet tatimore.</w:t>
      </w:r>
    </w:p>
    <w:p w:rsidR="00650B16" w:rsidRPr="00871DDF" w:rsidRDefault="00650B16" w:rsidP="00650B16">
      <w:pPr>
        <w:pStyle w:val="Paragrafi"/>
      </w:pPr>
    </w:p>
    <w:p w:rsidR="00650B16" w:rsidRPr="00871DDF" w:rsidRDefault="00650B16" w:rsidP="00650B16">
      <w:pPr>
        <w:pStyle w:val="Paragrafi"/>
      </w:pPr>
      <w:r w:rsidRPr="00871DDF">
        <w:t>2.4. Detyrimi për të njoftuar ndryshimet në të dhënat e regjistrimit apo       riregjistrimit</w:t>
      </w:r>
    </w:p>
    <w:p w:rsidR="00650B16" w:rsidRPr="00871DDF" w:rsidRDefault="00650B16" w:rsidP="00650B16">
      <w:pPr>
        <w:pStyle w:val="Paragrafi"/>
      </w:pPr>
      <w:r w:rsidRPr="00871DDF">
        <w:t xml:space="preserve">Tatimpaguesi duhet të informojë degën e tatimeve për çdo ndryshim në të dhënat e paraqitura në momentin e regjistrimit duke përdorur formularin e kërkesës për regjistrim. Nëse tatimpaguesi ka një ndryshim në vendndodhje, që çon në një ndryshim në rrethin ku kryhet veprimtaria dhe njofton organin tatimor, ky i fundit, do të rilëshojë një formular për pagesë të zakonshme ku jepet adresa e re, ndërsa pagesa mund të bëhet në filialin e bankës ose zyrës së postës të gjendura në rrethin ku ndodhet vendndodhja e biznesit. Nëse ndryshimi nuk njoftohet, pagesa e tatimeve duhet të bëhet në përputhje me të dhënat e formularit për pagesë të zakonshme në bankë ose zyrën e postës së rrethit të regjistrimit. </w:t>
      </w:r>
    </w:p>
    <w:p w:rsidR="00650B16" w:rsidRPr="00871DDF" w:rsidRDefault="00650B16" w:rsidP="00650B16">
      <w:pPr>
        <w:pStyle w:val="Paragrafi"/>
      </w:pPr>
      <w:r w:rsidRPr="00871DDF">
        <w:t>3.  Deklarimi</w:t>
      </w:r>
    </w:p>
    <w:p w:rsidR="00650B16" w:rsidRPr="00871DDF" w:rsidRDefault="00650B16" w:rsidP="00650B16">
      <w:pPr>
        <w:pStyle w:val="Paragrafi"/>
      </w:pPr>
      <w:r w:rsidRPr="00871DDF">
        <w:t>Tatimpaguesi duhet të deklarojë çdo vit qarkullimin e tij të përgjithshëm nga të gjithë bizneset brenda objektit të tatimit të thjeshtuar mbi fitimin. Deklarimi bëhet duke plotësuar formularin e kërkesës për regjistrim. Deklarata duhet të shoqërohet me librat e qarkullimit të mbajtur për çdo vendndodhje biznesi dhe librat e dorëzuara do të konsiderohen si pjesë e deklarimit të bërë.</w:t>
      </w:r>
    </w:p>
    <w:p w:rsidR="00650B16" w:rsidRPr="00871DDF" w:rsidRDefault="00650B16" w:rsidP="00650B16">
      <w:pPr>
        <w:pStyle w:val="Paragrafi"/>
      </w:pPr>
      <w:r w:rsidRPr="00871DDF">
        <w:t>Nëse tatimpaguesi ndërpret biznesin, ai duhet të paraqesë një deklaratë të qarkullimit të tij për vitin në vazhdim deri në datën e mbylljes në formularin e njoftimit të ndryshimeve në të dhënat e regjistrimit, i cili jep të gjitha të dhënat e kërkuara.</w:t>
      </w:r>
    </w:p>
    <w:p w:rsidR="00650B16" w:rsidRPr="00871DDF" w:rsidRDefault="00650B16" w:rsidP="00650B16">
      <w:pPr>
        <w:pStyle w:val="Paragrafi"/>
      </w:pPr>
      <w:r w:rsidRPr="00871DDF">
        <w:t xml:space="preserve">4.  Mbajtja e regjistrimeve </w:t>
      </w:r>
    </w:p>
    <w:p w:rsidR="00650B16" w:rsidRPr="00871DDF" w:rsidRDefault="00650B16" w:rsidP="00650B16">
      <w:pPr>
        <w:pStyle w:val="Paragrafi"/>
      </w:pPr>
      <w:r w:rsidRPr="00871DDF">
        <w:t>Për çdo vendndodhje të veprimtarisë, tatimpaguesi duhet të mbajë një seri regjistrimesh më vete. Regjistrimet duhet të ruhen për 5 vjet nga fundi i vitit kalendarik të cilit i përkasin.</w:t>
      </w:r>
    </w:p>
    <w:p w:rsidR="00650B16" w:rsidRPr="00871DDF" w:rsidRDefault="00650B16" w:rsidP="00650B16">
      <w:pPr>
        <w:pStyle w:val="Paragrafi"/>
      </w:pPr>
      <w:r w:rsidRPr="00871DDF">
        <w:t>Për qëllimet e këtij tatimi, tatimpaguesi duhet të mbajë regjistrime për qarkullimin ditor dhe për shpenzimet ditore në librin përkatës të lidhur me faqe të numëruara. Libri duhet të paraqesë në mënyrë që të identifikohen qartë të dhënat e mëposhtme:</w:t>
      </w:r>
    </w:p>
    <w:p w:rsidR="00650B16" w:rsidRPr="00871DDF" w:rsidRDefault="00650B16" w:rsidP="00650B16">
      <w:pPr>
        <w:pStyle w:val="Paragrafi"/>
      </w:pPr>
      <w:r w:rsidRPr="00871DDF">
        <w:t>- numrat rendorë të dokumenteve të shitjes të lëshurara gjatë ditës,</w:t>
      </w:r>
    </w:p>
    <w:p w:rsidR="00650B16" w:rsidRPr="00871DDF" w:rsidRDefault="00650B16" w:rsidP="00650B16">
      <w:pPr>
        <w:pStyle w:val="Paragrafi"/>
      </w:pPr>
      <w:r w:rsidRPr="00871DDF">
        <w:t>- qarkullimi gjithsej për çdo ditë,</w:t>
      </w:r>
    </w:p>
    <w:p w:rsidR="00650B16" w:rsidRPr="00871DDF" w:rsidRDefault="00650B16" w:rsidP="00650B16">
      <w:pPr>
        <w:pStyle w:val="Paragrafi"/>
      </w:pPr>
      <w:r w:rsidRPr="00871DDF">
        <w:t>- qarkullimi progresiv nga fillimi i vitit kalendarik,</w:t>
      </w:r>
    </w:p>
    <w:p w:rsidR="00650B16" w:rsidRPr="00871DDF" w:rsidRDefault="00650B16" w:rsidP="00650B16">
      <w:pPr>
        <w:pStyle w:val="Paragrafi"/>
      </w:pPr>
      <w:r w:rsidRPr="00871DDF">
        <w:t xml:space="preserve">- blerjet ditore gjithsej të mallrave dhe materialeve, </w:t>
      </w:r>
    </w:p>
    <w:p w:rsidR="00650B16" w:rsidRPr="00871DDF" w:rsidRDefault="00650B16" w:rsidP="00650B16">
      <w:pPr>
        <w:pStyle w:val="Paragrafi"/>
      </w:pPr>
      <w:r w:rsidRPr="00871DDF">
        <w:t>-shpenzimet ditore të paguara për qëllimet e veprimtarisë.</w:t>
      </w:r>
    </w:p>
    <w:p w:rsidR="00650B16" w:rsidRPr="00871DDF" w:rsidRDefault="00650B16" w:rsidP="00650B16">
      <w:pPr>
        <w:pStyle w:val="Paragrafi"/>
      </w:pPr>
      <w:r w:rsidRPr="00871DDF">
        <w:t xml:space="preserve">Libri i shitjeve dhe i blerjeve do të jetë sipas formatit të treguar në shtojcën A bashkëngjitur këtij udhëzimi. Drejtori i Përgjithshëm i Tatimeve mund të miratojë sisteme të tjera regjistrimi,  të cilat plotësojnë kriteret e parashikuara në ligj, por që përdorin sisteme të tjera për ruajtjen e të dhënave (p.sh. regjistrime kontabël të informatizuara). </w:t>
      </w:r>
    </w:p>
    <w:p w:rsidR="00650B16" w:rsidRPr="00871DDF" w:rsidRDefault="00650B16" w:rsidP="00650B16">
      <w:pPr>
        <w:pStyle w:val="Paragrafi"/>
      </w:pPr>
      <w:r w:rsidRPr="00871DDF">
        <w:t>Tatimpaguesi detyrohet të ruajë kuponat e arkës, kopje të dëftesave dhe faturave tatimore të lëshuara për klientët.</w:t>
      </w:r>
    </w:p>
    <w:p w:rsidR="00650B16" w:rsidRPr="00871DDF" w:rsidRDefault="00650B16" w:rsidP="00650B16">
      <w:pPr>
        <w:pStyle w:val="Paragrafi"/>
      </w:pPr>
      <w:r w:rsidRPr="00871DDF">
        <w:t>5.  Lëshimi i dokumenteve të shitjes</w:t>
      </w:r>
    </w:p>
    <w:p w:rsidR="00650B16" w:rsidRPr="00871DDF" w:rsidRDefault="00650B16" w:rsidP="00650B16">
      <w:pPr>
        <w:pStyle w:val="Paragrafi"/>
      </w:pPr>
      <w:r w:rsidRPr="00871DDF">
        <w:t xml:space="preserve">Tatimpaguesit e biznesit të vogël janë të detyruar të lëshojnë dokumentet e mëposhtme për çdo shitje që realizojnë: </w:t>
      </w:r>
    </w:p>
    <w:p w:rsidR="00650B16" w:rsidRPr="00871DDF" w:rsidRDefault="00650B16" w:rsidP="00650B16">
      <w:pPr>
        <w:pStyle w:val="Paragrafi"/>
      </w:pPr>
      <w:r w:rsidRPr="00871DDF">
        <w:t xml:space="preserve">- Kupon tatimor në rastin kur tatimpaguesi është i pajisur me arkë regjistruese. Ky kupon i </w:t>
      </w:r>
      <w:r w:rsidRPr="00871DDF">
        <w:lastRenderedPageBreak/>
        <w:t xml:space="preserve">jepet klientit për çdo shitje të kryer. </w:t>
      </w:r>
    </w:p>
    <w:p w:rsidR="00650B16" w:rsidRPr="00871DDF" w:rsidRDefault="00650B16" w:rsidP="00650B16">
      <w:pPr>
        <w:pStyle w:val="Paragrafi"/>
      </w:pPr>
      <w:r w:rsidRPr="00871DDF">
        <w:t xml:space="preserve">- Dëftese tatimore në rastin kur tatimpaguesi nuk është pajisur me arkë regjistruese. Dëftesat tatimore përgatiten në dy kopje me letër vetëkopjuese nga të cilat njëra i jepet klientit. </w:t>
      </w:r>
    </w:p>
    <w:p w:rsidR="00650B16" w:rsidRPr="00871DDF" w:rsidRDefault="00650B16" w:rsidP="00650B16">
      <w:pPr>
        <w:pStyle w:val="Paragrafi"/>
      </w:pPr>
      <w:r w:rsidRPr="00871DDF">
        <w:t xml:space="preserve">- Faturë të thjeshtë tatimore e cila lëshohet vetëm nga tatimpaguesit, të cilët shesin mallra apo shërbime për klientë të cilët nuk janë konsumatorë finalë të mallit apo shërbimit, por i kryejnë këto blerje për qëllim përpunimi apo rishitje, pra janë subjekte të regjistruara për tatimet. Tatimpaguesi duhet t’i japë klientit një faturë për çdo shitje mallrash apo shërbimesh. Fatura do të përbëhet nga dy kopje duke përdorur letër vetëkopjuese ose letër karbon dhe tatimpaguesi do t’ia japë një kopje klientit dhe një kopje do ta mbajë vetë. Fatura duhet të jetë me numër serial dhe numri i faturës duhet të shënohet në librin e shitjeve dhe blerjeve. </w:t>
      </w:r>
    </w:p>
    <w:p w:rsidR="00650B16" w:rsidRPr="00871DDF" w:rsidRDefault="00650B16" w:rsidP="00650B16">
      <w:pPr>
        <w:pStyle w:val="Paragrafi"/>
      </w:pPr>
      <w:r w:rsidRPr="00871DDF">
        <w:t>Dega e tatimeve mundet që në çdo kohë, të kontrollojë nëse tatimpaguesi lëshon dokumentet e shitjes, siç përcaktohet në ligj dhe në këtë udhëzim.</w:t>
      </w:r>
    </w:p>
    <w:p w:rsidR="00650B16" w:rsidRPr="00871DDF" w:rsidRDefault="00650B16" w:rsidP="00650B16">
      <w:pPr>
        <w:pStyle w:val="Paragrafi"/>
      </w:pPr>
      <w:r w:rsidRPr="00871DDF">
        <w:t>6.  Kontrolli tatimor dhe verifikimi</w:t>
      </w:r>
    </w:p>
    <w:p w:rsidR="00650B16" w:rsidRPr="00871DDF" w:rsidRDefault="00650B16" w:rsidP="00650B16">
      <w:pPr>
        <w:pStyle w:val="Paragrafi"/>
      </w:pPr>
      <w:r w:rsidRPr="00871DDF">
        <w:t xml:space="preserve">Libri i shitjeve dhe blerjeve duhet të paraqitet në degën e tatimeve në momentin e regjistrimit dhe riregjistrimit. Dega e tatimeve verifikon librin e shitjeve dhe blerjeve për të parë nëse ai është mbajtur konform kërkesave të ligjit. Gjatë çdo kontrolli ose verifikimi të mëtejshëm, dega e tatimeve verifikon nëse tatimpaguesi e përdor rregullisht librin e shitjeve dhe blerjeve, duke zbatuar dënimet administrative në rastet e shkeljeve. Shkelje konsiderohet gjithashtu edhe mospërdorimi i librit. </w:t>
      </w:r>
    </w:p>
    <w:p w:rsidR="00650B16" w:rsidRPr="00871DDF" w:rsidRDefault="00650B16" w:rsidP="00650B16">
      <w:pPr>
        <w:pStyle w:val="Paragrafi"/>
      </w:pPr>
      <w:r w:rsidRPr="00871DDF">
        <w:t>7.  Pagesa</w:t>
      </w:r>
    </w:p>
    <w:p w:rsidR="00650B16" w:rsidRPr="00871DDF" w:rsidRDefault="00650B16" w:rsidP="00650B16">
      <w:pPr>
        <w:pStyle w:val="Paragrafi"/>
      </w:pPr>
      <w:r w:rsidRPr="00871DDF">
        <w:t xml:space="preserve">7.1. Llogaritja e kësteve të pagesës </w:t>
      </w:r>
    </w:p>
    <w:p w:rsidR="00650B16" w:rsidRPr="00871DDF" w:rsidRDefault="00650B16" w:rsidP="00650B16">
      <w:pPr>
        <w:pStyle w:val="Paragrafi"/>
      </w:pPr>
      <w:r w:rsidRPr="00871DDF">
        <w:t>Në vitin e regjistrimit të parë, tatimpaguesi duhet të bëjë një parashikim të qarkullimit  të tij për të gjithë vendndodhjet e regjistruara. Administrata tatimore llogarit këstet e tatimit në bazë të qarkullimit të parashikuar, përveç rasteve kur ekzistojnë të dhëna që tregojnë se parashikimi i bërë nga tatimpaguesi është i pasaktë, situatë në të cilën administrata tatimore mund të përdorë të dhënat që disponon për të rivlerësuar shifrën e qarkullimit të dhënë nga tatimpaguesi dhe të llogarisë këstet në bazë të shifrave të rivlerësuara.</w:t>
      </w:r>
    </w:p>
    <w:p w:rsidR="00650B16" w:rsidRPr="00871DDF" w:rsidRDefault="00650B16" w:rsidP="00650B16">
      <w:pPr>
        <w:pStyle w:val="Paragrafi"/>
      </w:pPr>
      <w:r w:rsidRPr="00871DDF">
        <w:t>Vitin në vijim të vitit të parë të regjistrimit, për qëllimet e përllogaritjes së kesteve, administrata tatimore merr për bazë qarkullimin e realizuar vitin e mëparshem. Në rastet kur tatimpaguesi ka kryer veprimtari vetëm një pjesë te vitit (disa muaj) të mëparshëm, për të llogaritur qarkullimin për vitin vijues do përdoret formula e mëposhtme :</w:t>
      </w:r>
    </w:p>
    <w:p w:rsidR="00650B16" w:rsidRPr="00871DDF" w:rsidRDefault="00650B16" w:rsidP="00650B16">
      <w:pPr>
        <w:pStyle w:val="Paragrafi"/>
      </w:pPr>
      <w:r w:rsidRPr="00871DDF">
        <w:t>12/n x qarkullimin e deklaruar (ku n është numri i muajve të pjesshëm ose të plotë për të cilët është ka patur qarkullim).</w:t>
      </w:r>
    </w:p>
    <w:p w:rsidR="00650B16" w:rsidRPr="00871DDF" w:rsidRDefault="00650B16" w:rsidP="00650B16">
      <w:pPr>
        <w:pStyle w:val="Paragrafi"/>
      </w:pPr>
      <w:r w:rsidRPr="00871DDF">
        <w:t xml:space="preserve">Gjatë vitit, organet tatimore kontrollojnë rregullshmërinë e regjistrimeve të kërkuara ligjore për tatimpaguesit. Për këtë qëllim ato kontrollojnë: lëshimin e kuponit tatimor, të dëftesës tatimore ose faturës së thjeshtë, si dhe regjistrimin e çdonjërit prej këtyre dokumenteve në ditarin e qarkullimit. Ato kontrollojnë gjithashtu edhe evidentimin dhe regjistrimin nga tatimpaguesit të blerjeve (nëpërmjet dokumentacionit përkatës) të realizuara për qëllimet e biznesit (rishitje, përpunim apo shpenzime të tjera). </w:t>
      </w:r>
    </w:p>
    <w:p w:rsidR="00650B16" w:rsidRPr="00871DDF" w:rsidRDefault="00650B16" w:rsidP="00650B16">
      <w:pPr>
        <w:pStyle w:val="Paragrafi"/>
      </w:pPr>
      <w:r w:rsidRPr="00871DDF">
        <w:t xml:space="preserve">Krahas kontrollit të dokumentacionit, punonjësit e kontrollit të organeve tatimore bëjnë jo me pak se 2-3 kontrolle (sondazhe për matjen e xhiros) në vit për çdo tatimpagues, me qëllim vlerësimin e qarkullimit të realizuar nga tatimpaguesi nëpërmjet kronometrimit. Të dhënat e grumbulluara nga kronometrimet shërbejnë për vlerësimin e detyrimeve tatimore si të vitit vijues, ashtu edhe të vitit pasardhës. Për saktësimin e të dhënave të tatimpaguesve, organet tatimore shfrytëzojnë edhe burime të tjera informacioni, me të cilët tatimpaguesi ka operuar (si të dhënat e veprimeve me thesarin, të dhëna nga shkëmbimi i informacionit, të dhëna nga zbërthimi i shitjeve të tatimpaguesve të mëdhenj importues apo prodhues etj). Mbi bazën e regjistrimeve korrekte të mbajtura gjatë gjithë vitit, dhe vlerësimeve nga  kontrollet e organit tatimore, tatimpaguesit llogarisin dhe derdhin tatimin e thjeshtuar mbi fitimin, sipas afateve të përcaktuara në ligj . </w:t>
      </w:r>
    </w:p>
    <w:p w:rsidR="00650B16" w:rsidRPr="00871DDF" w:rsidRDefault="00650B16" w:rsidP="00650B16">
      <w:pPr>
        <w:pStyle w:val="Paragrafi"/>
      </w:pPr>
      <w:r w:rsidRPr="00871DDF">
        <w:t>Kur ekzistojnë të dhëna që tregojnë se deklarimi i bërë nga tatimpaguesi është i pasaktë, administrata tatimore përdor gjithashtu të dhënat e ndryshme që disponon për të rivlerësuar shifrën e qarkullimit të dhënë nga tatimpaguesi dhe të llogarisë këstet në bazë të shifrave të rivlerësuara.</w:t>
      </w:r>
    </w:p>
    <w:p w:rsidR="00650B16" w:rsidRPr="00871DDF" w:rsidRDefault="00650B16" w:rsidP="00650B16">
      <w:pPr>
        <w:pStyle w:val="Paragrafi"/>
      </w:pPr>
      <w:r w:rsidRPr="00871DDF">
        <w:t>Lidhur me llogaritjen e kësteve të pagesës së detyrimeve, në shtojcen B jepet një shembull ilustrues.</w:t>
      </w:r>
    </w:p>
    <w:p w:rsidR="00650B16" w:rsidRPr="00871DDF" w:rsidRDefault="00650B16" w:rsidP="00650B16">
      <w:pPr>
        <w:pStyle w:val="Paragrafi"/>
      </w:pPr>
      <w:r w:rsidRPr="00871DDF">
        <w:t>Po në shtojcen B jepet dhe një shembull ilustrues për shumat dhe afatet e pagesës së kësteve.</w:t>
      </w:r>
    </w:p>
    <w:p w:rsidR="00650B16" w:rsidRPr="00871DDF" w:rsidRDefault="00650B16" w:rsidP="00650B16">
      <w:pPr>
        <w:pStyle w:val="Paragrafi"/>
      </w:pPr>
      <w:r w:rsidRPr="00871DDF">
        <w:t>7.2. Vlerësimi i detyrimeve tatimore shtesë</w:t>
      </w:r>
    </w:p>
    <w:p w:rsidR="00650B16" w:rsidRPr="00871DDF" w:rsidRDefault="00650B16" w:rsidP="00650B16">
      <w:pPr>
        <w:pStyle w:val="Paragrafi"/>
      </w:pPr>
      <w:r w:rsidRPr="00871DDF">
        <w:lastRenderedPageBreak/>
        <w:t xml:space="preserve">Kur vlerësohen detyrimet tatimore shtesë, organet tatimore mund të përdorin metoda alternative vlerësimi të parashikuara në ligjin “Për procedurat tratimore në Republikën e Shqipërisë” dhe udhëzimin në zbatim të tij.  </w:t>
      </w:r>
    </w:p>
    <w:p w:rsidR="00650B16" w:rsidRPr="00871DDF" w:rsidRDefault="00650B16" w:rsidP="00650B16">
      <w:pPr>
        <w:pStyle w:val="Paragrafi"/>
      </w:pPr>
      <w:r w:rsidRPr="00871DDF">
        <w:t xml:space="preserve">Organet tatimore, për rastet kur konstatojnë se dokumentacioni i blerjeve dhe shitjeve nuk është mbajtur konform kërkesave ligjore, që do të thotë se tatimpaguesi nuk pasqyron në mënyrë korrekte xhiron, nuk lëshon në mënyrë korrekte dokumentin e kërkuar për çdo shitje, nuk pasqyron në librat e blerjes të gjitha furnizimet që ka kryer, etj, kanë të drejtë të përdorin metodat alternative të vlerësimit të detyrimit tatimor. Metodat alternative të vlerësimit janë sqaruar në ligjin  “Për procedurat tatimore në Republikën e Shqipërisë” dhe në udhëzimin përkatës të tij. Gjithashtu këto metoda do të përdoren edhe në rastet kur tatimpaguesit nuk deklarojnë të ardhurat e realizuara. Këto metoda do të përfshijnë (por pa u kufizuar vetëm në to) sondazhet dhe fotografimet e kryera lidhur me xhiron, sipërfaqet e prodhimit apo të shërbimit që disponon tatimpaguesi, pozicioni i vendit të biznesit (qendër apo periferi) detyrimet e llogaritura nga tatimpagues të rregullt, por që kanë afërsisht të njëjtat kushte biznesi, sikurse tatimpaguesi të cilit i bëhet vlerësimi etj.  </w:t>
      </w:r>
    </w:p>
    <w:p w:rsidR="00650B16" w:rsidRPr="00871DDF" w:rsidRDefault="00650B16" w:rsidP="00650B16">
      <w:pPr>
        <w:pStyle w:val="Paragrafi"/>
      </w:pPr>
      <w:r w:rsidRPr="00871DDF">
        <w:t xml:space="preserve">7.3. Mënyra e pagesës. </w:t>
      </w:r>
    </w:p>
    <w:p w:rsidR="00650B16" w:rsidRPr="00871DDF" w:rsidRDefault="00650B16" w:rsidP="00650B16">
      <w:pPr>
        <w:pStyle w:val="Paragrafi"/>
      </w:pPr>
      <w:r w:rsidRPr="00871DDF">
        <w:t xml:space="preserve">Pagesa bëhet duke përdorur formularin e pagesës së zakonshme. Përpara pagesës, në formular duhet të vendoset NIPT-i i tatimpaguesit. Tatimi paguhet në një bankë ose zyrë postare, e cila vepron si agjente për Drejtorinë e Përgjithshme të Tatimeve. </w:t>
      </w:r>
    </w:p>
    <w:p w:rsidR="00650B16" w:rsidRPr="00871DDF" w:rsidRDefault="00650B16" w:rsidP="00650B16">
      <w:pPr>
        <w:pStyle w:val="Paragrafi"/>
      </w:pPr>
      <w:r w:rsidRPr="00871DDF">
        <w:t xml:space="preserve">Pagesa bëhet në datën e duhur ose përpara saj në një bankë ose zyrë postare, që ndodhet në rrethin ku është regjistruar tatimpaguesi. Pagesa e pjesshme apo parapagesa për të cilën nuk identifikohet tatimpaguesi duke iu referuar NIPT-it nuk do të pranohet ose, nëse pranohet nga banka apo zyra postare që vepron si agjent për Drejtorinë e Përgjithshme të Tatimeve, nuk do të konsiderohet si pagesë kundrejt atij detyrimi të tatimpaguesit derisa të identifikohet pozitivisht nga organi tatimor se cili është tatimpaguesi që ka bërë pagesën. Nëse ky identifikim bëhet pas datës kur duhet të kryhej pagesa e tatimit, tatimpaguesi do të gjobitet sikur tatimi të ishte paguar në bankë apo zyrën postare në datën e identifikimit.  </w:t>
      </w:r>
    </w:p>
    <w:p w:rsidR="00650B16" w:rsidRPr="00871DDF" w:rsidRDefault="00650B16" w:rsidP="00650B16">
      <w:pPr>
        <w:pStyle w:val="Paragrafi"/>
      </w:pPr>
      <w:r w:rsidRPr="00871DDF">
        <w:t>7.4. Akordimi i të ardhurave</w:t>
      </w:r>
    </w:p>
    <w:p w:rsidR="00650B16" w:rsidRPr="00871DDF" w:rsidRDefault="00650B16" w:rsidP="00650B16">
      <w:pPr>
        <w:pStyle w:val="Paragrafi"/>
      </w:pPr>
      <w:r w:rsidRPr="00871DDF">
        <w:t>Tatimi i mbledhur derdhet në Buxhetin e Shtetit për t’u transferuar eventualisht në buxhetet e çdo bashkie apo komune ku tatimpaguesi ka vendndodhjen e veprimtarisë në përpjestim me qarkullimin e realizuar nga kjo vendndodhje.</w:t>
      </w:r>
    </w:p>
    <w:p w:rsidR="00650B16" w:rsidRPr="00871DDF" w:rsidRDefault="00650B16" w:rsidP="00650B16">
      <w:pPr>
        <w:pStyle w:val="Paragrafi"/>
      </w:pPr>
      <w:r w:rsidRPr="00871DDF">
        <w:t xml:space="preserve">Organi tatimor pajis degën e tatimeve të bashkisë ose komunës me një listë të certifikatave te regjistrimit të lëshuara për vendndodhjet e biznesit brenda juridiksionit të tyre. Kjo listë identifikon qartë emrin dhe NIPT-in e tatimpaguesit, adresën e vendndodhjes së biznesit dhe shumën e tatimit të paguar. </w:t>
      </w:r>
    </w:p>
    <w:p w:rsidR="00650B16" w:rsidRPr="00871DDF" w:rsidRDefault="00650B16" w:rsidP="00650B16">
      <w:pPr>
        <w:pStyle w:val="Paragrafi"/>
      </w:pPr>
      <w:r w:rsidRPr="00871DDF">
        <w:t>Punonjësit e zyrës së tatimeve të bashkisë ose komunës duhet të përdorin këtë informacion për të informuar degën përkatëse të Tatimeve për çdo biznes të njohur, i cili nuk është pajisur me certifikatë regjistrimi.</w:t>
      </w:r>
    </w:p>
    <w:p w:rsidR="00650B16" w:rsidRPr="00871DDF" w:rsidRDefault="00650B16" w:rsidP="00650B16">
      <w:pPr>
        <w:pStyle w:val="Paragrafi"/>
        <w:rPr>
          <w:highlight w:val="green"/>
        </w:rPr>
      </w:pPr>
      <w:r w:rsidRPr="00871DDF">
        <w:t>Kur merr informacione nga bashkia apo komuna për biznese, të cilat nuk janë të pajisura me certifikatë regjistrimi, dega e tatimeve merr masa për t’i regjistruar ato biznese brenda 30 ditësh pas marrjes së informacionit dhe informon bashkinë apo komunën për masat e marra brenda 45 ditësh pas marrjes së informacionit.</w:t>
      </w:r>
    </w:p>
    <w:p w:rsidR="00650B16" w:rsidRPr="00871DDF" w:rsidRDefault="00650B16" w:rsidP="00650B16">
      <w:pPr>
        <w:pStyle w:val="Paragrafi"/>
      </w:pPr>
      <w:r w:rsidRPr="00871DDF">
        <w:t>7.5. Zbritja e detyrimit për regjistrim të hershëm</w:t>
      </w:r>
    </w:p>
    <w:p w:rsidR="00650B16" w:rsidRPr="00871DDF" w:rsidRDefault="00650B16" w:rsidP="00650B16">
      <w:pPr>
        <w:pStyle w:val="Paragrafi"/>
      </w:pPr>
      <w:r w:rsidRPr="00871DDF">
        <w:t>Kur tatimpaguesi e regjistron biznesin e tij përpara datës së përcaktuar në ligj, zbatohet menjëherë një zbritje, duke e zvogëluar pagesën e plotë të tatimit të parashikuar në nenin 32/3 të ligjit. Zbritja zbatohet mbi vlerën e detyrimit të subjektit për pagesën e këstit të parë të tatimit për vitin në të cilin është bërë zbritja.</w:t>
      </w:r>
    </w:p>
    <w:p w:rsidR="00650B16" w:rsidRPr="00871DDF" w:rsidRDefault="00650B16" w:rsidP="00650B16">
      <w:pPr>
        <w:pStyle w:val="Paragrafi"/>
      </w:pPr>
      <w:r w:rsidRPr="00871DDF">
        <w:t>7.6. Rimbursimi i tatimit të paguar më tepër</w:t>
      </w:r>
    </w:p>
    <w:p w:rsidR="00650B16" w:rsidRPr="00871DDF" w:rsidRDefault="00650B16" w:rsidP="00650B16">
      <w:pPr>
        <w:pStyle w:val="Paragrafi"/>
      </w:pPr>
      <w:r w:rsidRPr="00871DDF">
        <w:t>Çdo kërkesë për rimbursim nga ana e tatimpaguesit bëhet duke përdorur formularin e kërkesës për rimbursim dhe paguhet me marrjen e kërkesës dhe pas të gjithë verifikimeve të nevojshme, duke i transferuar në llogarinë bankare të tatimpaguesit.</w:t>
      </w:r>
    </w:p>
    <w:p w:rsidR="00650B16" w:rsidRPr="00871DDF" w:rsidRDefault="00650B16" w:rsidP="00650B16">
      <w:pPr>
        <w:pStyle w:val="Paragrafi"/>
        <w:rPr>
          <w:highlight w:val="green"/>
        </w:rPr>
      </w:pPr>
      <w:r w:rsidRPr="00871DDF">
        <w:t>Ky udhëzim hyn në fuqi menjëherë.</w:t>
      </w:r>
    </w:p>
    <w:p w:rsidR="00650B16" w:rsidRPr="00871DDF" w:rsidRDefault="00650B16" w:rsidP="00650B16">
      <w:pPr>
        <w:pStyle w:val="Autoriteti"/>
      </w:pPr>
      <w:r w:rsidRPr="00871DDF">
        <w:t xml:space="preserve"> MINISTRI I FINANCAVE </w:t>
      </w:r>
    </w:p>
    <w:p w:rsidR="00650B16" w:rsidRPr="00871DDF" w:rsidRDefault="00650B16" w:rsidP="00650B16">
      <w:pPr>
        <w:pStyle w:val="AutoritetiEmer"/>
      </w:pPr>
      <w:r w:rsidRPr="00871DDF">
        <w:t xml:space="preserve">    KASTRIOT ISLAMI</w:t>
      </w:r>
    </w:p>
    <w:p w:rsidR="00650B16" w:rsidRPr="00871DDF" w:rsidRDefault="00650B16" w:rsidP="00650B16">
      <w:pPr>
        <w:pStyle w:val="Paragrafi"/>
      </w:pPr>
    </w:p>
    <w:p w:rsidR="00650B16" w:rsidRPr="00871DDF" w:rsidRDefault="00650B16" w:rsidP="00650B16">
      <w:pPr>
        <w:pStyle w:val="Paragrafi"/>
      </w:pPr>
    </w:p>
    <w:p w:rsidR="00650B16" w:rsidRPr="00803CF6" w:rsidRDefault="00650B16" w:rsidP="00803CF6">
      <w:pPr>
        <w:pStyle w:val="Aneksi"/>
        <w:rPr>
          <w:rStyle w:val="AneksiTitullChar"/>
          <w:b w:val="0"/>
        </w:rPr>
      </w:pPr>
      <w:r w:rsidRPr="00803CF6">
        <w:rPr>
          <w:rStyle w:val="AneksiNrChar"/>
          <w:b w:val="0"/>
        </w:rPr>
        <w:lastRenderedPageBreak/>
        <w:t xml:space="preserve">Shtojca A. </w:t>
      </w:r>
      <w:r w:rsidRPr="00803CF6">
        <w:rPr>
          <w:rStyle w:val="AneksiTitullChar"/>
          <w:b w:val="0"/>
        </w:rPr>
        <w:t>Formati tip i ditarit të qarkullimit</w:t>
      </w:r>
    </w:p>
    <w:p w:rsidR="00650B16" w:rsidRPr="00871DDF" w:rsidRDefault="00650B16" w:rsidP="00803CF6">
      <w:pPr>
        <w:pStyle w:val="Aneksi"/>
      </w:pPr>
      <w:r w:rsidRPr="00871DDF">
        <w:t>Faqe……….</w:t>
      </w:r>
    </w:p>
    <w:p w:rsidR="00650B16" w:rsidRPr="00871DDF" w:rsidRDefault="00650B16" w:rsidP="00803CF6">
      <w:pPr>
        <w:pStyle w:val="Aneksi"/>
      </w:pPr>
      <w:r w:rsidRPr="00871DDF">
        <w:t>Muaji ……………..</w:t>
      </w:r>
    </w:p>
    <w:p w:rsidR="00650B16" w:rsidRPr="00871DDF" w:rsidRDefault="00650B16" w:rsidP="00650B16">
      <w:pPr>
        <w:pStyle w:val="Paragrafi"/>
      </w:pP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
        <w:gridCol w:w="1110"/>
        <w:gridCol w:w="1402"/>
        <w:gridCol w:w="1200"/>
        <w:gridCol w:w="1316"/>
        <w:gridCol w:w="1188"/>
        <w:gridCol w:w="1216"/>
        <w:gridCol w:w="1445"/>
      </w:tblGrid>
      <w:tr w:rsidR="00650B16" w:rsidRPr="00871DDF">
        <w:tblPrEx>
          <w:tblCellMar>
            <w:top w:w="0" w:type="dxa"/>
            <w:bottom w:w="0" w:type="dxa"/>
          </w:tblCellMar>
        </w:tblPrEx>
        <w:tc>
          <w:tcPr>
            <w:tcW w:w="483" w:type="dxa"/>
            <w:tcBorders>
              <w:top w:val="double" w:sz="4" w:space="0" w:color="auto"/>
              <w:left w:val="double" w:sz="4" w:space="0" w:color="auto"/>
              <w:bottom w:val="double" w:sz="4" w:space="0" w:color="auto"/>
            </w:tcBorders>
          </w:tcPr>
          <w:p w:rsidR="00650B16" w:rsidRPr="00871DDF" w:rsidRDefault="00650B16" w:rsidP="0029510A">
            <w:pPr>
              <w:pStyle w:val="Tabele"/>
            </w:pPr>
          </w:p>
          <w:p w:rsidR="00650B16" w:rsidRPr="00871DDF" w:rsidRDefault="00650B16" w:rsidP="0029510A">
            <w:pPr>
              <w:pStyle w:val="Tabele"/>
            </w:pPr>
            <w:r w:rsidRPr="00871DDF">
              <w:t>Nr.</w:t>
            </w:r>
          </w:p>
        </w:tc>
        <w:tc>
          <w:tcPr>
            <w:tcW w:w="1123" w:type="dxa"/>
            <w:tcBorders>
              <w:top w:val="double" w:sz="4" w:space="0" w:color="auto"/>
              <w:bottom w:val="double" w:sz="4" w:space="0" w:color="auto"/>
            </w:tcBorders>
          </w:tcPr>
          <w:p w:rsidR="00650B16" w:rsidRPr="00871DDF" w:rsidRDefault="00650B16" w:rsidP="0029510A">
            <w:pPr>
              <w:pStyle w:val="Tabele"/>
            </w:pPr>
          </w:p>
          <w:p w:rsidR="00650B16" w:rsidRPr="00871DDF" w:rsidRDefault="00650B16" w:rsidP="0029510A">
            <w:pPr>
              <w:pStyle w:val="Tabele"/>
            </w:pPr>
            <w:r w:rsidRPr="00871DDF">
              <w:t>Data</w:t>
            </w:r>
          </w:p>
        </w:tc>
        <w:tc>
          <w:tcPr>
            <w:tcW w:w="1382" w:type="dxa"/>
            <w:tcBorders>
              <w:top w:val="double" w:sz="4" w:space="0" w:color="auto"/>
              <w:bottom w:val="double" w:sz="4" w:space="0" w:color="auto"/>
            </w:tcBorders>
          </w:tcPr>
          <w:p w:rsidR="00650B16" w:rsidRPr="00871DDF" w:rsidRDefault="00650B16" w:rsidP="0029510A">
            <w:pPr>
              <w:pStyle w:val="Tabele"/>
            </w:pPr>
            <w:r w:rsidRPr="00871DDF">
              <w:t>Numrat e dokumenteve të lëshuara</w:t>
            </w:r>
          </w:p>
        </w:tc>
        <w:tc>
          <w:tcPr>
            <w:tcW w:w="1200" w:type="dxa"/>
            <w:tcBorders>
              <w:top w:val="double" w:sz="4" w:space="0" w:color="auto"/>
              <w:bottom w:val="double" w:sz="4" w:space="0" w:color="auto"/>
            </w:tcBorders>
          </w:tcPr>
          <w:p w:rsidR="00650B16" w:rsidRPr="00871DDF" w:rsidRDefault="00650B16" w:rsidP="0029510A">
            <w:pPr>
              <w:pStyle w:val="Tabele"/>
            </w:pPr>
          </w:p>
          <w:p w:rsidR="00650B16" w:rsidRPr="00871DDF" w:rsidRDefault="00650B16" w:rsidP="0029510A">
            <w:pPr>
              <w:pStyle w:val="Tabele"/>
            </w:pPr>
            <w:r w:rsidRPr="00871DDF">
              <w:t>Qarkullimi ditor</w:t>
            </w:r>
          </w:p>
        </w:tc>
        <w:tc>
          <w:tcPr>
            <w:tcW w:w="1320" w:type="dxa"/>
            <w:tcBorders>
              <w:top w:val="double" w:sz="4" w:space="0" w:color="auto"/>
              <w:bottom w:val="double" w:sz="4" w:space="0" w:color="auto"/>
            </w:tcBorders>
          </w:tcPr>
          <w:p w:rsidR="00650B16" w:rsidRPr="00871DDF" w:rsidRDefault="00650B16" w:rsidP="0029510A">
            <w:pPr>
              <w:pStyle w:val="Tabele"/>
            </w:pPr>
          </w:p>
          <w:p w:rsidR="00650B16" w:rsidRPr="00871DDF" w:rsidRDefault="00650B16" w:rsidP="0029510A">
            <w:pPr>
              <w:pStyle w:val="Tabele"/>
            </w:pPr>
            <w:r w:rsidRPr="00871DDF">
              <w:t>Qarkullimi progresiv</w:t>
            </w:r>
          </w:p>
        </w:tc>
        <w:tc>
          <w:tcPr>
            <w:tcW w:w="1200" w:type="dxa"/>
            <w:tcBorders>
              <w:top w:val="double" w:sz="4" w:space="0" w:color="auto"/>
              <w:bottom w:val="double" w:sz="4" w:space="0" w:color="auto"/>
            </w:tcBorders>
          </w:tcPr>
          <w:p w:rsidR="00650B16" w:rsidRPr="00871DDF" w:rsidRDefault="00650B16" w:rsidP="0029510A">
            <w:pPr>
              <w:pStyle w:val="Tabele"/>
            </w:pPr>
          </w:p>
          <w:p w:rsidR="00650B16" w:rsidRPr="00871DDF" w:rsidRDefault="00650B16" w:rsidP="0029510A">
            <w:pPr>
              <w:pStyle w:val="Tabele"/>
            </w:pPr>
            <w:r w:rsidRPr="00871DDF">
              <w:t>Blerje</w:t>
            </w:r>
          </w:p>
        </w:tc>
        <w:tc>
          <w:tcPr>
            <w:tcW w:w="1217" w:type="dxa"/>
            <w:tcBorders>
              <w:top w:val="double" w:sz="4" w:space="0" w:color="auto"/>
              <w:bottom w:val="double" w:sz="4" w:space="0" w:color="auto"/>
            </w:tcBorders>
          </w:tcPr>
          <w:p w:rsidR="00650B16" w:rsidRPr="00871DDF" w:rsidRDefault="00650B16" w:rsidP="0029510A">
            <w:pPr>
              <w:pStyle w:val="Tabele"/>
            </w:pPr>
          </w:p>
          <w:p w:rsidR="00650B16" w:rsidRPr="00871DDF" w:rsidRDefault="00650B16" w:rsidP="0029510A">
            <w:pPr>
              <w:pStyle w:val="Tabele"/>
            </w:pPr>
            <w:r w:rsidRPr="00871DDF">
              <w:t>Shpenzime</w:t>
            </w:r>
          </w:p>
          <w:p w:rsidR="00650B16" w:rsidRPr="00871DDF" w:rsidRDefault="00650B16" w:rsidP="0029510A">
            <w:pPr>
              <w:pStyle w:val="Tabele"/>
            </w:pPr>
            <w:r w:rsidRPr="00871DDF">
              <w:t>të tjera</w:t>
            </w:r>
          </w:p>
        </w:tc>
        <w:tc>
          <w:tcPr>
            <w:tcW w:w="1457" w:type="dxa"/>
            <w:tcBorders>
              <w:top w:val="double" w:sz="4" w:space="0" w:color="auto"/>
              <w:bottom w:val="double" w:sz="4" w:space="0" w:color="auto"/>
              <w:right w:val="double" w:sz="4" w:space="0" w:color="auto"/>
            </w:tcBorders>
          </w:tcPr>
          <w:p w:rsidR="00650B16" w:rsidRPr="00871DDF" w:rsidRDefault="00650B16" w:rsidP="0029510A">
            <w:pPr>
              <w:pStyle w:val="Tabele"/>
            </w:pPr>
          </w:p>
          <w:p w:rsidR="00650B16" w:rsidRPr="00871DDF" w:rsidRDefault="00650B16" w:rsidP="0029510A">
            <w:pPr>
              <w:pStyle w:val="Tabele"/>
            </w:pPr>
            <w:r w:rsidRPr="00871DDF">
              <w:t>Shënime</w:t>
            </w:r>
          </w:p>
        </w:tc>
      </w:tr>
      <w:tr w:rsidR="00650B16" w:rsidRPr="00871DDF">
        <w:tblPrEx>
          <w:tblCellMar>
            <w:top w:w="0" w:type="dxa"/>
            <w:bottom w:w="0" w:type="dxa"/>
          </w:tblCellMar>
        </w:tblPrEx>
        <w:tc>
          <w:tcPr>
            <w:tcW w:w="483" w:type="dxa"/>
            <w:tcBorders>
              <w:top w:val="double" w:sz="4" w:space="0" w:color="auto"/>
              <w:left w:val="double" w:sz="4" w:space="0" w:color="auto"/>
            </w:tcBorders>
          </w:tcPr>
          <w:p w:rsidR="00650B16" w:rsidRPr="00871DDF" w:rsidRDefault="00650B16" w:rsidP="0029510A">
            <w:pPr>
              <w:pStyle w:val="Tabele"/>
            </w:pPr>
            <w:r w:rsidRPr="00871DDF">
              <w:t>1</w:t>
            </w:r>
          </w:p>
        </w:tc>
        <w:tc>
          <w:tcPr>
            <w:tcW w:w="1123" w:type="dxa"/>
            <w:tcBorders>
              <w:top w:val="double" w:sz="4" w:space="0" w:color="auto"/>
            </w:tcBorders>
          </w:tcPr>
          <w:p w:rsidR="00650B16" w:rsidRPr="00871DDF" w:rsidRDefault="00650B16" w:rsidP="0029510A">
            <w:pPr>
              <w:pStyle w:val="Tabele"/>
            </w:pPr>
          </w:p>
        </w:tc>
        <w:tc>
          <w:tcPr>
            <w:tcW w:w="1382" w:type="dxa"/>
            <w:tcBorders>
              <w:top w:val="double" w:sz="4" w:space="0" w:color="auto"/>
            </w:tcBorders>
          </w:tcPr>
          <w:p w:rsidR="00650B16" w:rsidRPr="00871DDF" w:rsidRDefault="00650B16" w:rsidP="0029510A">
            <w:pPr>
              <w:pStyle w:val="Tabele"/>
            </w:pPr>
          </w:p>
        </w:tc>
        <w:tc>
          <w:tcPr>
            <w:tcW w:w="1200" w:type="dxa"/>
            <w:tcBorders>
              <w:top w:val="double" w:sz="4" w:space="0" w:color="auto"/>
            </w:tcBorders>
          </w:tcPr>
          <w:p w:rsidR="00650B16" w:rsidRPr="00871DDF" w:rsidRDefault="00650B16" w:rsidP="0029510A">
            <w:pPr>
              <w:pStyle w:val="Tabele"/>
            </w:pPr>
          </w:p>
        </w:tc>
        <w:tc>
          <w:tcPr>
            <w:tcW w:w="1320" w:type="dxa"/>
            <w:tcBorders>
              <w:top w:val="double" w:sz="4" w:space="0" w:color="auto"/>
            </w:tcBorders>
          </w:tcPr>
          <w:p w:rsidR="00650B16" w:rsidRPr="00871DDF" w:rsidRDefault="00650B16" w:rsidP="0029510A">
            <w:pPr>
              <w:pStyle w:val="Tabele"/>
            </w:pPr>
          </w:p>
        </w:tc>
        <w:tc>
          <w:tcPr>
            <w:tcW w:w="1200" w:type="dxa"/>
            <w:tcBorders>
              <w:top w:val="double" w:sz="4" w:space="0" w:color="auto"/>
            </w:tcBorders>
          </w:tcPr>
          <w:p w:rsidR="00650B16" w:rsidRPr="00871DDF" w:rsidRDefault="00650B16" w:rsidP="0029510A">
            <w:pPr>
              <w:pStyle w:val="Tabele"/>
            </w:pPr>
          </w:p>
        </w:tc>
        <w:tc>
          <w:tcPr>
            <w:tcW w:w="1217" w:type="dxa"/>
            <w:tcBorders>
              <w:top w:val="double" w:sz="4" w:space="0" w:color="auto"/>
            </w:tcBorders>
          </w:tcPr>
          <w:p w:rsidR="00650B16" w:rsidRPr="00871DDF" w:rsidRDefault="00650B16" w:rsidP="0029510A">
            <w:pPr>
              <w:pStyle w:val="Tabele"/>
            </w:pPr>
          </w:p>
        </w:tc>
        <w:tc>
          <w:tcPr>
            <w:tcW w:w="1457" w:type="dxa"/>
            <w:tcBorders>
              <w:top w:val="double" w:sz="4" w:space="0" w:color="auto"/>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3</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4</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5</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6</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7</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8</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9</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10</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11</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12</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13</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14</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15</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16</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17</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18</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19</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20</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21</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22</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23</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24</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25</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26</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27</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tcBorders>
          </w:tcPr>
          <w:p w:rsidR="00650B16" w:rsidRPr="00871DDF" w:rsidRDefault="00650B16" w:rsidP="0029510A">
            <w:pPr>
              <w:pStyle w:val="Tabele"/>
            </w:pPr>
            <w:r w:rsidRPr="00871DDF">
              <w:t>28</w:t>
            </w:r>
          </w:p>
        </w:tc>
        <w:tc>
          <w:tcPr>
            <w:tcW w:w="1123" w:type="dxa"/>
          </w:tcPr>
          <w:p w:rsidR="00650B16" w:rsidRPr="00871DDF" w:rsidRDefault="00650B16" w:rsidP="0029510A">
            <w:pPr>
              <w:pStyle w:val="Tabele"/>
            </w:pPr>
          </w:p>
        </w:tc>
        <w:tc>
          <w:tcPr>
            <w:tcW w:w="1382"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320" w:type="dxa"/>
          </w:tcPr>
          <w:p w:rsidR="00650B16" w:rsidRPr="00871DDF" w:rsidRDefault="00650B16" w:rsidP="0029510A">
            <w:pPr>
              <w:pStyle w:val="Tabele"/>
            </w:pPr>
          </w:p>
        </w:tc>
        <w:tc>
          <w:tcPr>
            <w:tcW w:w="1200" w:type="dxa"/>
          </w:tcPr>
          <w:p w:rsidR="00650B16" w:rsidRPr="00871DDF" w:rsidRDefault="00650B16" w:rsidP="0029510A">
            <w:pPr>
              <w:pStyle w:val="Tabele"/>
            </w:pPr>
          </w:p>
        </w:tc>
        <w:tc>
          <w:tcPr>
            <w:tcW w:w="1217" w:type="dxa"/>
          </w:tcPr>
          <w:p w:rsidR="00650B16" w:rsidRPr="00871DDF" w:rsidRDefault="00650B16" w:rsidP="0029510A">
            <w:pPr>
              <w:pStyle w:val="Tabele"/>
            </w:pPr>
          </w:p>
        </w:tc>
        <w:tc>
          <w:tcPr>
            <w:tcW w:w="1457" w:type="dxa"/>
            <w:tcBorders>
              <w:right w:val="double" w:sz="4" w:space="0" w:color="auto"/>
            </w:tcBorders>
          </w:tcPr>
          <w:p w:rsidR="00650B16" w:rsidRPr="00871DDF" w:rsidRDefault="00650B16" w:rsidP="0029510A">
            <w:pPr>
              <w:pStyle w:val="Tabele"/>
            </w:pPr>
          </w:p>
        </w:tc>
      </w:tr>
      <w:tr w:rsidR="00650B16" w:rsidRPr="00871DDF">
        <w:tblPrEx>
          <w:tblCellMar>
            <w:top w:w="0" w:type="dxa"/>
            <w:bottom w:w="0" w:type="dxa"/>
          </w:tblCellMar>
        </w:tblPrEx>
        <w:tc>
          <w:tcPr>
            <w:tcW w:w="483" w:type="dxa"/>
            <w:tcBorders>
              <w:left w:val="double" w:sz="4" w:space="0" w:color="auto"/>
              <w:bottom w:val="double" w:sz="4" w:space="0" w:color="auto"/>
            </w:tcBorders>
          </w:tcPr>
          <w:p w:rsidR="00650B16" w:rsidRPr="00871DDF" w:rsidRDefault="00650B16" w:rsidP="0029510A">
            <w:pPr>
              <w:pStyle w:val="Tabele"/>
            </w:pPr>
            <w:r w:rsidRPr="00871DDF">
              <w:t>29</w:t>
            </w:r>
          </w:p>
        </w:tc>
        <w:tc>
          <w:tcPr>
            <w:tcW w:w="1123" w:type="dxa"/>
            <w:tcBorders>
              <w:bottom w:val="double" w:sz="4" w:space="0" w:color="auto"/>
            </w:tcBorders>
          </w:tcPr>
          <w:p w:rsidR="00650B16" w:rsidRPr="00871DDF" w:rsidRDefault="00650B16" w:rsidP="0029510A">
            <w:pPr>
              <w:pStyle w:val="Tabele"/>
            </w:pPr>
          </w:p>
        </w:tc>
        <w:tc>
          <w:tcPr>
            <w:tcW w:w="1382" w:type="dxa"/>
            <w:tcBorders>
              <w:bottom w:val="double" w:sz="4" w:space="0" w:color="auto"/>
            </w:tcBorders>
          </w:tcPr>
          <w:p w:rsidR="00650B16" w:rsidRPr="00871DDF" w:rsidRDefault="00650B16" w:rsidP="0029510A">
            <w:pPr>
              <w:pStyle w:val="Tabele"/>
            </w:pPr>
          </w:p>
        </w:tc>
        <w:tc>
          <w:tcPr>
            <w:tcW w:w="1200" w:type="dxa"/>
            <w:tcBorders>
              <w:bottom w:val="double" w:sz="4" w:space="0" w:color="auto"/>
            </w:tcBorders>
          </w:tcPr>
          <w:p w:rsidR="00650B16" w:rsidRPr="00871DDF" w:rsidRDefault="00650B16" w:rsidP="0029510A">
            <w:pPr>
              <w:pStyle w:val="Tabele"/>
            </w:pPr>
          </w:p>
        </w:tc>
        <w:tc>
          <w:tcPr>
            <w:tcW w:w="1320" w:type="dxa"/>
            <w:tcBorders>
              <w:bottom w:val="double" w:sz="4" w:space="0" w:color="auto"/>
            </w:tcBorders>
          </w:tcPr>
          <w:p w:rsidR="00650B16" w:rsidRPr="00871DDF" w:rsidRDefault="00650B16" w:rsidP="0029510A">
            <w:pPr>
              <w:pStyle w:val="Tabele"/>
            </w:pPr>
          </w:p>
        </w:tc>
        <w:tc>
          <w:tcPr>
            <w:tcW w:w="1200" w:type="dxa"/>
            <w:tcBorders>
              <w:bottom w:val="double" w:sz="4" w:space="0" w:color="auto"/>
            </w:tcBorders>
          </w:tcPr>
          <w:p w:rsidR="00650B16" w:rsidRPr="00871DDF" w:rsidRDefault="00650B16" w:rsidP="0029510A">
            <w:pPr>
              <w:pStyle w:val="Tabele"/>
            </w:pPr>
          </w:p>
        </w:tc>
        <w:tc>
          <w:tcPr>
            <w:tcW w:w="1217" w:type="dxa"/>
            <w:tcBorders>
              <w:bottom w:val="double" w:sz="4" w:space="0" w:color="auto"/>
            </w:tcBorders>
          </w:tcPr>
          <w:p w:rsidR="00650B16" w:rsidRPr="00871DDF" w:rsidRDefault="00650B16" w:rsidP="0029510A">
            <w:pPr>
              <w:pStyle w:val="Tabele"/>
            </w:pPr>
          </w:p>
        </w:tc>
        <w:tc>
          <w:tcPr>
            <w:tcW w:w="1457" w:type="dxa"/>
            <w:tcBorders>
              <w:bottom w:val="double" w:sz="4" w:space="0" w:color="auto"/>
            </w:tcBorders>
          </w:tcPr>
          <w:p w:rsidR="00650B16" w:rsidRPr="00871DDF" w:rsidRDefault="00650B16" w:rsidP="0029510A">
            <w:pPr>
              <w:pStyle w:val="Tabele"/>
            </w:pPr>
          </w:p>
        </w:tc>
      </w:tr>
    </w:tbl>
    <w:p w:rsidR="00803CF6" w:rsidRDefault="00803CF6" w:rsidP="00650B16">
      <w:pPr>
        <w:pStyle w:val="Paragrafi"/>
      </w:pPr>
    </w:p>
    <w:p w:rsidR="00803CF6" w:rsidRDefault="00803CF6" w:rsidP="00650B16">
      <w:pPr>
        <w:pStyle w:val="Paragrafi"/>
      </w:pPr>
    </w:p>
    <w:p w:rsidR="00803CF6" w:rsidRDefault="00803CF6" w:rsidP="00650B16">
      <w:pPr>
        <w:pStyle w:val="Paragrafi"/>
      </w:pPr>
    </w:p>
    <w:p w:rsidR="00650B16" w:rsidRPr="00871DDF" w:rsidRDefault="00650B16" w:rsidP="00803CF6">
      <w:pPr>
        <w:pStyle w:val="Aneksi"/>
      </w:pPr>
      <w:r w:rsidRPr="00871DDF">
        <w:t>Shtojca B. Shembuj për ilustrim</w:t>
      </w:r>
    </w:p>
    <w:p w:rsidR="00650B16" w:rsidRDefault="00650B16" w:rsidP="00650B16">
      <w:pPr>
        <w:pStyle w:val="Paragrafi"/>
      </w:pPr>
    </w:p>
    <w:p w:rsidR="00650B16" w:rsidRPr="00871DDF" w:rsidRDefault="00650B16" w:rsidP="00650B16">
      <w:pPr>
        <w:pStyle w:val="Paragrafi"/>
      </w:pPr>
      <w:r w:rsidRPr="00871DDF">
        <w:t>1. Llogaritja e qarkullimit të parashikuar sipas nenit 32/6</w:t>
      </w:r>
    </w:p>
    <w:p w:rsidR="00650B16" w:rsidRPr="00871DDF" w:rsidRDefault="00650B16" w:rsidP="00650B16">
      <w:pPr>
        <w:pStyle w:val="Paragrafi"/>
      </w:pPr>
      <w:r w:rsidRPr="00871DDF">
        <w:t>Tatimpaguesi regjistrohet për të parën herë më 1 korrik 2003. Ai parashikon se qarkullimi i tij për periudhën 1 korrik deri më 31 dhjetor 2003 do të jetë 2.500.000 lekë. Parapagimet për 2003-shin mbështeten mbi qarkullimin e parashikuar prej 2,500.000 lekësh (përveç rastit kur saktësohet nga dega tatimore mbështetur në fakte që flasin për qarkullim më të lartë).</w:t>
      </w:r>
    </w:p>
    <w:p w:rsidR="00650B16" w:rsidRPr="00871DDF" w:rsidRDefault="00650B16" w:rsidP="00650B16">
      <w:pPr>
        <w:pStyle w:val="Paragrafi"/>
      </w:pPr>
      <w:r w:rsidRPr="00871DDF">
        <w:t>Në mars 2004 ai dorëzon deklaratën e tij ku shihet se qarkullimi i tij faktik për periudhën 1 Korrik deri 31 dhjetor 2003 ishte 3.000.000 lekë. Parapagesat e tij për 2004 mbështeten në një qarkullim të parashikuar prej 6.000.000 (12/6 x 3.000.000).</w:t>
      </w:r>
    </w:p>
    <w:p w:rsidR="00650B16" w:rsidRPr="00871DDF" w:rsidRDefault="00650B16" w:rsidP="00650B16">
      <w:pPr>
        <w:pStyle w:val="Paragrafi"/>
      </w:pPr>
      <w:r w:rsidRPr="00871DDF">
        <w:t>Në mars 2005, ai dorëzon një deklaratë ku tregohet se qarkullimi i tij real për periudhën 1 janar deri më 31 dhjetor 2004 ishte 7.000.000. Qarkullimi i parashikuar për 2005 është qarkullimi i vitit të mëparshëm, d.m.th. 7.000.000</w:t>
      </w:r>
    </w:p>
    <w:p w:rsidR="00650B16" w:rsidRPr="00871DDF" w:rsidRDefault="00650B16" w:rsidP="00650B16">
      <w:pPr>
        <w:pStyle w:val="Paragrafi"/>
      </w:pPr>
      <w:r w:rsidRPr="00871DDF">
        <w:t xml:space="preserve">2. Llogaritja e parapagesave dhe pagesave të mbetura sipas nenit 32/6 (2) dhe  (3) me dhe pa </w:t>
      </w:r>
      <w:r w:rsidRPr="00871DDF">
        <w:lastRenderedPageBreak/>
        <w:t>zbritje</w:t>
      </w:r>
    </w:p>
    <w:p w:rsidR="00650B16" w:rsidRPr="00871DDF" w:rsidRDefault="00650B16" w:rsidP="00650B16">
      <w:pPr>
        <w:pStyle w:val="Paragrafi"/>
      </w:pPr>
      <w:r w:rsidRPr="00871DDF">
        <w:t xml:space="preserve">Situata është e njëjtë me atë të shembullit 1. </w:t>
      </w:r>
    </w:p>
    <w:p w:rsidR="00650B16" w:rsidRPr="00871DDF" w:rsidRDefault="00650B16" w:rsidP="00650B16">
      <w:pPr>
        <w:pStyle w:val="Paragrafi"/>
      </w:pPr>
      <w:r w:rsidRPr="00871DDF">
        <w:t>Pagesat e tatimpaguesit për 2003 do të jenë:</w:t>
      </w:r>
    </w:p>
    <w:p w:rsidR="00650B16" w:rsidRPr="00871DDF" w:rsidRDefault="00650B16" w:rsidP="00650B16">
      <w:pPr>
        <w:pStyle w:val="Paragrafi"/>
      </w:pPr>
      <w:r w:rsidRPr="00871DDF">
        <w:t xml:space="preserve"> Parapagesa 1 deri më 30 shtator 2003: (2.500.000 x 4%) x 25% = 25.000</w:t>
      </w:r>
    </w:p>
    <w:p w:rsidR="00650B16" w:rsidRPr="00871DDF" w:rsidRDefault="00650B16" w:rsidP="00650B16">
      <w:pPr>
        <w:pStyle w:val="Paragrafi"/>
      </w:pPr>
      <w:r w:rsidRPr="00871DDF">
        <w:t>Parapagesa 2 deri më 31 dhjetor 2003: (2.500.000 x 4%) x 50% = 50.000</w:t>
      </w:r>
    </w:p>
    <w:p w:rsidR="00650B16" w:rsidRPr="00871DDF" w:rsidRDefault="00650B16" w:rsidP="00650B16">
      <w:pPr>
        <w:pStyle w:val="Paragrafi"/>
      </w:pPr>
      <w:r w:rsidRPr="00871DDF">
        <w:t>Pagesa e mbetur për 2003 deri më 31 mars 2004: (3.000.000 x 4%) – (25.000 + 50.000) = 45.000</w:t>
      </w:r>
    </w:p>
    <w:p w:rsidR="00650B16" w:rsidRPr="00871DDF" w:rsidRDefault="00650B16" w:rsidP="00650B16">
      <w:pPr>
        <w:pStyle w:val="Paragrafi"/>
      </w:pPr>
      <w:r w:rsidRPr="00871DDF">
        <w:t>Parapagesat e tij për 2004 do të jenë:</w:t>
      </w:r>
    </w:p>
    <w:p w:rsidR="00650B16" w:rsidRPr="00871DDF" w:rsidRDefault="00650B16" w:rsidP="00650B16">
      <w:pPr>
        <w:pStyle w:val="Paragrafi"/>
      </w:pPr>
      <w:r w:rsidRPr="00871DDF">
        <w:t>Parapagesa 1 deri më 31 mars 2004: (6.000.000 x 4%) x 25% = 60.000</w:t>
      </w:r>
    </w:p>
    <w:p w:rsidR="00650B16" w:rsidRPr="00871DDF" w:rsidRDefault="00650B16" w:rsidP="00650B16">
      <w:pPr>
        <w:pStyle w:val="Paragrafi"/>
      </w:pPr>
      <w:r w:rsidRPr="00871DDF">
        <w:t>Parapagesa 2 deri më 30 shtator 2004: (6.000.000 x 4%) x 50% = 120.000</w:t>
      </w:r>
    </w:p>
    <w:p w:rsidR="00650B16" w:rsidRPr="00871DDF" w:rsidRDefault="00650B16" w:rsidP="00650B16">
      <w:pPr>
        <w:pStyle w:val="Paragrafi"/>
      </w:pPr>
      <w:r w:rsidRPr="00871DDF">
        <w:t>Pagesa e mbetur për 2004 deri më 31 mars 2005:  (7.000.000 x 4%) – (60.000+120.000) = 100.000</w:t>
      </w:r>
    </w:p>
    <w:p w:rsidR="00650B16" w:rsidRPr="00871DDF" w:rsidRDefault="00650B16" w:rsidP="00650B16">
      <w:pPr>
        <w:pStyle w:val="Paragrafi"/>
      </w:pPr>
      <w:r w:rsidRPr="00871DDF">
        <w:t>(Nëse regjistrimi është plotësuar më 31 janar 2004 pagesa e mbetur do të zvoglohet me 2% të shumës së plotë: 280.000 x 2% = 5.600 dhe pagesa e mbetur do të jetë 94.400)</w:t>
      </w:r>
    </w:p>
    <w:p w:rsidR="00650B16" w:rsidRPr="00871DDF" w:rsidRDefault="00650B16" w:rsidP="00650B16">
      <w:pPr>
        <w:pStyle w:val="Paragrafi"/>
      </w:pPr>
      <w:r w:rsidRPr="00871DDF">
        <w:t>Parapagesat e tij për 2005 do të jenë:</w:t>
      </w:r>
    </w:p>
    <w:p w:rsidR="00650B16" w:rsidRPr="00871DDF" w:rsidRDefault="00650B16" w:rsidP="00650B16">
      <w:pPr>
        <w:pStyle w:val="Paragrafi"/>
      </w:pPr>
      <w:r w:rsidRPr="00871DDF">
        <w:t>Parapagesa 1 deri më 31 mars 2005: (7.000.000 x 4%) x 25% = 70.000</w:t>
      </w:r>
    </w:p>
    <w:p w:rsidR="00650B16" w:rsidRPr="00871DDF" w:rsidRDefault="00650B16" w:rsidP="00650B16">
      <w:pPr>
        <w:pStyle w:val="Paragrafi"/>
      </w:pPr>
      <w:r w:rsidRPr="00871DDF">
        <w:t>Parapagesa 2 deri më 30 shtator 2005: (7.000.000 x 4%) x 50% = 140.000</w:t>
      </w:r>
    </w:p>
    <w:p w:rsidR="00650B16" w:rsidRPr="00871DDF" w:rsidRDefault="00650B16" w:rsidP="00650B16">
      <w:pPr>
        <w:pStyle w:val="Paragrafi"/>
      </w:pPr>
      <w:r w:rsidRPr="00871DDF">
        <w:t xml:space="preserve">3. Llogaritja e detyrimit tatimor në mbyllje të veprimtarisë sipas nenit 38 (5) </w:t>
      </w:r>
    </w:p>
    <w:p w:rsidR="00650B16" w:rsidRPr="00871DDF" w:rsidRDefault="00650B16" w:rsidP="00650B16">
      <w:pPr>
        <w:pStyle w:val="Paragrafi"/>
      </w:pPr>
      <w:r w:rsidRPr="00871DDF">
        <w:t>Në mars 2005, një tatimpagues dorëzon një deklaratë ku tregohet se qarkullimi i tij faktik për periudhën 1 janar deri më 31 dhjetor 2004 ishte 2.000.000. Prandaj, parapagesat e tij për 2005 janë:</w:t>
      </w:r>
    </w:p>
    <w:p w:rsidR="00650B16" w:rsidRPr="00871DDF" w:rsidRDefault="00650B16" w:rsidP="00650B16">
      <w:pPr>
        <w:pStyle w:val="Paragrafi"/>
      </w:pPr>
      <w:r w:rsidRPr="00871DDF">
        <w:t>Parapagesa 1 deri më 31 mars 2005: (2.000.000 x 4%) x 25% = 20.000</w:t>
      </w:r>
    </w:p>
    <w:p w:rsidR="00650B16" w:rsidRPr="00871DDF" w:rsidRDefault="00650B16" w:rsidP="00650B16">
      <w:pPr>
        <w:pStyle w:val="Paragrafi"/>
      </w:pPr>
      <w:r w:rsidRPr="00871DDF">
        <w:t>Parapagesa 2 deri më 30 shtator 2005: (2.000.000 x 4%) x 50% = 40.000</w:t>
      </w:r>
    </w:p>
    <w:p w:rsidR="00650B16" w:rsidRPr="00871DDF" w:rsidRDefault="00650B16" w:rsidP="00650B16">
      <w:pPr>
        <w:pStyle w:val="Paragrafi"/>
      </w:pPr>
      <w:r w:rsidRPr="00871DDF">
        <w:t>Situata (a)</w:t>
      </w:r>
    </w:p>
    <w:p w:rsidR="00650B16" w:rsidRPr="00871DDF" w:rsidRDefault="00650B16" w:rsidP="00650B16">
      <w:pPr>
        <w:pStyle w:val="Paragrafi"/>
      </w:pPr>
      <w:r w:rsidRPr="00871DDF">
        <w:t>Tatimpaguesi e ndërpret veprimtarinë më 30 qershor 2005, kur ka bërë parapagesën e parë në mars. Ai dorëzon një deklaratë ku tregon se qarkullimi i tij për periudhën 1 Janar 2005 deri më 30 Qershor 2005 ishte 8 000 000.</w:t>
      </w:r>
    </w:p>
    <w:p w:rsidR="00650B16" w:rsidRPr="00871DDF" w:rsidRDefault="00650B16" w:rsidP="00650B16">
      <w:pPr>
        <w:pStyle w:val="Paragrafi"/>
      </w:pPr>
      <w:r w:rsidRPr="00871DDF">
        <w:t>Detyrimi i pashlyer për 2005 është (8 000 000 x 4%) – 20.000 = 120.000</w:t>
      </w:r>
    </w:p>
    <w:p w:rsidR="00650B16" w:rsidRPr="00871DDF" w:rsidRDefault="00650B16" w:rsidP="00650B16">
      <w:pPr>
        <w:pStyle w:val="Paragrafi"/>
      </w:pPr>
      <w:r w:rsidRPr="00871DDF">
        <w:t>Ai duhet të paguajë edhe 12.000 brenda 15 ditësh nga mbyllja e veprimtarisë.</w:t>
      </w:r>
    </w:p>
    <w:p w:rsidR="00650B16" w:rsidRPr="00871DDF" w:rsidRDefault="00650B16" w:rsidP="00650B16">
      <w:pPr>
        <w:pStyle w:val="Paragrafi"/>
      </w:pPr>
      <w:r w:rsidRPr="00871DDF">
        <w:t>Situata (b)</w:t>
      </w:r>
    </w:p>
    <w:p w:rsidR="00650B16" w:rsidRPr="00871DDF" w:rsidRDefault="00650B16" w:rsidP="00650B16">
      <w:pPr>
        <w:pStyle w:val="Paragrafi"/>
      </w:pPr>
      <w:r w:rsidRPr="00871DDF">
        <w:t>Tatimapaguesi ndërpret veprimtarinë më 31 tetor, pasi ka bërë të dy parapagesat. Ai dorëzon një deklaratë ku tregon se qarkullimi i tij për periudhën 1 janar deri më 31 tetor 2005 do të jetë 1.200.000.</w:t>
      </w:r>
    </w:p>
    <w:p w:rsidR="00650B16" w:rsidRPr="00871DDF" w:rsidRDefault="00650B16" w:rsidP="00650B16">
      <w:pPr>
        <w:pStyle w:val="Paragrafi"/>
      </w:pPr>
    </w:p>
    <w:p w:rsidR="00650B16" w:rsidRPr="00871DDF" w:rsidRDefault="00650B16" w:rsidP="00650B16">
      <w:pPr>
        <w:pStyle w:val="Paragrafi"/>
      </w:pPr>
      <w:r w:rsidRPr="00871DDF">
        <w:t>Detyrimi i tij i pashlyer për 2005 është (1.200.000 x 4%) – 60.000 = (12.000) rimbursim</w:t>
      </w:r>
    </w:p>
    <w:p w:rsidR="00650B16" w:rsidRPr="00871DDF" w:rsidRDefault="00650B16" w:rsidP="00650B16">
      <w:pPr>
        <w:pStyle w:val="Paragrafi"/>
      </w:pPr>
      <w:r w:rsidRPr="00871DDF">
        <w:t>Dega tatimore duhet të përdorë pagesën e tepërt prej 12.000 për të shlyrë detyrime të tjera ose do ta rimbursojë atë brenda 30 ditësh nga marrja e deklaratës së mbylljes.</w:t>
      </w:r>
    </w:p>
    <w:p w:rsidR="00650B16" w:rsidRPr="00871DDF" w:rsidRDefault="00650B16" w:rsidP="00650B16">
      <w:pPr>
        <w:pStyle w:val="Paragrafi"/>
      </w:pPr>
    </w:p>
    <w:p w:rsidR="00A0784B" w:rsidRPr="00650B16" w:rsidRDefault="00A0784B" w:rsidP="00650B16"/>
    <w:sectPr w:rsidR="00A0784B" w:rsidRPr="00650B1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3FE7"/>
    <w:rsid w:val="000176B9"/>
    <w:rsid w:val="000637B6"/>
    <w:rsid w:val="00074162"/>
    <w:rsid w:val="00075BF5"/>
    <w:rsid w:val="000B29AB"/>
    <w:rsid w:val="00134ADF"/>
    <w:rsid w:val="00187855"/>
    <w:rsid w:val="001A58B2"/>
    <w:rsid w:val="001C6C3D"/>
    <w:rsid w:val="001C7978"/>
    <w:rsid w:val="0022170D"/>
    <w:rsid w:val="0024715A"/>
    <w:rsid w:val="0029510A"/>
    <w:rsid w:val="002C6BAB"/>
    <w:rsid w:val="00383FD5"/>
    <w:rsid w:val="003E06F6"/>
    <w:rsid w:val="003F043A"/>
    <w:rsid w:val="00470F9C"/>
    <w:rsid w:val="004F1BD8"/>
    <w:rsid w:val="0050367C"/>
    <w:rsid w:val="00504A56"/>
    <w:rsid w:val="00507AF2"/>
    <w:rsid w:val="00543147"/>
    <w:rsid w:val="00545117"/>
    <w:rsid w:val="0058563C"/>
    <w:rsid w:val="005A53C5"/>
    <w:rsid w:val="00650B16"/>
    <w:rsid w:val="006A37D8"/>
    <w:rsid w:val="0074183C"/>
    <w:rsid w:val="007B0B5A"/>
    <w:rsid w:val="00803CF6"/>
    <w:rsid w:val="0080475E"/>
    <w:rsid w:val="008072B9"/>
    <w:rsid w:val="008521B4"/>
    <w:rsid w:val="00881600"/>
    <w:rsid w:val="009C29DF"/>
    <w:rsid w:val="009F72BC"/>
    <w:rsid w:val="00A0784B"/>
    <w:rsid w:val="00A246D1"/>
    <w:rsid w:val="00A826E4"/>
    <w:rsid w:val="00A923BE"/>
    <w:rsid w:val="00AA4D4B"/>
    <w:rsid w:val="00BB5AB5"/>
    <w:rsid w:val="00BC6B73"/>
    <w:rsid w:val="00BD570D"/>
    <w:rsid w:val="00C22BA7"/>
    <w:rsid w:val="00C36B40"/>
    <w:rsid w:val="00C7710C"/>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DD8C96D-8F9C-49F9-9406-8D735AC4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803CF6"/>
    <w:rPr>
      <w:rFonts w:ascii="CG Times" w:hAnsi="CG Times"/>
      <w:sz w:val="22"/>
      <w:lang w:eastAsia="en-US"/>
    </w:rPr>
  </w:style>
  <w:style w:type="paragraph" w:customStyle="1" w:styleId="AneksiNr">
    <w:name w:val="Aneksi_Nr"/>
    <w:next w:val="Normal"/>
    <w:link w:val="AneksiNrChar"/>
    <w:rsid w:val="00074162"/>
    <w:pPr>
      <w:keepNext/>
      <w:widowControl w:val="0"/>
      <w:jc w:val="center"/>
    </w:pPr>
    <w:rPr>
      <w:rFonts w:ascii="CG Times" w:hAnsi="CG Times"/>
      <w:b/>
      <w:sz w:val="22"/>
      <w:lang w:eastAsia="en-US"/>
    </w:rPr>
  </w:style>
  <w:style w:type="paragraph" w:customStyle="1" w:styleId="AneksiTitull">
    <w:name w:val="Aneksi_Titull"/>
    <w:next w:val="Normal"/>
    <w:link w:val="AneksiTitullChar"/>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autoRedefine/>
    <w:rsid w:val="006A37D8"/>
    <w:pPr>
      <w:jc w:val="center"/>
    </w:pPr>
    <w:rPr>
      <w:rFonts w:ascii="CG Times" w:hAnsi="CG Times"/>
      <w:caps/>
      <w:sz w:val="22"/>
      <w:szCs w:val="22"/>
      <w:lang w:eastAsia="en-US"/>
    </w:rPr>
  </w:style>
  <w:style w:type="paragraph" w:customStyle="1" w:styleId="Kapakufund">
    <w:name w:val="Kapaku_fund"/>
    <w:next w:val="Normal"/>
    <w:autoRedefine/>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enpika">
    <w:name w:val="Nenpika"/>
    <w:next w:val="Normal"/>
    <w:autoRedefine/>
    <w:rsid w:val="006A37D8"/>
    <w:pPr>
      <w:ind w:firstLine="720"/>
    </w:pPr>
    <w:rPr>
      <w:rFonts w:ascii="CG Times" w:hAnsi="CG Times"/>
      <w:sz w:val="22"/>
      <w:lang w:val="en-US" w:eastAsia="en-US"/>
    </w:rPr>
  </w:style>
  <w:style w:type="paragraph" w:customStyle="1" w:styleId="NumerKreu">
    <w:name w:val="Numer_Kreu"/>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Neni">
    <w:name w:val="Numer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Seksioni">
    <w:name w:val="Numer_Seksio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Titulli">
    <w:name w:val="Numer_Titull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a">
    <w:name w:val="Pika"/>
    <w:next w:val="Normal"/>
    <w:autoRedefine/>
    <w:rsid w:val="006A37D8"/>
    <w:pPr>
      <w:ind w:firstLine="720"/>
    </w:pPr>
    <w:rPr>
      <w:rFonts w:ascii="CG Times" w:hAnsi="CG Times"/>
      <w:sz w:val="22"/>
      <w:lang w:val="en-US" w:eastAsia="en-US"/>
    </w:rPr>
  </w:style>
  <w:style w:type="paragraph" w:customStyle="1" w:styleId="PikeKreu">
    <w:name w:val="Pike_Kreu"/>
    <w:basedOn w:val="Heading1"/>
    <w:rsid w:val="00074162"/>
    <w:pPr>
      <w:spacing w:before="0" w:after="0"/>
    </w:pPr>
    <w:rPr>
      <w:rFonts w:ascii="CG Times" w:hAnsi="CG Times" w:cs="Times New Roman"/>
      <w:b/>
      <w:bCs w:val="0"/>
      <w:caps/>
      <w:kern w:val="0"/>
      <w:sz w:val="22"/>
      <w:szCs w:val="22"/>
      <w:lang w:val="en-GB"/>
    </w:rPr>
  </w:style>
  <w:style w:type="paragraph" w:customStyle="1" w:styleId="Pjesa">
    <w:name w:val="Pjesa"/>
    <w:autoRedefine/>
    <w:rsid w:val="006A37D8"/>
    <w:rPr>
      <w:rFonts w:ascii="CG Times" w:hAnsi="CG Times"/>
      <w:sz w:val="22"/>
      <w:lang w:eastAsia="en-US"/>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ekstBold">
    <w:name w:val="Tekst_Bold"/>
    <w:next w:val="Normal"/>
    <w:autoRedefine/>
    <w:rsid w:val="006A37D8"/>
    <w:rPr>
      <w:rFonts w:ascii="CG Times" w:hAnsi="CG Times"/>
      <w:b/>
      <w:sz w:val="22"/>
      <w:lang w:eastAsia="en-US"/>
    </w:rPr>
  </w:style>
  <w:style w:type="paragraph" w:customStyle="1" w:styleId="TekstNeni">
    <w:name w:val="Tekst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TekstNormal">
    <w:name w:val="Tekst_Normal"/>
    <w:next w:val="Normal"/>
    <w:autoRedefine/>
    <w:rsid w:val="006A37D8"/>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AneksiNrChar">
    <w:name w:val="Aneksi_Nr Char"/>
    <w:basedOn w:val="DefaultParagraphFont"/>
    <w:link w:val="AneksiNr"/>
    <w:rsid w:val="00803CF6"/>
    <w:rPr>
      <w:rFonts w:ascii="CG Times" w:hAnsi="CG Times"/>
      <w:b/>
      <w:sz w:val="22"/>
      <w:lang w:val="en-GB" w:eastAsia="en-US" w:bidi="ar-SA"/>
    </w:rPr>
  </w:style>
  <w:style w:type="character" w:customStyle="1" w:styleId="AneksiTitullChar">
    <w:name w:val="Aneksi_Titull Char"/>
    <w:basedOn w:val="DefaultParagraphFont"/>
    <w:link w:val="AneksiTitull"/>
    <w:rsid w:val="00803CF6"/>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2998</Words>
  <Characters>17091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Gladi</dc:creator>
  <cp:keywords/>
  <dc:description/>
  <cp:lastModifiedBy>Inida Noga</cp:lastModifiedBy>
  <cp:revision>2</cp:revision>
  <dcterms:created xsi:type="dcterms:W3CDTF">2019-03-14T16:04:00Z</dcterms:created>
  <dcterms:modified xsi:type="dcterms:W3CDTF">2019-03-14T16:04:00Z</dcterms:modified>
</cp:coreProperties>
</file>