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208" w:rsidRPr="00BA0216" w:rsidRDefault="00250208" w:rsidP="00250208">
      <w:pPr>
        <w:pStyle w:val="Akti"/>
      </w:pPr>
      <w:bookmarkStart w:id="0" w:name="_GoBack"/>
      <w:bookmarkEnd w:id="0"/>
      <w:r w:rsidRPr="00BA0216">
        <w:t>U D H Ë Z i M</w:t>
      </w:r>
    </w:p>
    <w:p w:rsidR="00250208" w:rsidRPr="00BA0216" w:rsidRDefault="00250208" w:rsidP="00250208">
      <w:pPr>
        <w:pStyle w:val="NumriData"/>
      </w:pPr>
      <w:r w:rsidRPr="00BA0216">
        <w:t>Nr.10, datë 12.3.2003</w:t>
      </w:r>
    </w:p>
    <w:p w:rsidR="00250208" w:rsidRPr="00BA0216" w:rsidRDefault="00250208" w:rsidP="00250208">
      <w:pPr>
        <w:pStyle w:val="NumriData"/>
      </w:pPr>
    </w:p>
    <w:p w:rsidR="00250208" w:rsidRPr="00BA0216" w:rsidRDefault="00250208" w:rsidP="00250208">
      <w:pPr>
        <w:pStyle w:val="Titulli"/>
      </w:pPr>
      <w:r w:rsidRPr="00BA0216">
        <w:t>"PËR PËRCAKTIMIN E SKEMËS SË DUHUR PËR SHTYPJEN E PËRQENDRUAR TË BILETAVE, SHPËRNDARJEN DHE KONTROLLIN E HEDHJES SË TYRE NË PËRDORIM"</w:t>
      </w:r>
    </w:p>
    <w:p w:rsidR="00250208" w:rsidRPr="00BA0216" w:rsidRDefault="00250208" w:rsidP="00250208">
      <w:pPr>
        <w:pStyle w:val="Paragrafi"/>
      </w:pPr>
    </w:p>
    <w:p w:rsidR="00250208" w:rsidRPr="00BA0216" w:rsidRDefault="00250208" w:rsidP="00250208">
      <w:pPr>
        <w:pStyle w:val="BazLigjPropozues"/>
      </w:pPr>
      <w:r w:rsidRPr="00BA0216">
        <w:t>Në mbështetje të nenit 102 pika 4 e Kushtetutës dhe në zbatim të ligjit nr. 8701, datë 1.12.2000 "Për lojrat e fatit, kazinotë dhe hipodromet" neni 6 pika 6 dhe vendimit të Këshillit të Ministrave 239, datë 13.4.2002 "Për organizimin, funksionimin dhe përgjegjësitë e Komitetit të Lojrave të Fatit" pika 5 paragrafi 5,</w:t>
      </w:r>
    </w:p>
    <w:p w:rsidR="00250208" w:rsidRPr="00BA0216" w:rsidRDefault="00250208" w:rsidP="00250208">
      <w:pPr>
        <w:pStyle w:val="Paragrafi"/>
      </w:pPr>
    </w:p>
    <w:p w:rsidR="00250208" w:rsidRPr="00BA0216" w:rsidRDefault="00250208" w:rsidP="00250208">
      <w:pPr>
        <w:pStyle w:val="VENDOSI"/>
      </w:pPr>
      <w:r w:rsidRPr="00BA0216">
        <w:t>U D H Ë Z O J:</w:t>
      </w:r>
    </w:p>
    <w:p w:rsidR="00250208" w:rsidRPr="00BA0216" w:rsidRDefault="00250208" w:rsidP="00250208">
      <w:pPr>
        <w:pStyle w:val="Paragrafi"/>
      </w:pPr>
    </w:p>
    <w:p w:rsidR="00250208" w:rsidRPr="00BA0216" w:rsidRDefault="00250208" w:rsidP="00250208">
      <w:pPr>
        <w:pStyle w:val="Paragrafi"/>
      </w:pPr>
      <w:r w:rsidRPr="00BA0216">
        <w:t>1. Shtypja e biletave të lojrave të fatit do të kryhet nga vetë shoqëritë që ushtrojnë veprimtarinë në fushën e lojrave të fatit në përputhje me ligjin dhe aktet nënligjore.</w:t>
      </w:r>
    </w:p>
    <w:p w:rsidR="00250208" w:rsidRPr="00BA0216" w:rsidRDefault="00250208" w:rsidP="00250208">
      <w:pPr>
        <w:pStyle w:val="Paragrafi"/>
      </w:pPr>
      <w:r w:rsidRPr="00BA0216">
        <w:t>2. Shoqëritë e lojrave të fatit paraqesin në Drejtorinë e Lojrave të Fatit kontratën me shtypshkronjën brenda 15 ditëve nga hyrja në fuqi e këtij udhëzimi.</w:t>
      </w:r>
    </w:p>
    <w:p w:rsidR="00250208" w:rsidRPr="00BA0216" w:rsidRDefault="00250208" w:rsidP="00250208">
      <w:pPr>
        <w:pStyle w:val="Paragrafi"/>
      </w:pPr>
      <w:r w:rsidRPr="00BA0216">
        <w:t>3. Drejtoria e Lorjave të Fatit dhe mbikëqyrësi i emëruar nga Ministri i Financave pranë shoqërisë, ushtrojnë kontroll e mbikëqyrje në procesin e shtypjes dhe shpërndarjes së biletave nga shtypshkronja në magazinën e shoqërisë së licencuar. Kjo të përcaktohet qartë nga shoqëria në kontratën me shtypshkronjën.</w:t>
      </w:r>
    </w:p>
    <w:p w:rsidR="00250208" w:rsidRPr="00BA0216" w:rsidRDefault="00250208" w:rsidP="00250208">
      <w:pPr>
        <w:pStyle w:val="Paragrafi"/>
      </w:pPr>
      <w:r w:rsidRPr="00BA0216">
        <w:t>4. Mbikëqyrësi i shoqërisë mban regjistrat përkatës në momentin e shpërndarjes së biletave sipas salllave apo pikave të shitjes së tyre.</w:t>
      </w:r>
    </w:p>
    <w:p w:rsidR="00250208" w:rsidRPr="00BA0216" w:rsidRDefault="00250208" w:rsidP="00250208">
      <w:pPr>
        <w:pStyle w:val="Paragrafi"/>
      </w:pPr>
      <w:r w:rsidRPr="00BA0216">
        <w:t>5. Në kontratën me shtypshkronjën do të përcaktohet data e fillimit të shtypjes së biletave, sasia në copë e biletave, numri serial i biletave, çmimi i shtypjes së biletave, specifikimet teknike të biletave dhe vendosja e elementeve të sigurisë në biletë. Për biletat e llotarive, grupi "llotari me fitim në çaste" në kontratë, do të përcaktohet CD-ja me kodet e sigurisë, si dhe me çmimet fituese për biletat, që do të depozitohen pranë Drejtorisë së Lojërave të Fatit, nga shtypshkronja në bashkëpunim me shoqëritë e licencuara. Kjo CD hapet  vetëm me përfundimin e lojës dhe në prani të subjektit që ka zhvilluar lojën.</w:t>
      </w:r>
    </w:p>
    <w:p w:rsidR="00250208" w:rsidRPr="00BA0216" w:rsidRDefault="00250208" w:rsidP="00250208">
      <w:pPr>
        <w:pStyle w:val="Paragrafi"/>
      </w:pPr>
      <w:r w:rsidRPr="00BA0216">
        <w:t>6. Për çdo biletë të re shoqëria është e detyruar të paraqesë kërkesën për miratim në Ministrinë e Financave së bashku me standardin e biletës bashkëngjitur. Kjo biletë do të hidhet në qarkullim vetëm pas miratimit nga Ministri i Financave.</w:t>
      </w:r>
    </w:p>
    <w:p w:rsidR="00250208" w:rsidRPr="00BA0216" w:rsidRDefault="00250208" w:rsidP="00250208">
      <w:pPr>
        <w:pStyle w:val="Paragrafi"/>
      </w:pPr>
      <w:r w:rsidRPr="00BA0216">
        <w:t>7. Biletat do të shtypen nga shoqëria e licencuar në mënyrë të përqendruar (vetëm në një shtypshkronjë).</w:t>
      </w:r>
    </w:p>
    <w:p w:rsidR="00250208" w:rsidRPr="00BA0216" w:rsidRDefault="00250208" w:rsidP="00250208">
      <w:pPr>
        <w:pStyle w:val="Paragrafi"/>
      </w:pPr>
      <w:r w:rsidRPr="00BA0216">
        <w:t>8. Subjekti i licencuar është i detyruar të njoftojë zyrtarisht Drejtorinë e Lojërave  të Fatit dhe mbikëqyrësin e emëruar nga Ministri i Financave, 1 (një) muaj para datës së fillimit të shtypjes së biletës së miratuar nga Ministri i Financave.</w:t>
      </w:r>
    </w:p>
    <w:p w:rsidR="00250208" w:rsidRPr="00BA0216" w:rsidRDefault="00250208" w:rsidP="00250208">
      <w:pPr>
        <w:pStyle w:val="Paragrafi"/>
      </w:pPr>
      <w:r w:rsidRPr="00BA0216">
        <w:t>9. Shoqëria e lojërave të fatit detyrohet të njoftojë brenda 10 ditëve zyrtarisht Ministrinë e Financave në raste ndryshimi ose rinovimi të kontratës me shtypshkronjën përkatëse.</w:t>
      </w:r>
    </w:p>
    <w:p w:rsidR="00250208" w:rsidRPr="00BA0216" w:rsidRDefault="00250208" w:rsidP="00250208">
      <w:pPr>
        <w:pStyle w:val="Paragrafi"/>
      </w:pPr>
      <w:r w:rsidRPr="00BA0216">
        <w:t>Ky udhëzim hyn në fuqi menjëherë.</w:t>
      </w:r>
    </w:p>
    <w:p w:rsidR="00250208" w:rsidRPr="00BA0216" w:rsidRDefault="00250208" w:rsidP="00250208">
      <w:pPr>
        <w:pStyle w:val="Paragrafi"/>
      </w:pPr>
    </w:p>
    <w:p w:rsidR="00250208" w:rsidRPr="00BA0216" w:rsidRDefault="00250208" w:rsidP="00250208">
      <w:pPr>
        <w:pStyle w:val="Autoriteti"/>
      </w:pPr>
      <w:r w:rsidRPr="00BA0216">
        <w:t>MinistRI</w:t>
      </w:r>
    </w:p>
    <w:p w:rsidR="00250208" w:rsidRPr="00BA0216" w:rsidRDefault="00250208" w:rsidP="00250208">
      <w:pPr>
        <w:pStyle w:val="AutoritetiEmer"/>
      </w:pPr>
      <w:r w:rsidRPr="00BA0216">
        <w:t>Kastriot Islami</w:t>
      </w:r>
    </w:p>
    <w:p w:rsidR="00250208" w:rsidRPr="00BA0216" w:rsidRDefault="00250208" w:rsidP="00250208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0208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663E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9DC33D-574D-4549-9B86-6C5C98B0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