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E9A" w:rsidRPr="00BA0216" w:rsidRDefault="00090E9A" w:rsidP="00090E9A">
      <w:pPr>
        <w:pStyle w:val="Paragrafi"/>
      </w:pPr>
      <w:bookmarkStart w:id="0" w:name="_GoBack"/>
      <w:bookmarkEnd w:id="0"/>
    </w:p>
    <w:p w:rsidR="00090E9A" w:rsidRPr="00BA0216" w:rsidRDefault="00090E9A" w:rsidP="00090E9A">
      <w:pPr>
        <w:pStyle w:val="Akti"/>
      </w:pPr>
      <w:r w:rsidRPr="00BA0216">
        <w:t>U D H Ë Z i M</w:t>
      </w:r>
    </w:p>
    <w:p w:rsidR="00090E9A" w:rsidRPr="00BA0216" w:rsidRDefault="00090E9A" w:rsidP="00090E9A">
      <w:pPr>
        <w:pStyle w:val="NumriData"/>
      </w:pPr>
      <w:r w:rsidRPr="00BA0216">
        <w:t>Nr.15, datë 16.7.2003</w:t>
      </w:r>
    </w:p>
    <w:p w:rsidR="00090E9A" w:rsidRPr="00BA0216" w:rsidRDefault="00090E9A" w:rsidP="00090E9A">
      <w:pPr>
        <w:pStyle w:val="Paragrafi"/>
      </w:pPr>
    </w:p>
    <w:p w:rsidR="00090E9A" w:rsidRPr="00BA0216" w:rsidRDefault="00090E9A" w:rsidP="00090E9A">
      <w:pPr>
        <w:pStyle w:val="Titulli"/>
      </w:pPr>
      <w:r w:rsidRPr="00BA0216">
        <w:t>"PËR procedurat e hapjes dhe mbylljes së sallave të lojërave aritmetike, elektronike dhe pikave të lojërave të fatit sportive"</w:t>
      </w:r>
    </w:p>
    <w:p w:rsidR="00090E9A" w:rsidRPr="00BA0216" w:rsidRDefault="00090E9A" w:rsidP="00090E9A">
      <w:pPr>
        <w:pStyle w:val="Paragrafi"/>
      </w:pPr>
    </w:p>
    <w:p w:rsidR="00090E9A" w:rsidRPr="00BA0216" w:rsidRDefault="00090E9A" w:rsidP="00090E9A">
      <w:pPr>
        <w:pStyle w:val="BazLigjPropozues"/>
      </w:pPr>
      <w:r w:rsidRPr="00BA0216">
        <w:t>Në mbështetje të nenit 102/4 të Kushtetutës së Republikës të Shqipërisë, ligjit nr.8701, datë 1.12.2000 "Për lojërat e Fatit, Kazinotë dhe Hipodromet" dhe në zbatim të nenit 1 pika 2 të vendimit të Këshillit të Ministrave nr.238, datë 13.4.2001 "Për kriteret e dhënies së lejes për lojërat e fatit kazinotë dhe hipodromet" Ministri i Financave</w:t>
      </w:r>
    </w:p>
    <w:p w:rsidR="00090E9A" w:rsidRPr="00BA0216" w:rsidRDefault="00090E9A" w:rsidP="00090E9A">
      <w:pPr>
        <w:pStyle w:val="Paragrafi"/>
      </w:pPr>
    </w:p>
    <w:p w:rsidR="00090E9A" w:rsidRPr="00BA0216" w:rsidRDefault="00090E9A" w:rsidP="00090E9A">
      <w:pPr>
        <w:pStyle w:val="VENDOSI"/>
      </w:pPr>
      <w:r w:rsidRPr="00BA0216">
        <w:t>U D H Ë Z O N:</w:t>
      </w:r>
    </w:p>
    <w:p w:rsidR="00090E9A" w:rsidRPr="00BA0216" w:rsidRDefault="00090E9A" w:rsidP="00090E9A">
      <w:pPr>
        <w:pStyle w:val="Paragrafi"/>
      </w:pPr>
    </w:p>
    <w:p w:rsidR="00090E9A" w:rsidRPr="00BA0216" w:rsidRDefault="00090E9A" w:rsidP="00090E9A">
      <w:pPr>
        <w:pStyle w:val="Paragrafi"/>
      </w:pPr>
      <w:r w:rsidRPr="00BA0216">
        <w:t>1. Shoqëritë e lojërave të fatit për hapjen e sallave të reja të lojërave aritmetike dhe elektronike duhet të paraqesin në Drejtorinë e Lojërave të Fatit, kazinove dhe Hipodromeve pranë Ministrisë së Financave dokumentacionin e mëposhtëm:</w:t>
      </w:r>
    </w:p>
    <w:p w:rsidR="00090E9A" w:rsidRPr="00BA0216" w:rsidRDefault="00090E9A" w:rsidP="00090E9A">
      <w:pPr>
        <w:pStyle w:val="Paragrafi"/>
      </w:pPr>
      <w:r w:rsidRPr="00BA0216">
        <w:t>a) Kërkesë për hapjen e sallës dhe adresën e saktë të saj.</w:t>
      </w:r>
    </w:p>
    <w:p w:rsidR="00090E9A" w:rsidRPr="00BA0216" w:rsidRDefault="00090E9A" w:rsidP="00090E9A">
      <w:pPr>
        <w:pStyle w:val="Paragrafi"/>
      </w:pPr>
      <w:r w:rsidRPr="00BA0216">
        <w:t>b) Të dhënat e mëposhtme për personelin e sallës:</w:t>
      </w:r>
    </w:p>
    <w:p w:rsidR="00090E9A" w:rsidRPr="00BA0216" w:rsidRDefault="00090E9A" w:rsidP="00090E9A">
      <w:pPr>
        <w:pStyle w:val="Paragrafi"/>
      </w:pPr>
      <w:r w:rsidRPr="00BA0216">
        <w:t>1. Certifikatë personale të personelit</w:t>
      </w:r>
    </w:p>
    <w:p w:rsidR="00090E9A" w:rsidRPr="00BA0216" w:rsidRDefault="00090E9A" w:rsidP="00090E9A">
      <w:pPr>
        <w:pStyle w:val="Paragrafi"/>
      </w:pPr>
      <w:r w:rsidRPr="00BA0216">
        <w:t>2. Vërtetim të gjendjes gjyqësore të personelit</w:t>
      </w:r>
    </w:p>
    <w:p w:rsidR="00090E9A" w:rsidRPr="00BA0216" w:rsidRDefault="00090E9A" w:rsidP="00090E9A">
      <w:pPr>
        <w:pStyle w:val="Paragrafi"/>
      </w:pPr>
      <w:r w:rsidRPr="00BA0216">
        <w:t>3. Dëshmi kualifikimi të personelit</w:t>
      </w:r>
    </w:p>
    <w:p w:rsidR="00090E9A" w:rsidRPr="00BA0216" w:rsidRDefault="00090E9A" w:rsidP="00090E9A">
      <w:pPr>
        <w:pStyle w:val="Paragrafi"/>
      </w:pPr>
      <w:r w:rsidRPr="00BA0216">
        <w:t>4. Kontratë pune të personelit.</w:t>
      </w:r>
    </w:p>
    <w:p w:rsidR="00090E9A" w:rsidRPr="00BA0216" w:rsidRDefault="00090E9A" w:rsidP="00090E9A">
      <w:pPr>
        <w:pStyle w:val="Paragrafi"/>
      </w:pPr>
      <w:r w:rsidRPr="00BA0216">
        <w:t>c) Certifikimi nga Drejtoria e Përgjithshme e Metrologjisë dhe Kalibrimit e teknologjisë përkatëse.</w:t>
      </w:r>
    </w:p>
    <w:p w:rsidR="00090E9A" w:rsidRPr="00BA0216" w:rsidRDefault="00090E9A" w:rsidP="00090E9A">
      <w:pPr>
        <w:pStyle w:val="Paragrafi"/>
      </w:pPr>
      <w:r w:rsidRPr="00BA0216">
        <w:t>d) Garancinë për fituesin e lojës për automate ose sallë bingo.</w:t>
      </w:r>
    </w:p>
    <w:p w:rsidR="00090E9A" w:rsidRPr="00BA0216" w:rsidRDefault="00090E9A" w:rsidP="00090E9A">
      <w:pPr>
        <w:pStyle w:val="Paragrafi"/>
      </w:pPr>
      <w:r w:rsidRPr="00BA0216">
        <w:t>e) Vërtetimin e pronësisë ose kontratën e qirasë për sallën e re.</w:t>
      </w:r>
    </w:p>
    <w:p w:rsidR="00090E9A" w:rsidRPr="00BA0216" w:rsidRDefault="00090E9A" w:rsidP="00090E9A">
      <w:pPr>
        <w:pStyle w:val="Paragrafi"/>
      </w:pPr>
      <w:r w:rsidRPr="00BA0216">
        <w:t>f) Vërtetim pronësie, deklaratë zhdoganimi dhe certifikatë origjine për pajisjet.</w:t>
      </w:r>
    </w:p>
    <w:p w:rsidR="00090E9A" w:rsidRPr="00BA0216" w:rsidRDefault="00090E9A" w:rsidP="00090E9A">
      <w:pPr>
        <w:pStyle w:val="Paragrafi"/>
      </w:pPr>
      <w:r w:rsidRPr="00BA0216">
        <w:t>g) Rregulloret përkatëse për lojërat që do të zhvillohen në këto salla.</w:t>
      </w:r>
    </w:p>
    <w:p w:rsidR="00090E9A" w:rsidRPr="00BA0216" w:rsidRDefault="00090E9A" w:rsidP="00090E9A">
      <w:pPr>
        <w:pStyle w:val="Paragrafi"/>
      </w:pPr>
      <w:r w:rsidRPr="00BA0216">
        <w:t>h) Standardin e biletës për sallat e bingos.</w:t>
      </w:r>
    </w:p>
    <w:p w:rsidR="00090E9A" w:rsidRPr="00BA0216" w:rsidRDefault="00090E9A" w:rsidP="00090E9A">
      <w:pPr>
        <w:pStyle w:val="Paragrafi"/>
      </w:pPr>
      <w:r w:rsidRPr="00BA0216">
        <w:t>2. Shoqëritë e lojërave të fatit, për  hapjen e pikave të lojërave të fatit sportive duhet të paraqesin në Drejtorinë e Lojërave të Fatit, Kazinove dhe Hipodromeve pranë Ministrisë së Financave dokumentacionin e mëposhtëm:</w:t>
      </w:r>
    </w:p>
    <w:p w:rsidR="00090E9A" w:rsidRPr="00BA0216" w:rsidRDefault="00090E9A" w:rsidP="00090E9A">
      <w:pPr>
        <w:pStyle w:val="Paragrafi"/>
      </w:pPr>
      <w:r w:rsidRPr="00BA0216">
        <w:t>a) Kërkesë për hapjen e pikave dhe adresën e saktë të saj.</w:t>
      </w:r>
    </w:p>
    <w:p w:rsidR="00090E9A" w:rsidRPr="00BA0216" w:rsidRDefault="00090E9A" w:rsidP="00090E9A">
      <w:pPr>
        <w:pStyle w:val="Paragrafi"/>
      </w:pPr>
      <w:r w:rsidRPr="00BA0216">
        <w:t>b) Akte blerjeje, fatura të tjera për teknologjinë përkatëse.</w:t>
      </w:r>
    </w:p>
    <w:p w:rsidR="00090E9A" w:rsidRPr="00BA0216" w:rsidRDefault="00090E9A" w:rsidP="00090E9A">
      <w:pPr>
        <w:pStyle w:val="Paragrafi"/>
      </w:pPr>
      <w:r w:rsidRPr="00BA0216">
        <w:t>c) Vërtetim të gjendjes gjyqësore për personelin e pikës së lojërave të fatit sportive.</w:t>
      </w:r>
    </w:p>
    <w:p w:rsidR="00090E9A" w:rsidRPr="00BA0216" w:rsidRDefault="00090E9A" w:rsidP="00090E9A">
      <w:pPr>
        <w:pStyle w:val="Paragrafi"/>
      </w:pPr>
      <w:r w:rsidRPr="00BA0216">
        <w:t>d) Kontratë pune të personelit të pikave të lojërave të fatit sportive.</w:t>
      </w:r>
    </w:p>
    <w:p w:rsidR="00090E9A" w:rsidRPr="00BA0216" w:rsidRDefault="00090E9A" w:rsidP="00090E9A">
      <w:pPr>
        <w:pStyle w:val="Paragrafi"/>
      </w:pPr>
      <w:r w:rsidRPr="00BA0216">
        <w:t>e) Dëshmi kualifikimi për personelin e pikës së lojërave të fatit sportive.</w:t>
      </w:r>
    </w:p>
    <w:p w:rsidR="00090E9A" w:rsidRPr="00BA0216" w:rsidRDefault="00090E9A" w:rsidP="00090E9A">
      <w:pPr>
        <w:pStyle w:val="Paragrafi"/>
      </w:pPr>
      <w:r w:rsidRPr="00BA0216">
        <w:t>f) Vërtetimin e pronësisë së pikave të lojërave të fatit sportive ose kontratën e qirasë.</w:t>
      </w:r>
    </w:p>
    <w:p w:rsidR="00090E9A" w:rsidRPr="00BA0216" w:rsidRDefault="00090E9A" w:rsidP="00090E9A">
      <w:pPr>
        <w:pStyle w:val="Paragrafi"/>
      </w:pPr>
      <w:r w:rsidRPr="00BA0216">
        <w:t>3. Shoqëritë e lojërave të fatit për mbylljen e sallave të lojërave aritmetike, elektronike dhe të pikave të lojërave të fatit sportive duhet të paraqesin në Drejtorinë e Lojërave të Fatit, Kazinove dhe Hipodromeve pranë Ministrisë së Financave dokumentacionin e mëposhtëm:</w:t>
      </w:r>
    </w:p>
    <w:p w:rsidR="00090E9A" w:rsidRPr="00BA0216" w:rsidRDefault="00090E9A" w:rsidP="00090E9A">
      <w:pPr>
        <w:pStyle w:val="Paragrafi"/>
      </w:pPr>
      <w:r w:rsidRPr="00BA0216">
        <w:t>a) Kërkesë për mbylljen e sallës.</w:t>
      </w:r>
    </w:p>
    <w:p w:rsidR="00090E9A" w:rsidRPr="00BA0216" w:rsidRDefault="00090E9A" w:rsidP="00090E9A">
      <w:pPr>
        <w:pStyle w:val="Paragrafi"/>
      </w:pPr>
      <w:r w:rsidRPr="00BA0216">
        <w:t>b) Vërtetim për shlyerjen e detyrimeve tatimore për sallat e lojërave aritmetike, elektronike.</w:t>
      </w:r>
    </w:p>
    <w:p w:rsidR="00090E9A" w:rsidRPr="00BA0216" w:rsidRDefault="00090E9A" w:rsidP="00090E9A">
      <w:pPr>
        <w:pStyle w:val="Paragrafi"/>
      </w:pPr>
      <w:r w:rsidRPr="00BA0216">
        <w:t>c) Zgjidhjen e kontratës për ambientet e marra me qira.</w:t>
      </w:r>
    </w:p>
    <w:p w:rsidR="00090E9A" w:rsidRPr="00BA0216" w:rsidRDefault="00090E9A" w:rsidP="00090E9A">
      <w:pPr>
        <w:pStyle w:val="Paragrafi"/>
      </w:pPr>
      <w:r w:rsidRPr="00BA0216">
        <w:t>4. Brenda 3 mujorit të parë të vitit shoqëritë e lojërave të fatit duhet të paraqesin në Drejtorinë e Lojërave të Fatit listën e personave që do të trajnohen për marrjen e dëshmive të kualifikimit në fushën e lojërave të fatit.</w:t>
      </w:r>
    </w:p>
    <w:p w:rsidR="00090E9A" w:rsidRPr="00BA0216" w:rsidRDefault="00090E9A" w:rsidP="00090E9A">
      <w:pPr>
        <w:pStyle w:val="Paragrafi"/>
      </w:pPr>
      <w:r w:rsidRPr="00BA0216">
        <w:t>5. Shoqëritë e lojërave të fatit, për transferimin e automateve të miratuara nga sallat ekzistuese në salla të tjera duhet të paraqesin në Drejtorinë e Lojërave të Fatit, Kazinove dhe Hipodromeve pranë Ministrisë së Financave dokumentacionin e mëposhtëm:</w:t>
      </w:r>
    </w:p>
    <w:p w:rsidR="00090E9A" w:rsidRPr="00BA0216" w:rsidRDefault="00090E9A" w:rsidP="00090E9A">
      <w:pPr>
        <w:pStyle w:val="Paragrafi"/>
      </w:pPr>
      <w:r w:rsidRPr="00BA0216">
        <w:t>a) Kërkesë për transferimin e automateve.</w:t>
      </w:r>
    </w:p>
    <w:p w:rsidR="00090E9A" w:rsidRPr="00BA0216" w:rsidRDefault="00090E9A" w:rsidP="00090E9A">
      <w:pPr>
        <w:pStyle w:val="Paragrafi"/>
      </w:pPr>
      <w:r w:rsidRPr="00BA0216">
        <w:t>b) Arsyet e transferimit të automateve.</w:t>
      </w:r>
    </w:p>
    <w:p w:rsidR="00090E9A" w:rsidRPr="00BA0216" w:rsidRDefault="00090E9A" w:rsidP="00090E9A">
      <w:pPr>
        <w:pStyle w:val="Paragrafi"/>
      </w:pPr>
      <w:r w:rsidRPr="00BA0216">
        <w:t xml:space="preserve">6. Mbyllja e sallave të lojërave aritmetike, elektronike dhe pikave të lojërave të fatit sportive nuk mund të bëhet pa kaluar 1 (një) vit nga dita e miratimit të tyre nga Ministria e Financave. Kjo </w:t>
      </w:r>
      <w:r w:rsidRPr="00BA0216">
        <w:lastRenderedPageBreak/>
        <w:t>mbyllje mund të bëhet përpara këtij afati vetëm për shkaqe të jashtëzakonshme.</w:t>
      </w:r>
    </w:p>
    <w:p w:rsidR="00090E9A" w:rsidRPr="00BA0216" w:rsidRDefault="00090E9A" w:rsidP="00090E9A">
      <w:pPr>
        <w:pStyle w:val="Paragrafi"/>
      </w:pPr>
      <w:r w:rsidRPr="00BA0216">
        <w:t>7. Transferimi i automateve nuk mund të bëhet pa kaluar 6 (gjashtë) muaj nga data e miratimit të tyre nga Ministria e Financave.</w:t>
      </w:r>
    </w:p>
    <w:p w:rsidR="00090E9A" w:rsidRPr="00BA0216" w:rsidRDefault="00090E9A" w:rsidP="00090E9A">
      <w:pPr>
        <w:pStyle w:val="Paragrafi"/>
      </w:pPr>
      <w:r w:rsidRPr="00BA0216">
        <w:t>Ky udhëzim hyn në fuqi menjëherë.</w:t>
      </w:r>
    </w:p>
    <w:p w:rsidR="00090E9A" w:rsidRPr="00BA0216" w:rsidRDefault="00090E9A" w:rsidP="00090E9A">
      <w:pPr>
        <w:pStyle w:val="Paragrafi"/>
      </w:pPr>
    </w:p>
    <w:p w:rsidR="00090E9A" w:rsidRPr="00BA0216" w:rsidRDefault="00090E9A" w:rsidP="00090E9A">
      <w:pPr>
        <w:pStyle w:val="Autoriteti"/>
      </w:pPr>
      <w:r w:rsidRPr="00BA0216">
        <w:t>MINISTRI</w:t>
      </w:r>
    </w:p>
    <w:p w:rsidR="00090E9A" w:rsidRPr="00BA0216" w:rsidRDefault="00090E9A" w:rsidP="00090E9A">
      <w:pPr>
        <w:pStyle w:val="AutoritetiEmer"/>
      </w:pPr>
      <w:r w:rsidRPr="00BA0216">
        <w:t>Kastriot Islami</w:t>
      </w:r>
    </w:p>
    <w:p w:rsidR="00090E9A" w:rsidRPr="00BA0216" w:rsidRDefault="00090E9A" w:rsidP="00090E9A">
      <w:pPr>
        <w:pStyle w:val="Paragrafi"/>
      </w:pPr>
    </w:p>
    <w:p w:rsidR="00090E9A" w:rsidRPr="00AA3124" w:rsidRDefault="00090E9A" w:rsidP="00090E9A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090E9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80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017E7">
      <w:r>
        <w:separator/>
      </w:r>
    </w:p>
  </w:endnote>
  <w:endnote w:type="continuationSeparator" w:id="0">
    <w:p w:rsidR="00000000" w:rsidRDefault="0040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E9A" w:rsidRDefault="00090E9A" w:rsidP="00090E9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0E9A" w:rsidRDefault="00090E9A" w:rsidP="00090E9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E9A" w:rsidRPr="00984834" w:rsidRDefault="00090E9A" w:rsidP="00090E9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84834">
      <w:rPr>
        <w:rStyle w:val="PageNumber"/>
        <w:rFonts w:ascii="CG Times" w:hAnsi="CG Times"/>
        <w:sz w:val="22"/>
        <w:szCs w:val="22"/>
      </w:rPr>
      <w:fldChar w:fldCharType="begin"/>
    </w:r>
    <w:r w:rsidRPr="0098483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84834">
      <w:rPr>
        <w:rStyle w:val="PageNumber"/>
        <w:rFonts w:ascii="CG Times" w:hAnsi="CG Times"/>
        <w:sz w:val="22"/>
        <w:szCs w:val="22"/>
      </w:rPr>
      <w:fldChar w:fldCharType="separate"/>
    </w:r>
    <w:r w:rsidR="004017E7">
      <w:rPr>
        <w:rStyle w:val="PageNumber"/>
        <w:rFonts w:ascii="CG Times" w:hAnsi="CG Times"/>
        <w:noProof/>
        <w:sz w:val="22"/>
        <w:szCs w:val="22"/>
      </w:rPr>
      <w:t>2810</w:t>
    </w:r>
    <w:r w:rsidRPr="00984834">
      <w:rPr>
        <w:rStyle w:val="PageNumber"/>
        <w:rFonts w:ascii="CG Times" w:hAnsi="CG Times"/>
        <w:sz w:val="22"/>
        <w:szCs w:val="22"/>
      </w:rPr>
      <w:fldChar w:fldCharType="end"/>
    </w:r>
  </w:p>
  <w:p w:rsidR="00090E9A" w:rsidRDefault="00090E9A">
    <w:pPr>
      <w:pStyle w:val="Footer"/>
      <w:framePr w:wrap="auto" w:vAnchor="text" w:hAnchor="page" w:x="1582" w:y="-45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017E7">
      <w:r>
        <w:separator/>
      </w:r>
    </w:p>
  </w:footnote>
  <w:footnote w:type="continuationSeparator" w:id="0">
    <w:p w:rsidR="00000000" w:rsidRDefault="00401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90E9A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17E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44D1C6-C58A-412B-8B95-729AD0CE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E9A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styleId="PageNumber">
    <w:name w:val="page number"/>
    <w:basedOn w:val="DefaultParagraphFont"/>
    <w:rsid w:val="00090E9A"/>
  </w:style>
  <w:style w:type="paragraph" w:styleId="Footer">
    <w:name w:val="footer"/>
    <w:basedOn w:val="Normal"/>
    <w:rsid w:val="00090E9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2019-03-14T16:28:00Z</dcterms:created>
  <dcterms:modified xsi:type="dcterms:W3CDTF">2019-03-14T16:28:00Z</dcterms:modified>
</cp:coreProperties>
</file>