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485" w:rsidRDefault="000A2485" w:rsidP="000A2485">
      <w:pPr>
        <w:pStyle w:val="Akti"/>
        <w:keepNext w:val="0"/>
      </w:pPr>
      <w:bookmarkStart w:id="0" w:name="_GoBack"/>
      <w:bookmarkEnd w:id="0"/>
      <w:r>
        <w:t xml:space="preserve">Udhëzim </w:t>
      </w:r>
    </w:p>
    <w:p w:rsidR="000A2485" w:rsidRDefault="000A2485" w:rsidP="000A2485">
      <w:pPr>
        <w:pStyle w:val="NumriData"/>
        <w:keepNext w:val="0"/>
      </w:pPr>
      <w:r>
        <w:t>Nr.7/1, datë 3.8.2004</w:t>
      </w:r>
    </w:p>
    <w:p w:rsidR="000A2485" w:rsidRDefault="000A2485" w:rsidP="000A2485">
      <w:pPr>
        <w:pStyle w:val="Paragrafi"/>
      </w:pPr>
    </w:p>
    <w:p w:rsidR="000A2485" w:rsidRDefault="000A2485" w:rsidP="000A2485">
      <w:pPr>
        <w:pStyle w:val="Titulli"/>
        <w:keepNext w:val="0"/>
      </w:pPr>
      <w:r>
        <w:t>Për një ndryshim në Udhëzimin Nr.7, datë 10.2.2004 "Për tatimin mbi vlerën e shtuar"</w:t>
      </w:r>
    </w:p>
    <w:p w:rsidR="000A2485" w:rsidRDefault="000A2485" w:rsidP="000A2485">
      <w:pPr>
        <w:pStyle w:val="Paragrafi"/>
      </w:pPr>
    </w:p>
    <w:p w:rsidR="000A2485" w:rsidRDefault="000A2485" w:rsidP="000A2485">
      <w:pPr>
        <w:pStyle w:val="BazLigjPropozues"/>
        <w:keepNext w:val="0"/>
      </w:pPr>
      <w:r>
        <w:t>Në mbështetje të nenit 102 pika 4 të Kushtetutës së Republikës të Shqipërisë, si dhe në zbatim të ligjit nr.7928, datë 27.4.1995 "Për tatimin mbi vlerën e shtuar", i ndryshuar, Ministri i Financave</w:t>
      </w:r>
    </w:p>
    <w:p w:rsidR="000A2485" w:rsidRDefault="000A2485" w:rsidP="000A2485">
      <w:pPr>
        <w:pStyle w:val="Paragrafi"/>
      </w:pPr>
    </w:p>
    <w:p w:rsidR="000A2485" w:rsidRDefault="000A2485" w:rsidP="000A2485">
      <w:pPr>
        <w:pStyle w:val="VENDOSI"/>
        <w:keepNext w:val="0"/>
      </w:pPr>
      <w:r>
        <w:t>Udhëzon:</w:t>
      </w:r>
    </w:p>
    <w:p w:rsidR="000A2485" w:rsidRDefault="000A2485" w:rsidP="000A2485">
      <w:pPr>
        <w:pStyle w:val="Paragrafi"/>
      </w:pPr>
    </w:p>
    <w:p w:rsidR="000A2485" w:rsidRDefault="000A2485" w:rsidP="000A2485">
      <w:pPr>
        <w:pStyle w:val="Paragrafi"/>
      </w:pPr>
      <w:r>
        <w:t>1. Në udhëzimin nr.7, datë 10.2.2004  "Për tatimin mbi vlerën e shtuar", pika 16 "Ambalazhet qarkulluese" ndryshohet si më poshtë:</w:t>
      </w:r>
    </w:p>
    <w:p w:rsidR="000A2485" w:rsidRDefault="000A2485" w:rsidP="000A2485">
      <w:pPr>
        <w:pStyle w:val="Paragrafi"/>
      </w:pPr>
      <w:r>
        <w:t>16. "Ambalazhet"</w:t>
      </w:r>
    </w:p>
    <w:p w:rsidR="000A2485" w:rsidRDefault="000A2485" w:rsidP="000A2485">
      <w:pPr>
        <w:pStyle w:val="Paragrafi"/>
      </w:pPr>
      <w:r>
        <w:t>Ambalazhet mund të jenë qarkulluese dhe të pakthyeshme. Në funksion të këtij dallimi ndryshon edhe mënyra e aplikimit të TVSH-së.</w:t>
      </w:r>
    </w:p>
    <w:p w:rsidR="000A2485" w:rsidRDefault="000A2485" w:rsidP="000A2485">
      <w:pPr>
        <w:pStyle w:val="Paragrafi"/>
      </w:pPr>
      <w:r>
        <w:t>16.1 Ambalazhet qarkulluese</w:t>
      </w:r>
    </w:p>
    <w:p w:rsidR="000A2485" w:rsidRDefault="000A2485" w:rsidP="000A2485">
      <w:pPr>
        <w:pStyle w:val="Paragrafi"/>
      </w:pPr>
      <w:r>
        <w:t>Janë ambalazhe të natyrës si kontenier, qelqe, arka, etj. Ambalazhet qarkulluese si rregull furnizohen së bashku dhe në të njëjtën kohë me mallrat që ata përmbajnë.</w:t>
      </w:r>
    </w:p>
    <w:p w:rsidR="000A2485" w:rsidRDefault="000A2485" w:rsidP="000A2485">
      <w:pPr>
        <w:pStyle w:val="Paragrafi"/>
      </w:pPr>
      <w:r>
        <w:t>Këto llojë ambalazhesh jepen nga shitësi (furnitori), së bashku me mallin në to në drejtim të blerësit (klientit); ato ruhen provizorisht nga blerësi dhe më pas kthehen nga ky i fundit përsëri në drejtim të shitësit.</w:t>
      </w:r>
    </w:p>
    <w:p w:rsidR="000A2485" w:rsidRDefault="000A2485" w:rsidP="000A2485">
      <w:pPr>
        <w:pStyle w:val="Paragrafi"/>
      </w:pPr>
      <w:r>
        <w:t>Blerja e ambalazheve nga shitësit i jep atij të drejtën e kreditimit të TVSH-së sipas rregullave të parashikuara në nenin 33 të ligjit për TVSH-në.</w:t>
      </w:r>
    </w:p>
    <w:p w:rsidR="000A2485" w:rsidRDefault="000A2485" w:rsidP="000A2485">
      <w:pPr>
        <w:pStyle w:val="Paragrafi"/>
      </w:pPr>
      <w:r>
        <w:t>Ambalazhet që i jepen blerësit nga shitësi (më saktë vlera e tyre), nuk përfshihen në vlerën e tatueshme të mallrave që ato shoqërojnë gjatë furnizimit.</w:t>
      </w:r>
    </w:p>
    <w:p w:rsidR="000A2485" w:rsidRDefault="000A2485" w:rsidP="000A2485">
      <w:pPr>
        <w:pStyle w:val="Paragrafi"/>
      </w:pPr>
      <w:r>
        <w:t>Ambalazhet që i janë dhënë blerësit, duhet të kthehen te shitësi brenda një afati normal sipas fushës së aktivitetit të cilit ato i takojnë. Ky afat varion edhe sipas natyrës së produktit që ambalazhet, përmbajnë dhe duhet paraqitur në kontratën e lidhur mes palëve.</w:t>
      </w:r>
    </w:p>
    <w:p w:rsidR="000A2485" w:rsidRDefault="000A2485" w:rsidP="000A2485">
      <w:pPr>
        <w:pStyle w:val="Paragrafi"/>
      </w:pPr>
      <w:r>
        <w:t>Si kushte për mospërfshirjen e vlerës së ambalazheve në vlerën e tatueshme të mallrave që ato përmbajnë duhet që:</w:t>
      </w:r>
    </w:p>
    <w:p w:rsidR="000A2485" w:rsidRDefault="000A2485" w:rsidP="000A2485">
      <w:pPr>
        <w:pStyle w:val="Paragrafi"/>
      </w:pPr>
      <w:r>
        <w:t>- Së pari, ato nuk duhet të jenë faturuar nga shitësi;</w:t>
      </w:r>
    </w:p>
    <w:p w:rsidR="000A2485" w:rsidRDefault="000A2485" w:rsidP="000A2485">
      <w:pPr>
        <w:pStyle w:val="Paragrafi"/>
      </w:pPr>
      <w:r>
        <w:t>- Së dyti, duhet të ekzistojë një kontratë e lidhur midis palëve për dhënien dhe kthimin e ambalazheve. Njëkohësisht, në kontratë duhet të paraqitet edhe afati i kthimit të ambalazheve nga blerësi te shitësi.</w:t>
      </w:r>
    </w:p>
    <w:p w:rsidR="000A2485" w:rsidRDefault="000A2485" w:rsidP="000A2485">
      <w:pPr>
        <w:pStyle w:val="Paragrafi"/>
      </w:pPr>
      <w:r>
        <w:t>Ambalazhet që blerësi nuk i kthen te shitësi konsiderohen sikur të ishin shitur dhe i nënshtrohen TVSH-së mbi vlerën e tyre.</w:t>
      </w:r>
    </w:p>
    <w:p w:rsidR="000A2485" w:rsidRDefault="000A2485" w:rsidP="000A2485">
      <w:pPr>
        <w:pStyle w:val="Paragrafi"/>
      </w:pPr>
      <w:r>
        <w:t>16.2 Ambalazhet e pakthyeshme</w:t>
      </w:r>
    </w:p>
    <w:p w:rsidR="000A2485" w:rsidRDefault="000A2485" w:rsidP="000A2485">
      <w:pPr>
        <w:pStyle w:val="Paragrafi"/>
      </w:pPr>
      <w:r>
        <w:t>Janë ambalazhe të natyrës, si: kartona, shishe plastike, qese plastike etj.</w:t>
      </w:r>
    </w:p>
    <w:p w:rsidR="000A2485" w:rsidRDefault="000A2485" w:rsidP="000A2485">
      <w:pPr>
        <w:pStyle w:val="Paragrafi"/>
      </w:pPr>
      <w:r>
        <w:t>Vlera e këtyre ambalazheve është element i vlerës së tatueshme të mallrave që ato përmbajnë.</w:t>
      </w:r>
    </w:p>
    <w:p w:rsidR="000A2485" w:rsidRDefault="000A2485" w:rsidP="000A2485">
      <w:pPr>
        <w:pStyle w:val="Paragrafi"/>
      </w:pPr>
      <w:r>
        <w:t>Blerja e ambalazheve nga shitësi i jep atij të drejtën e kreditimit të TVSH-së sipas rregullave të parashikuara në nenin 33 të ligjit për TVSH-në.</w:t>
      </w:r>
    </w:p>
    <w:p w:rsidR="000A2485" w:rsidRDefault="000A2485" w:rsidP="000A2485">
      <w:pPr>
        <w:pStyle w:val="Paragrafi"/>
      </w:pPr>
      <w:r>
        <w:t>Mbi vlerën e tatueshme të mallrave që përfshin edhe vlerën e ambalazheve, zbatohet TVSH-ja në shitje.</w:t>
      </w:r>
    </w:p>
    <w:p w:rsidR="000A2485" w:rsidRDefault="000A2485" w:rsidP="000A2485">
      <w:pPr>
        <w:pStyle w:val="Paragrafi"/>
      </w:pPr>
      <w:r>
        <w:t>2. Ky udhëzim hyn në fuqi me botimin në Fletoren Zyrtare.</w:t>
      </w:r>
    </w:p>
    <w:p w:rsidR="000A2485" w:rsidRDefault="000A2485" w:rsidP="000A2485">
      <w:pPr>
        <w:pStyle w:val="Paragrafi"/>
      </w:pPr>
    </w:p>
    <w:p w:rsidR="000A2485" w:rsidRDefault="000A2485" w:rsidP="000A2485">
      <w:pPr>
        <w:pStyle w:val="Autoriteti"/>
        <w:keepNext w:val="0"/>
      </w:pPr>
      <w:r>
        <w:t>Ministri i Financave</w:t>
      </w:r>
    </w:p>
    <w:p w:rsidR="000A2485" w:rsidRDefault="000A2485" w:rsidP="000A2485">
      <w:pPr>
        <w:pStyle w:val="AutoritetiEm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Arben Malaj</w:t>
      </w:r>
    </w:p>
    <w:p w:rsidR="000A2485" w:rsidRDefault="000A2485" w:rsidP="000A2485">
      <w:pPr>
        <w:widowControl w:val="0"/>
        <w:rPr>
          <w:lang w:val="en-GB"/>
        </w:rPr>
      </w:pPr>
    </w:p>
    <w:p w:rsidR="000A2485" w:rsidRPr="002C5C5E" w:rsidRDefault="000A2485" w:rsidP="000A2485">
      <w:pPr>
        <w:pStyle w:val="Akti"/>
        <w:keepNext w:val="0"/>
        <w:jc w:val="left"/>
      </w:pPr>
    </w:p>
    <w:sectPr w:rsidR="000A2485" w:rsidRPr="002C5C5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535A1"/>
    <w:rsid w:val="000637B6"/>
    <w:rsid w:val="00074162"/>
    <w:rsid w:val="00075BF5"/>
    <w:rsid w:val="000A248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88FB22-B10C-467E-ADED-3E79031D9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485"/>
    <w:rPr>
      <w:rFonts w:eastAsia="MS Mincho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2019-03-14T17:29:00Z</dcterms:created>
  <dcterms:modified xsi:type="dcterms:W3CDTF">2019-03-14T17:29:00Z</dcterms:modified>
</cp:coreProperties>
</file>