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B1A" w:rsidRPr="00BF19A7" w:rsidRDefault="006B5B1A" w:rsidP="006B5B1A">
      <w:pPr>
        <w:pStyle w:val="Akti"/>
      </w:pPr>
      <w:bookmarkStart w:id="0" w:name="_GoBack"/>
      <w:bookmarkEnd w:id="0"/>
      <w:r w:rsidRPr="00BF19A7">
        <w:t>UDHËZIM</w:t>
      </w:r>
    </w:p>
    <w:p w:rsidR="006B5B1A" w:rsidRPr="00BF19A7" w:rsidRDefault="006B5B1A" w:rsidP="006B5B1A">
      <w:pPr>
        <w:pStyle w:val="NumriData"/>
      </w:pPr>
      <w:r w:rsidRPr="00BF19A7">
        <w:t>Nr.6, datë 18.1.2005</w:t>
      </w:r>
    </w:p>
    <w:p w:rsidR="006B5B1A" w:rsidRPr="00BF19A7" w:rsidRDefault="006B5B1A" w:rsidP="006B5B1A">
      <w:pPr>
        <w:pStyle w:val="Paragrafi"/>
      </w:pPr>
    </w:p>
    <w:p w:rsidR="006B5B1A" w:rsidRPr="00BF19A7" w:rsidRDefault="006B5B1A" w:rsidP="006B5B1A">
      <w:pPr>
        <w:pStyle w:val="Titulli"/>
      </w:pPr>
      <w:r w:rsidRPr="00BF19A7">
        <w:t>PËR DOKUMENTACIONIN E DEKLARIMIT DHE PAGESËS SË KONTRIBUTEVE TË DETYRUESHME TË SIGURIMEVE SHOQËRORE DHE SHËNDETËSORE</w:t>
      </w:r>
    </w:p>
    <w:p w:rsidR="006B5B1A" w:rsidRPr="00BF19A7" w:rsidRDefault="006B5B1A" w:rsidP="006B5B1A">
      <w:pPr>
        <w:pStyle w:val="Paragrafi"/>
      </w:pPr>
    </w:p>
    <w:p w:rsidR="006B5B1A" w:rsidRPr="00BF19A7" w:rsidRDefault="006B5B1A" w:rsidP="006B5B1A">
      <w:pPr>
        <w:pStyle w:val="BazLigjPropozues"/>
      </w:pPr>
      <w:r w:rsidRPr="00BF19A7">
        <w:t>Ne zbatim të ligjit Nr. 9136, datë 11.9.2003 “Për mbledhjen e kontributeve të detyrueshme të sigurimeve shoqërore dhe shëndetesore në Republikën e Shqiperisë”, i ndryshuar, Ministri i Punës dhe i Çështjeve Sociale dhe Ministri i Financave,</w:t>
      </w:r>
    </w:p>
    <w:p w:rsidR="006B5B1A" w:rsidRPr="00BF19A7" w:rsidRDefault="006B5B1A" w:rsidP="006B5B1A">
      <w:pPr>
        <w:pStyle w:val="Paragrafi"/>
      </w:pPr>
    </w:p>
    <w:p w:rsidR="006B5B1A" w:rsidRPr="00BF19A7" w:rsidRDefault="006B5B1A" w:rsidP="006B5B1A">
      <w:pPr>
        <w:pStyle w:val="VENDOSI"/>
      </w:pPr>
      <w:r w:rsidRPr="00BF19A7">
        <w:t>UDHËZOJNE:</w:t>
      </w:r>
    </w:p>
    <w:p w:rsidR="006B5B1A" w:rsidRPr="00BF19A7" w:rsidRDefault="006B5B1A" w:rsidP="006B5B1A">
      <w:pPr>
        <w:pStyle w:val="Paragrafi"/>
      </w:pPr>
    </w:p>
    <w:p w:rsidR="006B5B1A" w:rsidRPr="00BF19A7" w:rsidRDefault="006B5B1A" w:rsidP="006B5B1A">
      <w:pPr>
        <w:pStyle w:val="Paragrafi"/>
      </w:pPr>
      <w:r w:rsidRPr="00BF19A7">
        <w:t>Punëdhënësit dhe personat e vetëpunësuar, janë të detyruar të deklarojnë dhe të paguajnë kontributet e sigurimeve, shoqerore dhe shendetesore bazuar në dokumentacionin e përcaktuar më poshtë:</w:t>
      </w:r>
    </w:p>
    <w:p w:rsidR="006B5B1A" w:rsidRPr="00BF19A7" w:rsidRDefault="006B5B1A" w:rsidP="006B5B1A">
      <w:pPr>
        <w:pStyle w:val="Paragrafi"/>
      </w:pPr>
      <w:r w:rsidRPr="00BF19A7">
        <w:t>“Formulari i deklarimit dhe pagesës së kontributeve te sigurimeve shoqerore” E-SIG 011/a”, (pa plotesuar pjeset e perfitimeve), i cili dorëzohet në degën e bankës ose zyrën e Postës Shqiptare sh.a. ku paguhen kontributet, sipas përcaktimit te Drejtorisë së Pergjithshme të Tatimeve;</w:t>
      </w:r>
    </w:p>
    <w:p w:rsidR="006B5B1A" w:rsidRPr="00BF19A7" w:rsidRDefault="006B5B1A" w:rsidP="006B5B1A">
      <w:pPr>
        <w:pStyle w:val="Paragrafi"/>
      </w:pPr>
      <w:r w:rsidRPr="00BF19A7">
        <w:t>“Formulari i deklarimit dhe pagesës së kontributeve te sigurimeve shendetesore” E-SIG 012/a”, i cili dorëzohet në degën e bankës ose zyrën e Postës Shqiptare sh.a. ku paguhen kontributet, sipas përcaktimit të Drejtorisë së Pergjithshme të Tatimeve;</w:t>
      </w:r>
    </w:p>
    <w:p w:rsidR="006B5B1A" w:rsidRPr="00BF19A7" w:rsidRDefault="006B5B1A" w:rsidP="006B5B1A">
      <w:pPr>
        <w:pStyle w:val="Paragrafi"/>
      </w:pPr>
      <w:r w:rsidRPr="00BF19A7">
        <w:t>“Formulari E-SIG 025/a “Listëpagesa e Sigurimeve Shoqërore, Sigurimeve Shëndetësore dhe Tatimit mbi të Ardhurat nga punësimi”, i cili dorëzohet në degën e tatimeve ku është i regjistruar tatimpaguesi;</w:t>
      </w:r>
    </w:p>
    <w:p w:rsidR="006B5B1A" w:rsidRPr="00BF19A7" w:rsidRDefault="006B5B1A" w:rsidP="006B5B1A">
      <w:pPr>
        <w:pStyle w:val="Paragrafi"/>
      </w:pPr>
      <w:r w:rsidRPr="00BF19A7">
        <w:t>Formulari E-SIG 27/a “Pasqyra e të punësuarve rishtazi dhe e të larguarve”, i cili dorëzohet në Degën e Tatimeve (në rastet kur ka të punësuar të rinj, të ripunësuar ose të larguar).</w:t>
      </w:r>
    </w:p>
    <w:p w:rsidR="006B5B1A" w:rsidRPr="00BF19A7" w:rsidRDefault="006B5B1A" w:rsidP="006B5B1A">
      <w:pPr>
        <w:pStyle w:val="Paragrafi"/>
      </w:pPr>
      <w:r w:rsidRPr="00BF19A7">
        <w:t>Dokumentat e mësipërme dorëzohen në afatet që vijojnë:</w:t>
      </w:r>
    </w:p>
    <w:p w:rsidR="006B5B1A" w:rsidRPr="00BF19A7" w:rsidRDefault="006B5B1A" w:rsidP="006B5B1A">
      <w:pPr>
        <w:pStyle w:val="Paragrafi"/>
      </w:pPr>
      <w:r w:rsidRPr="00BF19A7">
        <w:t>Nga personat juridike, përjashtuar personat juridikë të regjistruar si tatimpagues të takses vendore mbi biznesin e vogël, brenda datës 20 të muajit pasardhës. Kur pronarët e personave juridikë ushtrojnë funksione drejtuese ne shoqëri si administratorë, apo çdo funksion tjetër, trajtohen si çdo punëmarrës tjetër;</w:t>
      </w:r>
    </w:p>
    <w:p w:rsidR="006B5B1A" w:rsidRPr="00BF19A7" w:rsidRDefault="006B5B1A" w:rsidP="006B5B1A">
      <w:pPr>
        <w:pStyle w:val="Paragrafi"/>
      </w:pPr>
      <w:r w:rsidRPr="00BF19A7">
        <w:t>Nga personat fizikë të regjistruar si tatimpagues të TVSH-se, brenda datës 20 të muajit pasardhës. Deklarata në këtë rast do të përfshijë personat e vetëpunesuar, punonjësit e papaguar të familjes, si dhe të punësuarit;</w:t>
      </w:r>
    </w:p>
    <w:p w:rsidR="006B5B1A" w:rsidRPr="00BF19A7" w:rsidRDefault="006B5B1A" w:rsidP="006B5B1A">
      <w:pPr>
        <w:pStyle w:val="Paragrafi"/>
      </w:pPr>
      <w:r w:rsidRPr="00BF19A7">
        <w:t>Nga personat juridike te regjistruar si tatimpagues te takses vendore mbi biznesin e vogel, brenda dates 10 te muajit te pare pas perfundimit te çdo tremujori te vitit kalendarik. Kur edhe pronarët e personave juridikë ushtrojnë funksione drejtuese ne shoqëri si administratorë, apo çdo funksion tjetër, trajtohen si çdo punëmarrës tjetër;</w:t>
      </w:r>
    </w:p>
    <w:p w:rsidR="006B5B1A" w:rsidRPr="00BF19A7" w:rsidRDefault="006B5B1A" w:rsidP="006B5B1A">
      <w:pPr>
        <w:pStyle w:val="Paragrafi"/>
      </w:pPr>
      <w:r w:rsidRPr="00BF19A7">
        <w:t>Nga personat fizikë të regjistruar si tatimpagues të taksës vendore mbi biznesin e vogël, brenda datës 10 të muajit të parë pas përfundimit të çdo tremujori të vitit kalendarik. Deklarata në këtë rast do të përfshijë personat e vetëpunesuar, punonjësit e papaguar të familjes, si dhe të punësuarit;</w:t>
      </w:r>
    </w:p>
    <w:p w:rsidR="006B5B1A" w:rsidRPr="00BF19A7" w:rsidRDefault="006B5B1A" w:rsidP="006B5B1A">
      <w:pPr>
        <w:pStyle w:val="Paragrafi"/>
      </w:pPr>
      <w:r w:rsidRPr="00BF19A7">
        <w:t xml:space="preserve">Bashkengjitur janë modelet e formularëve të përmendura në pikën 1. </w:t>
      </w:r>
    </w:p>
    <w:p w:rsidR="006B5B1A" w:rsidRPr="00BF19A7" w:rsidRDefault="006B5B1A" w:rsidP="006B5B1A">
      <w:pPr>
        <w:pStyle w:val="Paragrafi"/>
      </w:pPr>
      <w:r w:rsidRPr="00BF19A7">
        <w:t xml:space="preserve">Ngarkohen me zbatimin e ketij udhezimi Drejtoria e Pergjithshme e Tatimeve dhe deget e saj. </w:t>
      </w:r>
    </w:p>
    <w:p w:rsidR="006B5B1A" w:rsidRPr="00BF19A7" w:rsidRDefault="006B5B1A" w:rsidP="006B5B1A">
      <w:pPr>
        <w:pStyle w:val="Paragrafi"/>
      </w:pPr>
      <w:r w:rsidRPr="00BF19A7">
        <w:t>Udhezimi i Ministrit të Punës dhe Çështjeve Sociale dhe Ministrit të Financave, Nr. 354, date 17.02.2004 “Për Dokumentacionin e deklarimit dhe pagesës së kontributeve të detyrueshme të sigurimeve, shoqerore dhe shendetesore”, shfuqizohet.</w:t>
      </w:r>
    </w:p>
    <w:p w:rsidR="006B5B1A" w:rsidRPr="00BF19A7" w:rsidRDefault="006B5B1A" w:rsidP="006B5B1A">
      <w:pPr>
        <w:pStyle w:val="Paragrafi"/>
      </w:pPr>
      <w:r w:rsidRPr="00BF19A7">
        <w:t>Ky udhëzim hyn ne fuqi me botimin në Fletoren Zyrtare.</w:t>
      </w:r>
    </w:p>
    <w:p w:rsidR="006B5B1A" w:rsidRPr="00BF19A7" w:rsidRDefault="006B5B1A" w:rsidP="006B5B1A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2"/>
        <w:gridCol w:w="4644"/>
      </w:tblGrid>
      <w:tr w:rsidR="006B5B1A" w:rsidRPr="00BF19A7">
        <w:tc>
          <w:tcPr>
            <w:tcW w:w="4643" w:type="dxa"/>
          </w:tcPr>
          <w:p w:rsidR="006B5B1A" w:rsidRPr="00BF19A7" w:rsidRDefault="006B5B1A" w:rsidP="006B5B1A">
            <w:pPr>
              <w:pStyle w:val="Tabele"/>
            </w:pPr>
            <w:r w:rsidRPr="00BF19A7">
              <w:t>MINISTRI I PUNES DHE ÇESHTJEVE SOCIALE</w:t>
            </w:r>
          </w:p>
          <w:p w:rsidR="006B5B1A" w:rsidRPr="00BF19A7" w:rsidRDefault="006B5B1A" w:rsidP="006B5B1A">
            <w:pPr>
              <w:pStyle w:val="Tabele"/>
            </w:pPr>
            <w:r w:rsidRPr="00BF19A7">
              <w:t>Engjell Bejtaj</w:t>
            </w:r>
          </w:p>
        </w:tc>
        <w:tc>
          <w:tcPr>
            <w:tcW w:w="4644" w:type="dxa"/>
          </w:tcPr>
          <w:p w:rsidR="006B5B1A" w:rsidRPr="00BF19A7" w:rsidRDefault="006B5B1A" w:rsidP="006B5B1A">
            <w:pPr>
              <w:pStyle w:val="Tabele"/>
            </w:pPr>
            <w:r w:rsidRPr="00BF19A7">
              <w:t>MINISTRI I FINANCAVE</w:t>
            </w:r>
          </w:p>
          <w:p w:rsidR="006B5B1A" w:rsidRPr="00BF19A7" w:rsidRDefault="006B5B1A" w:rsidP="006B5B1A">
            <w:pPr>
              <w:pStyle w:val="Tabele"/>
            </w:pPr>
            <w:r w:rsidRPr="00BF19A7">
              <w:t>Arben Malaj</w:t>
            </w:r>
          </w:p>
        </w:tc>
      </w:tr>
    </w:tbl>
    <w:p w:rsidR="006B5B1A" w:rsidRPr="00BF19A7" w:rsidRDefault="006B5B1A" w:rsidP="006B5B1A">
      <w:pPr>
        <w:pStyle w:val="Paragrafi"/>
      </w:pPr>
    </w:p>
    <w:p w:rsidR="006B5B1A" w:rsidRPr="00BF19A7" w:rsidRDefault="006B5B1A" w:rsidP="006B5B1A">
      <w:pPr>
        <w:pStyle w:val="Figure"/>
      </w:pPr>
      <w:r w:rsidRPr="00BF19A7">
        <w:tab/>
      </w:r>
      <w:r w:rsidRPr="00BF19A7">
        <w:tab/>
      </w:r>
      <w:r w:rsidRPr="00BF19A7">
        <w:tab/>
      </w:r>
      <w:r w:rsidRPr="00BF19A7">
        <w:tab/>
      </w:r>
      <w:r w:rsidRPr="00BF19A7">
        <w:tab/>
      </w:r>
    </w:p>
    <w:p w:rsidR="006B5B1A" w:rsidRPr="00BF19A7" w:rsidRDefault="006B5B1A" w:rsidP="006B5B1A">
      <w:pPr>
        <w:pStyle w:val="Figure"/>
      </w:pPr>
      <w:r w:rsidRPr="00BF19A7">
        <w:tab/>
      </w:r>
      <w:r w:rsidRPr="00BF19A7">
        <w:tab/>
      </w:r>
      <w:r w:rsidRPr="00BF19A7">
        <w:tab/>
      </w:r>
      <w:r w:rsidRPr="00BF19A7">
        <w:tab/>
      </w:r>
      <w:r w:rsidRPr="00BF19A7">
        <w:tab/>
      </w:r>
      <w:r w:rsidRPr="00BF19A7">
        <w:tab/>
      </w:r>
    </w:p>
    <w:p w:rsidR="006B5B1A" w:rsidRPr="00BF19A7" w:rsidRDefault="00A86BCB" w:rsidP="006B5B1A">
      <w:pPr>
        <w:pStyle w:val="Figure"/>
      </w:pPr>
      <w:r w:rsidRPr="00BF19A7">
        <w:rPr>
          <w:noProof/>
          <w:lang w:val="en-GB" w:eastAsia="en-GB"/>
        </w:rPr>
        <w:lastRenderedPageBreak/>
        <w:drawing>
          <wp:inline distT="0" distB="0" distL="0" distR="0">
            <wp:extent cx="5276850" cy="77438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A86BCB" w:rsidP="006B5B1A">
      <w:pPr>
        <w:pStyle w:val="Figure"/>
      </w:pPr>
      <w:r w:rsidRPr="00BF19A7">
        <w:rPr>
          <w:noProof/>
          <w:lang w:val="en-GB" w:eastAsia="en-GB"/>
        </w:rPr>
        <w:lastRenderedPageBreak/>
        <w:drawing>
          <wp:inline distT="0" distB="0" distL="0" distR="0">
            <wp:extent cx="5276850" cy="8048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A86BCB" w:rsidP="006B5B1A">
      <w:pPr>
        <w:pStyle w:val="Figure"/>
      </w:pPr>
      <w:r w:rsidRPr="00BF19A7">
        <w:rPr>
          <w:noProof/>
          <w:lang w:val="en-GB" w:eastAsia="en-GB"/>
        </w:rPr>
        <w:lastRenderedPageBreak/>
        <w:drawing>
          <wp:inline distT="0" distB="0" distL="0" distR="0">
            <wp:extent cx="5276850" cy="73247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A86BCB" w:rsidP="006B5B1A">
      <w:pPr>
        <w:pStyle w:val="Figure"/>
      </w:pPr>
      <w:r w:rsidRPr="00BF19A7">
        <w:rPr>
          <w:noProof/>
          <w:lang w:val="en-GB" w:eastAsia="en-GB"/>
        </w:rPr>
        <w:lastRenderedPageBreak/>
        <w:drawing>
          <wp:inline distT="0" distB="0" distL="0" distR="0">
            <wp:extent cx="5276850" cy="8020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A86BCB" w:rsidP="006B5B1A">
      <w:pPr>
        <w:pStyle w:val="Figure"/>
      </w:pPr>
      <w:r w:rsidRPr="00BF19A7">
        <w:rPr>
          <w:noProof/>
          <w:lang w:val="en-GB" w:eastAsia="en-GB"/>
        </w:rPr>
        <w:lastRenderedPageBreak/>
        <w:drawing>
          <wp:inline distT="0" distB="0" distL="0" distR="0">
            <wp:extent cx="5600065" cy="7283450"/>
            <wp:effectExtent l="0" t="0" r="635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065" cy="72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A86BCB" w:rsidP="006B5B1A">
      <w:pPr>
        <w:pStyle w:val="Figure"/>
      </w:pPr>
      <w:r w:rsidRPr="00BF19A7">
        <w:rPr>
          <w:noProof/>
          <w:lang w:val="en-GB" w:eastAsia="en-GB"/>
        </w:rPr>
        <w:drawing>
          <wp:inline distT="0" distB="0" distL="0" distR="0">
            <wp:extent cx="5371465" cy="7429500"/>
            <wp:effectExtent l="0" t="0" r="635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46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A86BCB" w:rsidP="006B5B1A">
      <w:pPr>
        <w:pStyle w:val="Figure"/>
      </w:pPr>
      <w:r w:rsidRPr="00BF19A7">
        <w:rPr>
          <w:noProof/>
          <w:lang w:val="en-GB" w:eastAsia="en-GB"/>
        </w:rPr>
        <w:drawing>
          <wp:inline distT="0" distB="0" distL="0" distR="0">
            <wp:extent cx="5485765" cy="8458200"/>
            <wp:effectExtent l="0" t="0" r="635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B1A" w:rsidRPr="00BF19A7" w:rsidRDefault="00A86BCB" w:rsidP="006B5B1A">
      <w:pPr>
        <w:pStyle w:val="Figure"/>
      </w:pPr>
      <w:r w:rsidRPr="00BF19A7">
        <w:rPr>
          <w:noProof/>
          <w:lang w:val="en-GB" w:eastAsia="en-GB"/>
        </w:rPr>
        <w:drawing>
          <wp:inline distT="0" distB="0" distL="0" distR="0">
            <wp:extent cx="5257165" cy="788670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16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6B5B1A" w:rsidRPr="00BF19A7" w:rsidRDefault="006B5B1A" w:rsidP="006B5B1A">
      <w:pPr>
        <w:pStyle w:val="Figure"/>
      </w:pPr>
    </w:p>
    <w:p w:rsidR="00A0784B" w:rsidRPr="003941D1" w:rsidRDefault="00A0784B" w:rsidP="006B5B1A">
      <w:pPr>
        <w:pStyle w:val="Figure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5B1A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86BCB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829D6F-485C-4868-8D23-4E8839DF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B1A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6B5B1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