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905" w:rsidRPr="007665D6" w:rsidRDefault="005F7905" w:rsidP="005F7905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7665D6">
        <w:rPr>
          <w:sz w:val="21"/>
          <w:szCs w:val="21"/>
          <w:lang w:val="it-IT"/>
        </w:rPr>
        <w:t>UDHËZIM</w:t>
      </w:r>
    </w:p>
    <w:p w:rsidR="005F7905" w:rsidRPr="007665D6" w:rsidRDefault="005F7905" w:rsidP="005F7905">
      <w:pPr>
        <w:pStyle w:val="NumriData"/>
        <w:keepNext w:val="0"/>
        <w:rPr>
          <w:sz w:val="21"/>
          <w:szCs w:val="21"/>
          <w:lang w:val="it-IT"/>
        </w:rPr>
      </w:pPr>
      <w:r w:rsidRPr="007665D6">
        <w:rPr>
          <w:sz w:val="21"/>
          <w:szCs w:val="21"/>
          <w:lang w:val="it-IT"/>
        </w:rPr>
        <w:t>Nr.3, datë 26.2.2007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Pr="007665D6" w:rsidRDefault="005F7905" w:rsidP="005F7905">
      <w:pPr>
        <w:pStyle w:val="Titulli"/>
        <w:keepNext w:val="0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PËR DISA SHTESA DHE NDRYSHIME NË UDHËZIMIN NR.3, DATË 30.1.2006 TË MINISTRIT TË FINANCAVE "PËR TATIMIN MBI VLERËN E SHTUAR"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Pr="007665D6" w:rsidRDefault="005F7905" w:rsidP="005F7905">
      <w:pPr>
        <w:pStyle w:val="BazLigjPropozues"/>
        <w:keepNext w:val="0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Në mbështetje të nenit 102 pika 4 të Kushtetutës dhe në zbatim të ligjit nr.7928, datë 27.4.1995 "Për tatimin mbi vlerën e shtuar", i ndryshuar, Ministri i Financave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Pr="007665D6" w:rsidRDefault="005F7905" w:rsidP="005F7905">
      <w:pPr>
        <w:pStyle w:val="VENDOSI"/>
        <w:keepNext w:val="0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UDHËZON: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1. Në përmbajtjen e udhëzimit nr.3, datë 30.1.2006 të Ministrit të Financave, në pikën 16.1 "Rimbursimi i eksportuesve", bëhen shtesat dhe ndryshimet si vijon: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 xml:space="preserve"> - Në përmbajtjen e paragrafit të parë, nënparagrafët e dytë, të tretë dhe të katërt shfuqizohen.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- Në përmbajtjen e paragrafit të parë, mbas nënparagrafit të parë, shtohet një nënparagraf me përmbajtjen si vijon: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"Teprica kreditore, që kërkohet si e rimbursueshme, duhet të jetë më shumë se 400.000 lekë.".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- Paragrafi i dytë shfuqizohet.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- Mbas paragrafit të pestë, shtohen dy paragrafë me këtë përmbajtje: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"Eksportuesve me risk zero, për shumat deri në 400.000 lekë, rimbursimi u bëhet në mënyrë automatike, me paraqitjen e kërkesës në degën e tatimeve.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Për kategoritë e tjera, rimbursimi i eksportuesve bëhet brenda 30 ditëve nga data e paraqitjes së kërkesës së tyre.".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2. Ky udhëzim hyn në fuqi me botimin në Fletoren Zyrtare.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Pr="007665D6" w:rsidRDefault="005F7905" w:rsidP="005F7905">
      <w:pPr>
        <w:pStyle w:val="Autoriteti"/>
        <w:keepNext w:val="0"/>
        <w:rPr>
          <w:sz w:val="21"/>
          <w:szCs w:val="21"/>
          <w:lang w:val="it-IT"/>
        </w:rPr>
      </w:pPr>
      <w:r w:rsidRPr="007665D6">
        <w:rPr>
          <w:sz w:val="21"/>
          <w:szCs w:val="21"/>
          <w:lang w:val="it-IT"/>
        </w:rPr>
        <w:t>MINISTRI I FINANCAVE</w:t>
      </w:r>
    </w:p>
    <w:p w:rsidR="005F7905" w:rsidRPr="007665D6" w:rsidRDefault="005F7905" w:rsidP="005F7905">
      <w:pPr>
        <w:pStyle w:val="AutoritetiEmer"/>
        <w:rPr>
          <w:sz w:val="21"/>
          <w:szCs w:val="21"/>
          <w:lang w:val="it-IT"/>
        </w:rPr>
      </w:pPr>
      <w:r w:rsidRPr="007665D6">
        <w:rPr>
          <w:sz w:val="21"/>
          <w:szCs w:val="21"/>
          <w:lang w:val="it-IT"/>
        </w:rPr>
        <w:t>Ridvan Bode</w:t>
      </w:r>
    </w:p>
    <w:p w:rsidR="005F7905" w:rsidRPr="007665D6" w:rsidRDefault="005F7905" w:rsidP="005F7905">
      <w:pPr>
        <w:pStyle w:val="Paragrafi"/>
        <w:rPr>
          <w:sz w:val="21"/>
          <w:szCs w:val="21"/>
          <w:lang w:val="sq-AL"/>
        </w:rPr>
      </w:pPr>
    </w:p>
    <w:p w:rsidR="005F7905" w:rsidRDefault="005F7905"/>
    <w:sectPr w:rsidR="005F79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7905"/>
    <w:rsid w:val="002062D8"/>
    <w:rsid w:val="005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545F1-A746-4400-987E-65EFB760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79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5F79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79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79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F79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79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F79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79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F79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F790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2019-03-16T14:45:00Z</dcterms:created>
  <dcterms:modified xsi:type="dcterms:W3CDTF">2019-03-16T14:45:00Z</dcterms:modified>
</cp:coreProperties>
</file>