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E6B" w:rsidRPr="00C10D47" w:rsidRDefault="00E87E6B" w:rsidP="00E87E6B">
      <w:pPr>
        <w:pStyle w:val="Akti"/>
        <w:keepNext w:val="0"/>
        <w:rPr>
          <w:lang w:val="it-IT"/>
        </w:rPr>
      </w:pPr>
      <w:bookmarkStart w:id="0" w:name="_GoBack"/>
      <w:bookmarkEnd w:id="0"/>
      <w:r w:rsidRPr="00C10D47">
        <w:rPr>
          <w:lang w:val="it-IT"/>
        </w:rPr>
        <w:t>Udhëzim</w:t>
      </w:r>
    </w:p>
    <w:p w:rsidR="00E87E6B" w:rsidRPr="00C10D47" w:rsidRDefault="00E87E6B" w:rsidP="00E87E6B">
      <w:pPr>
        <w:pStyle w:val="NumriData"/>
        <w:keepNext w:val="0"/>
        <w:rPr>
          <w:lang w:val="it-IT"/>
        </w:rPr>
      </w:pPr>
      <w:r w:rsidRPr="00C10D47">
        <w:rPr>
          <w:lang w:val="it-IT"/>
        </w:rPr>
        <w:t>Nr.165, datë 16.3.2007</w:t>
      </w:r>
    </w:p>
    <w:p w:rsidR="00E87E6B" w:rsidRPr="00C10D47" w:rsidRDefault="00E87E6B" w:rsidP="00E87E6B">
      <w:pPr>
        <w:pStyle w:val="Paragrafi"/>
        <w:rPr>
          <w:lang w:val="it-IT"/>
        </w:rPr>
      </w:pPr>
    </w:p>
    <w:p w:rsidR="00E87E6B" w:rsidRPr="00FA0529" w:rsidRDefault="00E87E6B" w:rsidP="00E87E6B">
      <w:pPr>
        <w:pStyle w:val="Titulli"/>
        <w:keepNext w:val="0"/>
        <w:rPr>
          <w:lang w:val="it-IT"/>
        </w:rPr>
      </w:pPr>
      <w:r w:rsidRPr="00FA0529">
        <w:rPr>
          <w:lang w:val="it-IT"/>
        </w:rPr>
        <w:t>Për përcaktimin e skemës së duhur për shtypjen e përqendruar të biletave, shpërndarjen dhe kontrollin e hedhjes së tyre në përdorim</w:t>
      </w:r>
    </w:p>
    <w:p w:rsidR="00E87E6B" w:rsidRPr="0057346D" w:rsidRDefault="00E87E6B" w:rsidP="00E87E6B">
      <w:pPr>
        <w:pStyle w:val="Paragrafi"/>
        <w:rPr>
          <w:sz w:val="16"/>
          <w:lang w:val="it-IT"/>
        </w:rPr>
      </w:pPr>
    </w:p>
    <w:p w:rsidR="00E87E6B" w:rsidRPr="00C10D47" w:rsidRDefault="00E87E6B" w:rsidP="00E87E6B">
      <w:pPr>
        <w:pStyle w:val="Paragrafi"/>
        <w:rPr>
          <w:lang w:val="it-IT"/>
        </w:rPr>
      </w:pPr>
      <w:r>
        <w:rPr>
          <w:lang w:val="it-IT"/>
        </w:rPr>
        <w:t>Në mbështetje të nenit 102</w:t>
      </w:r>
      <w:r w:rsidRPr="00C10D47">
        <w:rPr>
          <w:lang w:val="it-IT"/>
        </w:rPr>
        <w:t xml:space="preserve"> pika 4 të Kushtetutës së Republikës së Shqipërisë, neni</w:t>
      </w:r>
      <w:r>
        <w:rPr>
          <w:lang w:val="it-IT"/>
        </w:rPr>
        <w:t>t 6 pika 5 të ligjit nr.8701, datë 1.12.2000 “Për lojrat e fatit, kazinotë dhe h</w:t>
      </w:r>
      <w:r w:rsidRPr="00C10D47">
        <w:rPr>
          <w:lang w:val="it-IT"/>
        </w:rPr>
        <w:t xml:space="preserve">ipodromet”, </w:t>
      </w:r>
      <w:r>
        <w:rPr>
          <w:lang w:val="it-IT"/>
        </w:rPr>
        <w:t>të ndryshuar, si dhe pikës 2, ge</w:t>
      </w:r>
      <w:r w:rsidRPr="00C10D47">
        <w:rPr>
          <w:lang w:val="it-IT"/>
        </w:rPr>
        <w:t>rma “b” dhe “c”</w:t>
      </w:r>
      <w:r>
        <w:rPr>
          <w:lang w:val="it-IT"/>
        </w:rPr>
        <w:t>, të</w:t>
      </w:r>
      <w:r w:rsidRPr="00C10D47">
        <w:rPr>
          <w:lang w:val="it-IT"/>
        </w:rPr>
        <w:t xml:space="preserve"> vendimit të Këshillit të Min</w:t>
      </w:r>
      <w:r>
        <w:rPr>
          <w:lang w:val="it-IT"/>
        </w:rPr>
        <w:t>istrave nr.712, datë 18.12.2006</w:t>
      </w:r>
      <w:r w:rsidRPr="00C10D47">
        <w:rPr>
          <w:lang w:val="it-IT"/>
        </w:rPr>
        <w:t xml:space="preserve"> “Për krijimin, përbërjen, kompetencat dhe mënyr</w:t>
      </w:r>
      <w:r>
        <w:rPr>
          <w:lang w:val="it-IT"/>
        </w:rPr>
        <w:t xml:space="preserve">ën e funksionimit të Komitetit </w:t>
      </w:r>
      <w:r w:rsidRPr="00B153C6">
        <w:rPr>
          <w:i/>
          <w:lang w:val="it-IT"/>
        </w:rPr>
        <w:t>ad-hoc</w:t>
      </w:r>
      <w:r w:rsidRPr="00C10D47">
        <w:rPr>
          <w:lang w:val="it-IT"/>
        </w:rPr>
        <w:t xml:space="preserve"> të lojërave të fatit, kazinove dhe hipodromeve”, Ministri </w:t>
      </w:r>
      <w:r>
        <w:rPr>
          <w:lang w:val="it-IT"/>
        </w:rPr>
        <w:t>i Ekonomisë, Tregtisë dhe Energjetikës</w:t>
      </w:r>
    </w:p>
    <w:p w:rsidR="00E87E6B" w:rsidRPr="00C10D47" w:rsidRDefault="00E87E6B" w:rsidP="00E87E6B">
      <w:pPr>
        <w:pStyle w:val="Paragrafi"/>
        <w:rPr>
          <w:lang w:val="it-IT"/>
        </w:rPr>
      </w:pPr>
    </w:p>
    <w:p w:rsidR="00E87E6B" w:rsidRPr="00C10D47" w:rsidRDefault="00E87E6B" w:rsidP="00E87E6B">
      <w:pPr>
        <w:pStyle w:val="VENDOSI"/>
        <w:keepNext w:val="0"/>
        <w:rPr>
          <w:lang w:val="it-IT"/>
        </w:rPr>
      </w:pPr>
      <w:r w:rsidRPr="00C10D47">
        <w:rPr>
          <w:lang w:val="it-IT"/>
        </w:rPr>
        <w:t>Udhëzon:</w:t>
      </w:r>
    </w:p>
    <w:p w:rsidR="00E87E6B" w:rsidRPr="0057346D" w:rsidRDefault="00E87E6B" w:rsidP="00E87E6B">
      <w:pPr>
        <w:pStyle w:val="Paragrafi"/>
        <w:rPr>
          <w:sz w:val="16"/>
          <w:lang w:val="it-IT"/>
        </w:rPr>
      </w:pPr>
    </w:p>
    <w:p w:rsidR="00E87E6B" w:rsidRPr="00C10D47" w:rsidRDefault="00E87E6B" w:rsidP="00E87E6B">
      <w:pPr>
        <w:pStyle w:val="Paragrafi"/>
        <w:rPr>
          <w:lang w:val="it-IT"/>
        </w:rPr>
      </w:pPr>
      <w:r w:rsidRPr="00C10D47">
        <w:rPr>
          <w:lang w:val="it-IT"/>
        </w:rPr>
        <w:t>1. Shtypja e biletave të lojërave të fatit kryhet nga vetë shoqëritë</w:t>
      </w:r>
      <w:r>
        <w:rPr>
          <w:lang w:val="it-IT"/>
        </w:rPr>
        <w:t>,</w:t>
      </w:r>
      <w:r w:rsidRPr="00C10D47">
        <w:rPr>
          <w:lang w:val="it-IT"/>
        </w:rPr>
        <w:t xml:space="preserve"> që ushtrojnë veprimtarinë në fushën e lojërave të fatit</w:t>
      </w:r>
      <w:r>
        <w:rPr>
          <w:lang w:val="it-IT"/>
        </w:rPr>
        <w:t>,</w:t>
      </w:r>
      <w:r w:rsidRPr="00C10D47">
        <w:rPr>
          <w:lang w:val="it-IT"/>
        </w:rPr>
        <w:t xml:space="preserve"> në përputhje me ligjin dhe aktet nënligjore në fuqi.</w:t>
      </w:r>
    </w:p>
    <w:p w:rsidR="00E87E6B" w:rsidRPr="00C10D47" w:rsidRDefault="00E87E6B" w:rsidP="00E87E6B">
      <w:pPr>
        <w:pStyle w:val="Paragrafi"/>
        <w:rPr>
          <w:lang w:val="it-IT"/>
        </w:rPr>
      </w:pPr>
      <w:r w:rsidRPr="00C10D47">
        <w:rPr>
          <w:lang w:val="it-IT"/>
        </w:rPr>
        <w:t>2. Ministri përgjegjës për ekonominë</w:t>
      </w:r>
      <w:r>
        <w:rPr>
          <w:lang w:val="it-IT"/>
        </w:rPr>
        <w:t>,</w:t>
      </w:r>
      <w:r w:rsidRPr="00C10D47">
        <w:rPr>
          <w:lang w:val="it-IT"/>
        </w:rPr>
        <w:t xml:space="preserve"> me</w:t>
      </w:r>
      <w:r>
        <w:rPr>
          <w:lang w:val="it-IT"/>
        </w:rPr>
        <w:t xml:space="preserve"> propozim të Komitetit të Lojërave të F</w:t>
      </w:r>
      <w:r w:rsidRPr="00C10D47">
        <w:rPr>
          <w:lang w:val="it-IT"/>
        </w:rPr>
        <w:t>atit</w:t>
      </w:r>
      <w:r>
        <w:rPr>
          <w:lang w:val="it-IT"/>
        </w:rPr>
        <w:t>,</w:t>
      </w:r>
      <w:r w:rsidRPr="00C10D47">
        <w:rPr>
          <w:lang w:val="it-IT"/>
        </w:rPr>
        <w:t xml:space="preserve"> miraton çdo biletë të re</w:t>
      </w:r>
      <w:r>
        <w:rPr>
          <w:lang w:val="it-IT"/>
        </w:rPr>
        <w:t>,</w:t>
      </w:r>
      <w:r w:rsidRPr="00C10D47">
        <w:rPr>
          <w:lang w:val="it-IT"/>
        </w:rPr>
        <w:t xml:space="preserve"> që hidhet në</w:t>
      </w:r>
      <w:r>
        <w:rPr>
          <w:lang w:val="it-IT"/>
        </w:rPr>
        <w:t xml:space="preserve"> qarkullim nga o</w:t>
      </w:r>
      <w:r w:rsidRPr="00C10D47">
        <w:rPr>
          <w:lang w:val="it-IT"/>
        </w:rPr>
        <w:t>rganizatori i lojërave të fatit në kategoritë e loj</w:t>
      </w:r>
      <w:r>
        <w:rPr>
          <w:lang w:val="it-IT"/>
        </w:rPr>
        <w:t>ë</w:t>
      </w:r>
      <w:r w:rsidRPr="00C10D47">
        <w:rPr>
          <w:lang w:val="it-IT"/>
        </w:rPr>
        <w:t>rave aritmetike, lotarive dhe loj</w:t>
      </w:r>
      <w:r>
        <w:rPr>
          <w:lang w:val="it-IT"/>
        </w:rPr>
        <w:t>ë</w:t>
      </w:r>
      <w:r w:rsidRPr="00C10D47">
        <w:rPr>
          <w:lang w:val="it-IT"/>
        </w:rPr>
        <w:t>rave të fatit sportive. Për këtë qëllim, organizatori paraqet pranë Ministrisë së Ekonomisë, Tregtisë dhe Energjetikës dokumentacionin e mëposhtëm:</w:t>
      </w:r>
    </w:p>
    <w:p w:rsidR="00E87E6B" w:rsidRPr="00C10D47" w:rsidRDefault="00E87E6B" w:rsidP="00E87E6B">
      <w:pPr>
        <w:pStyle w:val="Paragrafi"/>
        <w:rPr>
          <w:lang w:val="it-IT"/>
        </w:rPr>
      </w:pPr>
      <w:r w:rsidRPr="00C10D47">
        <w:rPr>
          <w:lang w:val="it-IT"/>
        </w:rPr>
        <w:t>a) Kërkesën për miratim të biletës</w:t>
      </w:r>
      <w:r>
        <w:rPr>
          <w:lang w:val="it-IT"/>
        </w:rPr>
        <w:t>,</w:t>
      </w:r>
      <w:r w:rsidRPr="00C10D47">
        <w:rPr>
          <w:lang w:val="it-IT"/>
        </w:rPr>
        <w:t xml:space="preserve"> </w:t>
      </w:r>
      <w:r>
        <w:rPr>
          <w:lang w:val="it-IT"/>
        </w:rPr>
        <w:t>shoqëruar me modelin e biletës s</w:t>
      </w:r>
      <w:r w:rsidRPr="00C10D47">
        <w:rPr>
          <w:lang w:val="it-IT"/>
        </w:rPr>
        <w:t>ë propozuar nga organizatori</w:t>
      </w:r>
      <w:r>
        <w:rPr>
          <w:lang w:val="it-IT"/>
        </w:rPr>
        <w:t>;</w:t>
      </w:r>
    </w:p>
    <w:p w:rsidR="00E87E6B" w:rsidRPr="00C10D47" w:rsidRDefault="00E87E6B" w:rsidP="00E87E6B">
      <w:pPr>
        <w:pStyle w:val="Paragrafi"/>
        <w:rPr>
          <w:lang w:val="it-IT"/>
        </w:rPr>
      </w:pPr>
      <w:r w:rsidRPr="00C10D47">
        <w:rPr>
          <w:lang w:val="it-IT"/>
        </w:rPr>
        <w:t>b) Kontratën e lidhur me prodhuesin e biletës;</w:t>
      </w:r>
    </w:p>
    <w:p w:rsidR="00E87E6B" w:rsidRPr="00C10D47" w:rsidRDefault="00E87E6B" w:rsidP="00E87E6B">
      <w:pPr>
        <w:pStyle w:val="Paragrafi"/>
        <w:rPr>
          <w:lang w:val="it-IT"/>
        </w:rPr>
      </w:pPr>
      <w:r w:rsidRPr="00C10D47">
        <w:rPr>
          <w:lang w:val="it-IT"/>
        </w:rPr>
        <w:t>c) Detaje teknike të lojës dhe biletës;</w:t>
      </w:r>
    </w:p>
    <w:p w:rsidR="00E87E6B" w:rsidRPr="00C10D47" w:rsidRDefault="00E87E6B" w:rsidP="00E87E6B">
      <w:pPr>
        <w:pStyle w:val="Paragrafi"/>
        <w:rPr>
          <w:lang w:val="it-IT"/>
        </w:rPr>
      </w:pPr>
      <w:r w:rsidRPr="00C10D47">
        <w:rPr>
          <w:lang w:val="it-IT"/>
        </w:rPr>
        <w:t xml:space="preserve">d) </w:t>
      </w:r>
      <w:r>
        <w:rPr>
          <w:lang w:val="it-IT"/>
        </w:rPr>
        <w:t>Plan</w:t>
      </w:r>
      <w:r w:rsidRPr="00C10D47">
        <w:rPr>
          <w:lang w:val="it-IT"/>
        </w:rPr>
        <w:t>biznesin e zhvillimit të lojës (vetëm për shoqëritë e licencuara në kategorinë e loj</w:t>
      </w:r>
      <w:r>
        <w:rPr>
          <w:lang w:val="it-IT"/>
        </w:rPr>
        <w:t>ë</w:t>
      </w:r>
      <w:r w:rsidRPr="00C10D47">
        <w:rPr>
          <w:lang w:val="it-IT"/>
        </w:rPr>
        <w:t>rave “Lotari”).</w:t>
      </w:r>
    </w:p>
    <w:p w:rsidR="00E87E6B" w:rsidRPr="00C10D47" w:rsidRDefault="00E87E6B" w:rsidP="00E87E6B">
      <w:pPr>
        <w:pStyle w:val="Paragrafi"/>
        <w:rPr>
          <w:lang w:val="it-IT"/>
        </w:rPr>
      </w:pPr>
      <w:r w:rsidRPr="00C10D47">
        <w:rPr>
          <w:lang w:val="it-IT"/>
        </w:rPr>
        <w:t>3. Bileta e propozuar nga organizatori duhet të përmbajë elementet si më poshtë:</w:t>
      </w:r>
    </w:p>
    <w:p w:rsidR="00E87E6B" w:rsidRDefault="00E87E6B" w:rsidP="00E87E6B">
      <w:pPr>
        <w:pStyle w:val="Paragrafi"/>
        <w:rPr>
          <w:lang w:val="it-IT"/>
        </w:rPr>
      </w:pPr>
      <w:r w:rsidRPr="00C10D47">
        <w:rPr>
          <w:lang w:val="it-IT"/>
        </w:rPr>
        <w:t xml:space="preserve">a) Emrin e </w:t>
      </w:r>
      <w:r>
        <w:rPr>
          <w:lang w:val="it-IT"/>
        </w:rPr>
        <w:t>shoqërisë</w:t>
      </w:r>
      <w:r w:rsidRPr="00C10D47">
        <w:rPr>
          <w:lang w:val="it-IT"/>
        </w:rPr>
        <w:t>;</w:t>
      </w:r>
    </w:p>
    <w:p w:rsidR="00E87E6B" w:rsidRPr="00C10D47" w:rsidRDefault="00E87E6B" w:rsidP="00E87E6B">
      <w:pPr>
        <w:pStyle w:val="Paragrafi"/>
        <w:rPr>
          <w:lang w:val="it-IT"/>
        </w:rPr>
      </w:pPr>
    </w:p>
    <w:p w:rsidR="00E87E6B" w:rsidRPr="00C10D47" w:rsidRDefault="00E87E6B" w:rsidP="00E87E6B">
      <w:pPr>
        <w:pStyle w:val="Paragrafi"/>
        <w:rPr>
          <w:lang w:val="it-IT"/>
        </w:rPr>
      </w:pPr>
      <w:r w:rsidRPr="00C10D47">
        <w:rPr>
          <w:lang w:val="it-IT"/>
        </w:rPr>
        <w:t>b) Të përmbajë nënshkrimin e “Miratuar nga Ministria e Ekonomisë, Tregtisë dhe Energjetikës”;</w:t>
      </w:r>
    </w:p>
    <w:p w:rsidR="00E87E6B" w:rsidRPr="00C10D47" w:rsidRDefault="00E87E6B" w:rsidP="00E87E6B">
      <w:pPr>
        <w:pStyle w:val="Paragrafi"/>
        <w:rPr>
          <w:lang w:val="it-IT"/>
        </w:rPr>
      </w:pPr>
      <w:r w:rsidRPr="00C10D47">
        <w:rPr>
          <w:lang w:val="it-IT"/>
        </w:rPr>
        <w:t>c) Çmimi i biletës në lekë (përjashtuar biletat e lojërave sportive të fatit), ku të përfshihet TVSH</w:t>
      </w:r>
      <w:r>
        <w:rPr>
          <w:lang w:val="it-IT"/>
        </w:rPr>
        <w:t>-ja</w:t>
      </w:r>
      <w:r w:rsidRPr="00C10D47">
        <w:rPr>
          <w:lang w:val="it-IT"/>
        </w:rPr>
        <w:t>;</w:t>
      </w:r>
    </w:p>
    <w:p w:rsidR="00E87E6B" w:rsidRPr="00C10D47" w:rsidRDefault="00E87E6B" w:rsidP="00E87E6B">
      <w:pPr>
        <w:pStyle w:val="Paragrafi"/>
        <w:rPr>
          <w:lang w:val="it-IT"/>
        </w:rPr>
      </w:pPr>
      <w:r w:rsidRPr="00C10D47">
        <w:rPr>
          <w:lang w:val="it-IT"/>
        </w:rPr>
        <w:t>d) Numri serial i biletës (për biletat e lojës së fatit “bingo” duhet të jetë gjithmonë progresiv);</w:t>
      </w:r>
    </w:p>
    <w:p w:rsidR="00E87E6B" w:rsidRPr="00C10D47" w:rsidRDefault="00E87E6B" w:rsidP="00E87E6B">
      <w:pPr>
        <w:pStyle w:val="Paragrafi"/>
        <w:rPr>
          <w:lang w:val="it-IT"/>
        </w:rPr>
      </w:pPr>
      <w:r w:rsidRPr="00C10D47">
        <w:rPr>
          <w:lang w:val="it-IT"/>
        </w:rPr>
        <w:t>e) Elementi i sigurisë së biletës;</w:t>
      </w:r>
    </w:p>
    <w:p w:rsidR="00E87E6B" w:rsidRPr="00C10D47" w:rsidRDefault="00E87E6B" w:rsidP="00E87E6B">
      <w:pPr>
        <w:pStyle w:val="Paragrafi"/>
        <w:rPr>
          <w:lang w:val="it-IT"/>
        </w:rPr>
      </w:pPr>
      <w:r w:rsidRPr="00C10D47">
        <w:rPr>
          <w:lang w:val="it-IT"/>
        </w:rPr>
        <w:t>f) Rregullorja e lojës me çmimet përkatëse për fi</w:t>
      </w:r>
      <w:r>
        <w:rPr>
          <w:lang w:val="it-IT"/>
        </w:rPr>
        <w:t>tuesin (për biletat e l</w:t>
      </w:r>
      <w:r w:rsidRPr="00C10D47">
        <w:rPr>
          <w:lang w:val="it-IT"/>
        </w:rPr>
        <w:t>otarisë së çastit).</w:t>
      </w:r>
    </w:p>
    <w:p w:rsidR="00E87E6B" w:rsidRPr="00C10D47" w:rsidRDefault="00E87E6B" w:rsidP="00E87E6B">
      <w:pPr>
        <w:pStyle w:val="Paragrafi"/>
        <w:rPr>
          <w:lang w:val="it-IT"/>
        </w:rPr>
      </w:pPr>
      <w:r w:rsidRPr="00C10D47">
        <w:rPr>
          <w:lang w:val="it-IT"/>
        </w:rPr>
        <w:t>4. Biletat shtypen në mënyrë të përqendruar, në një sht</w:t>
      </w:r>
      <w:r>
        <w:rPr>
          <w:lang w:val="it-IT"/>
        </w:rPr>
        <w:t>ypshkronjë të akredituar brenda</w:t>
      </w:r>
      <w:r w:rsidRPr="00C10D47">
        <w:rPr>
          <w:lang w:val="it-IT"/>
        </w:rPr>
        <w:t xml:space="preserve"> ose jashtë vendit.</w:t>
      </w:r>
    </w:p>
    <w:p w:rsidR="00E87E6B" w:rsidRPr="00C10D47" w:rsidRDefault="00E87E6B" w:rsidP="00E87E6B">
      <w:pPr>
        <w:pStyle w:val="Paragrafi"/>
        <w:rPr>
          <w:lang w:val="it-IT"/>
        </w:rPr>
      </w:pPr>
      <w:r w:rsidRPr="00C10D47">
        <w:rPr>
          <w:lang w:val="it-IT"/>
        </w:rPr>
        <w:t>5. Në kontratën me shtypshkronjën do të përcaktoh</w:t>
      </w:r>
      <w:r>
        <w:rPr>
          <w:lang w:val="it-IT"/>
        </w:rPr>
        <w:t>e</w:t>
      </w:r>
      <w:r w:rsidRPr="00C10D47">
        <w:rPr>
          <w:lang w:val="it-IT"/>
        </w:rPr>
        <w:t>t data e fillimit të shtypjes së biletave, sasia në copë e biletave, numri serial i biletave, çmimi i shtypjes së biletav</w:t>
      </w:r>
      <w:r>
        <w:rPr>
          <w:lang w:val="it-IT"/>
        </w:rPr>
        <w:t>e</w:t>
      </w:r>
      <w:r w:rsidRPr="00C10D47">
        <w:rPr>
          <w:lang w:val="it-IT"/>
        </w:rPr>
        <w:t>, specifikimet teknike të biletave dhe vendosja e elementeve të sigurisë në biletë.</w:t>
      </w:r>
    </w:p>
    <w:p w:rsidR="00E87E6B" w:rsidRPr="00C10D47" w:rsidRDefault="00E87E6B" w:rsidP="00E87E6B">
      <w:pPr>
        <w:pStyle w:val="Paragrafi"/>
        <w:rPr>
          <w:lang w:val="it-IT"/>
        </w:rPr>
      </w:pPr>
      <w:r w:rsidRPr="00C10D47">
        <w:rPr>
          <w:lang w:val="it-IT"/>
        </w:rPr>
        <w:t>6. Organizatori depoziton pranë Drejtorisë së Licencave dhe Menaxhimit të Kontratave në METE, përpara hedhjes në qarkullim të bi</w:t>
      </w:r>
      <w:r>
        <w:rPr>
          <w:lang w:val="it-IT"/>
        </w:rPr>
        <w:t>letës për kategorinë e lojës “l</w:t>
      </w:r>
      <w:r w:rsidRPr="00C10D47">
        <w:rPr>
          <w:lang w:val="it-IT"/>
        </w:rPr>
        <w:t>otari me fitim në çast”, CD me kodet e sigurisë dhe çmimet fituese t</w:t>
      </w:r>
      <w:r>
        <w:rPr>
          <w:lang w:val="it-IT"/>
        </w:rPr>
        <w:t>ë</w:t>
      </w:r>
      <w:r w:rsidRPr="00C10D47">
        <w:rPr>
          <w:lang w:val="it-IT"/>
        </w:rPr>
        <w:t xml:space="preserve"> biletave si të prodhuar</w:t>
      </w:r>
      <w:r>
        <w:rPr>
          <w:lang w:val="it-IT"/>
        </w:rPr>
        <w:t>a</w:t>
      </w:r>
      <w:r w:rsidRPr="00C10D47">
        <w:rPr>
          <w:lang w:val="it-IT"/>
        </w:rPr>
        <w:t xml:space="preserve"> nga shtypshkronja</w:t>
      </w:r>
      <w:r>
        <w:rPr>
          <w:lang w:val="it-IT"/>
        </w:rPr>
        <w:t>,</w:t>
      </w:r>
      <w:r w:rsidRPr="00C10D47">
        <w:rPr>
          <w:lang w:val="it-IT"/>
        </w:rPr>
        <w:t xml:space="preserve"> me të cilën organizatori ka lidhur kontratën. Kjo CD hapet vetëm në përfundim të lojës dhe në prani të organizatorit.</w:t>
      </w:r>
    </w:p>
    <w:p w:rsidR="00E87E6B" w:rsidRDefault="00E87E6B" w:rsidP="00E87E6B">
      <w:pPr>
        <w:pStyle w:val="Paragrafi"/>
        <w:rPr>
          <w:lang w:val="it-IT" w:eastAsia="ja-JP"/>
        </w:rPr>
      </w:pPr>
      <w:r w:rsidRPr="00C10D47">
        <w:rPr>
          <w:lang w:val="it-IT"/>
        </w:rPr>
        <w:t>7. Organizatori është i detyruar të depozitojë në METE regjistrin e shpërndarjes së biletave, sip</w:t>
      </w:r>
      <w:r>
        <w:rPr>
          <w:lang w:val="it-IT"/>
        </w:rPr>
        <w:t>as sallave apo pikave të shitjes</w:t>
      </w:r>
      <w:r w:rsidRPr="00C10D47">
        <w:rPr>
          <w:lang w:val="it-IT"/>
        </w:rPr>
        <w:t xml:space="preserve"> në të gjithë territorin e vendit përpara hedhjes në qarkullim të biletës dhe të njoftojë në vazhdimësi për </w:t>
      </w:r>
      <w:r w:rsidRPr="00C10D47">
        <w:rPr>
          <w:lang w:val="it-IT" w:eastAsia="ja-JP"/>
        </w:rPr>
        <w:t>çdo parti  të re furnizimi në këto pika shitjeje.</w:t>
      </w:r>
    </w:p>
    <w:p w:rsidR="00E87E6B" w:rsidRDefault="00E87E6B" w:rsidP="00E87E6B">
      <w:pPr>
        <w:pStyle w:val="Paragrafi"/>
        <w:rPr>
          <w:lang w:val="it-IT" w:eastAsia="ja-JP"/>
        </w:rPr>
      </w:pPr>
      <w:r>
        <w:rPr>
          <w:lang w:val="it-IT" w:eastAsia="ja-JP"/>
        </w:rPr>
        <w:t>8. Organizatori i lotarisë së çastit/me shorte është i detyruar të publikojë në të gjitha pikat e shitjes së biletave:</w:t>
      </w:r>
    </w:p>
    <w:p w:rsidR="00E87E6B" w:rsidRDefault="00E87E6B" w:rsidP="00E87E6B">
      <w:pPr>
        <w:pStyle w:val="Paragrafi"/>
        <w:rPr>
          <w:lang w:val="it-IT" w:eastAsia="ja-JP"/>
        </w:rPr>
      </w:pPr>
      <w:r>
        <w:rPr>
          <w:lang w:val="it-IT" w:eastAsia="ja-JP"/>
        </w:rPr>
        <w:t>a) serinë e plotë të biletave të hedhura në qarkullim në të gjithë territorin e vendit;</w:t>
      </w:r>
    </w:p>
    <w:p w:rsidR="00E87E6B" w:rsidRDefault="00E87E6B" w:rsidP="00E87E6B">
      <w:pPr>
        <w:pStyle w:val="Paragrafi"/>
        <w:rPr>
          <w:lang w:val="it-IT" w:eastAsia="ja-JP"/>
        </w:rPr>
      </w:pPr>
      <w:r>
        <w:rPr>
          <w:lang w:val="it-IT" w:eastAsia="ja-JP"/>
        </w:rPr>
        <w:t>b) rregulloren e lojës.</w:t>
      </w:r>
    </w:p>
    <w:p w:rsidR="00E87E6B" w:rsidRDefault="00E87E6B" w:rsidP="00E87E6B">
      <w:pPr>
        <w:pStyle w:val="Paragrafi"/>
        <w:rPr>
          <w:lang w:val="it-IT" w:eastAsia="ja-JP"/>
        </w:rPr>
      </w:pPr>
      <w:r>
        <w:rPr>
          <w:lang w:val="it-IT" w:eastAsia="ja-JP"/>
        </w:rPr>
        <w:t xml:space="preserve">9. METE publikon në faqen e saj të internetit çdo biletë në kategorinë e lojërave të fatit “lotari”, të miratuar nga Ministri përgjegjës për ekonominë dhe serinë e numrave të hedhur në </w:t>
      </w:r>
      <w:r>
        <w:rPr>
          <w:lang w:val="it-IT" w:eastAsia="ja-JP"/>
        </w:rPr>
        <w:lastRenderedPageBreak/>
        <w:t>qarkullim.</w:t>
      </w:r>
    </w:p>
    <w:p w:rsidR="00E87E6B" w:rsidRPr="00C10D47" w:rsidRDefault="00E87E6B" w:rsidP="00E87E6B">
      <w:pPr>
        <w:pStyle w:val="Paragrafi"/>
        <w:rPr>
          <w:lang w:val="it-IT" w:eastAsia="ja-JP"/>
        </w:rPr>
      </w:pPr>
      <w:r>
        <w:rPr>
          <w:lang w:val="it-IT" w:eastAsia="ja-JP"/>
        </w:rPr>
        <w:t>10</w:t>
      </w:r>
      <w:r w:rsidRPr="00C10D47">
        <w:rPr>
          <w:lang w:val="it-IT" w:eastAsia="ja-JP"/>
        </w:rPr>
        <w:t>. Organizatori i lojës njofton METE në çdo tre muaj mbi xhiron e realizuar nga shoqëria</w:t>
      </w:r>
      <w:r>
        <w:rPr>
          <w:lang w:val="it-IT" w:eastAsia="ja-JP"/>
        </w:rPr>
        <w:t>,</w:t>
      </w:r>
      <w:r w:rsidRPr="00C10D47">
        <w:rPr>
          <w:lang w:val="it-IT" w:eastAsia="ja-JP"/>
        </w:rPr>
        <w:t xml:space="preserve"> bazuar mbi shitjen e biletave; sasinë e shitur të biletave dhe çmimet fituese, si dhe derdhjen e detyrimeve ta</w:t>
      </w:r>
      <w:r>
        <w:rPr>
          <w:lang w:val="it-IT" w:eastAsia="ja-JP"/>
        </w:rPr>
        <w:t>timore, sipas ligjit.</w:t>
      </w:r>
    </w:p>
    <w:p w:rsidR="00E87E6B" w:rsidRPr="00C10D47" w:rsidRDefault="00E87E6B" w:rsidP="00E87E6B">
      <w:pPr>
        <w:pStyle w:val="Paragrafi"/>
        <w:rPr>
          <w:lang w:val="it-IT" w:eastAsia="ja-JP"/>
        </w:rPr>
      </w:pPr>
      <w:r w:rsidRPr="00C10D47">
        <w:rPr>
          <w:lang w:val="it-IT" w:eastAsia="ja-JP"/>
        </w:rPr>
        <w:t>11. Mbyllja e lojës dhe asgjësimi i biletave bëhet vetëm me miratim të Ministrit përgj</w:t>
      </w:r>
      <w:r>
        <w:rPr>
          <w:lang w:val="it-IT" w:eastAsia="ja-JP"/>
        </w:rPr>
        <w:t>e</w:t>
      </w:r>
      <w:r w:rsidRPr="00C10D47">
        <w:rPr>
          <w:lang w:val="it-IT" w:eastAsia="ja-JP"/>
        </w:rPr>
        <w:t>gjës për ekonominë</w:t>
      </w:r>
      <w:r>
        <w:rPr>
          <w:lang w:val="it-IT" w:eastAsia="ja-JP"/>
        </w:rPr>
        <w:t>.</w:t>
      </w:r>
    </w:p>
    <w:p w:rsidR="00E87E6B" w:rsidRPr="00C10D47" w:rsidRDefault="00E87E6B" w:rsidP="00E87E6B">
      <w:pPr>
        <w:pStyle w:val="Paragrafi"/>
        <w:rPr>
          <w:lang w:val="it-IT" w:eastAsia="ja-JP"/>
        </w:rPr>
      </w:pPr>
      <w:r w:rsidRPr="00C10D47">
        <w:rPr>
          <w:lang w:val="it-IT" w:eastAsia="ja-JP"/>
        </w:rPr>
        <w:t>Ky udhëzim hyn në fuqi menjëherë dhe botohet në Fletoren Zyrtare</w:t>
      </w:r>
      <w:r>
        <w:rPr>
          <w:lang w:val="it-IT" w:eastAsia="ja-JP"/>
        </w:rPr>
        <w:t>.</w:t>
      </w:r>
    </w:p>
    <w:p w:rsidR="00E87E6B" w:rsidRPr="00C10D47" w:rsidRDefault="00E87E6B" w:rsidP="00E87E6B">
      <w:pPr>
        <w:pStyle w:val="Paragrafi"/>
        <w:rPr>
          <w:lang w:val="it-IT" w:eastAsia="ja-JP"/>
        </w:rPr>
      </w:pPr>
    </w:p>
    <w:p w:rsidR="00E87E6B" w:rsidRPr="00C10D47" w:rsidRDefault="00E87E6B" w:rsidP="00E87E6B">
      <w:pPr>
        <w:pStyle w:val="Autoriteti"/>
        <w:keepNext w:val="0"/>
        <w:rPr>
          <w:lang w:val="it-IT" w:eastAsia="ja-JP"/>
        </w:rPr>
      </w:pPr>
      <w:r w:rsidRPr="00C10D47">
        <w:rPr>
          <w:lang w:val="it-IT" w:eastAsia="ja-JP"/>
        </w:rPr>
        <w:t xml:space="preserve">Ministri i Ekonomisë, Tregtisë </w:t>
      </w:r>
    </w:p>
    <w:p w:rsidR="00E87E6B" w:rsidRPr="00C10D47" w:rsidRDefault="00E87E6B" w:rsidP="00E87E6B">
      <w:pPr>
        <w:pStyle w:val="Autoriteti"/>
        <w:keepNext w:val="0"/>
        <w:rPr>
          <w:lang w:val="it-IT" w:eastAsia="ja-JP"/>
        </w:rPr>
      </w:pPr>
      <w:r w:rsidRPr="00C10D47">
        <w:rPr>
          <w:lang w:val="it-IT" w:eastAsia="ja-JP"/>
        </w:rPr>
        <w:t>dhe Energjetikës</w:t>
      </w:r>
    </w:p>
    <w:p w:rsidR="00E87E6B" w:rsidRPr="00C853F7" w:rsidRDefault="00E87E6B" w:rsidP="00E87E6B">
      <w:pPr>
        <w:pStyle w:val="AutoritetiEmer"/>
      </w:pPr>
      <w:r w:rsidRPr="00C853F7">
        <w:t>Genc Ruli</w:t>
      </w:r>
    </w:p>
    <w:p w:rsidR="000178C2" w:rsidRPr="00C84B66" w:rsidRDefault="000178C2" w:rsidP="00E87E6B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87E6B"/>
    <w:rsid w:val="000178C2"/>
    <w:rsid w:val="001565AF"/>
    <w:rsid w:val="00C84B66"/>
    <w:rsid w:val="00E8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645EE56-0CA0-46A9-BBCD-76B95D2C7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E87E6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E87E6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87E6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E87E6B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87E6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E87E6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Titulli">
    <w:name w:val="Titulli"/>
    <w:next w:val="Normal"/>
    <w:link w:val="TitulliChar"/>
    <w:rsid w:val="00E87E6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E87E6B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E87E6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E87E6B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E87E6B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3937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--</dc:creator>
  <cp:keywords/>
  <dc:description/>
  <cp:lastModifiedBy>Inida Noga</cp:lastModifiedBy>
  <cp:revision>2</cp:revision>
  <dcterms:created xsi:type="dcterms:W3CDTF">2019-03-16T14:49:00Z</dcterms:created>
  <dcterms:modified xsi:type="dcterms:W3CDTF">2019-03-16T14:49:00Z</dcterms:modified>
</cp:coreProperties>
</file>