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E2A" w:rsidRPr="0012206F" w:rsidRDefault="00517E2A" w:rsidP="00517E2A">
      <w:pPr>
        <w:pStyle w:val="Akti"/>
      </w:pPr>
      <w:bookmarkStart w:id="0" w:name="_GoBack"/>
      <w:bookmarkEnd w:id="0"/>
      <w:r w:rsidRPr="0012206F">
        <w:t>UDHËZIM</w:t>
      </w:r>
    </w:p>
    <w:p w:rsidR="00517E2A" w:rsidRPr="0012206F" w:rsidRDefault="00517E2A" w:rsidP="0028716D">
      <w:pPr>
        <w:pStyle w:val="NumriData"/>
      </w:pPr>
      <w:r w:rsidRPr="0012206F">
        <w:t>Nr.14, datë 6.8.2007</w:t>
      </w:r>
    </w:p>
    <w:p w:rsidR="00517E2A" w:rsidRPr="0012206F" w:rsidRDefault="00517E2A" w:rsidP="00517E2A">
      <w:pPr>
        <w:pStyle w:val="Paragrafi"/>
      </w:pPr>
    </w:p>
    <w:p w:rsidR="00517E2A" w:rsidRPr="0012206F" w:rsidRDefault="00517E2A" w:rsidP="00517E2A">
      <w:pPr>
        <w:pStyle w:val="Titulli"/>
      </w:pPr>
      <w:r w:rsidRPr="0012206F">
        <w:t>PËR DISA NDRYSHIME NË UDHËZIMIN NR.2, DATË 30.1.2006</w:t>
      </w:r>
    </w:p>
    <w:p w:rsidR="00517E2A" w:rsidRPr="0012206F" w:rsidRDefault="00517E2A" w:rsidP="00517E2A">
      <w:pPr>
        <w:pStyle w:val="Titulli"/>
      </w:pPr>
      <w:r w:rsidRPr="0012206F">
        <w:t>“PËR PROCEDURAT TATIMORE”</w:t>
      </w:r>
    </w:p>
    <w:p w:rsidR="00517E2A" w:rsidRPr="0012206F" w:rsidRDefault="00517E2A" w:rsidP="00517E2A">
      <w:pPr>
        <w:pStyle w:val="Paragrafi"/>
      </w:pPr>
    </w:p>
    <w:p w:rsidR="00517E2A" w:rsidRPr="0012206F" w:rsidRDefault="00517E2A" w:rsidP="00517E2A">
      <w:pPr>
        <w:pStyle w:val="BazLigjPropozues"/>
      </w:pPr>
      <w:r w:rsidRPr="0012206F">
        <w:t>Në mbështetje të nenit 102, pika 4 të Kushtetutës së Republikës së Shqipërisë dhe në zbatim të ligjit nr.8560, datë 22.12.1999 “Për procedurat tatimore në Republikën e Shqipërisë”, i ndryshuar me ligjin nr.9713, datë 16.4.2007, Ministri i Financave,</w:t>
      </w:r>
    </w:p>
    <w:p w:rsidR="00517E2A" w:rsidRPr="0012206F" w:rsidRDefault="00517E2A" w:rsidP="00517E2A">
      <w:pPr>
        <w:pStyle w:val="Paragrafi"/>
      </w:pPr>
    </w:p>
    <w:p w:rsidR="00517E2A" w:rsidRPr="0012206F" w:rsidRDefault="00517E2A" w:rsidP="00517E2A">
      <w:pPr>
        <w:pStyle w:val="VENDOSI"/>
      </w:pPr>
      <w:r w:rsidRPr="0012206F">
        <w:t>UDHËZON:</w:t>
      </w:r>
    </w:p>
    <w:p w:rsidR="00517E2A" w:rsidRPr="0012206F" w:rsidRDefault="00517E2A" w:rsidP="00517E2A">
      <w:pPr>
        <w:pStyle w:val="Paragrafi"/>
      </w:pPr>
    </w:p>
    <w:p w:rsidR="00517E2A" w:rsidRPr="0012206F" w:rsidRDefault="00517E2A" w:rsidP="00517E2A">
      <w:pPr>
        <w:pStyle w:val="Paragrafi"/>
      </w:pPr>
      <w:r w:rsidRPr="0012206F">
        <w:t>Në udhëzimin nr.2, datë 30.1.2006 “Për procedurat tatimore” bëhen këto ndryshime:</w:t>
      </w:r>
    </w:p>
    <w:p w:rsidR="00517E2A" w:rsidRPr="0012206F" w:rsidRDefault="00517E2A" w:rsidP="00517E2A">
      <w:pPr>
        <w:pStyle w:val="Paragrafi"/>
      </w:pPr>
      <w:r w:rsidRPr="0012206F">
        <w:t>1. Pika 2.3.3 në zbatim të nenit 41 të ligjit, riformulohet si më poshtë:</w:t>
      </w:r>
    </w:p>
    <w:p w:rsidR="00517E2A" w:rsidRPr="0012206F" w:rsidRDefault="00517E2A" w:rsidP="00517E2A">
      <w:pPr>
        <w:pStyle w:val="Paragrafi"/>
      </w:pPr>
      <w:r w:rsidRPr="0012206F">
        <w:t>Për shkaqe që kanë të bëjnë me gjendjen e keqe të përkohshme financiare të tatimpaguesit, ky i fundit mund të kërkojë në formë shkresore të paguajë me këste një detyrim tatimor të papaguar.</w:t>
      </w:r>
    </w:p>
    <w:p w:rsidR="00517E2A" w:rsidRPr="0012206F" w:rsidRDefault="00517E2A" w:rsidP="00517E2A">
      <w:pPr>
        <w:pStyle w:val="Paragrafi"/>
      </w:pPr>
      <w:r w:rsidRPr="0012206F">
        <w:t xml:space="preserve">Organet tatimore pranojnë pagesën me këste të detyrimit tatimor, duke hartuar në këtë rast një marrëveshje me shkrim me tatimpaguesit. Pagesa me këste nuk mund të pranohet për një periudhë me të gjatë se 9 muaj nga momenti i nënshkrimit të marrëveshjes. Në muajin e parë, pagesa e këstit për detyrimin tatimor nuk do të jetë më e vogël se 30 % e shumës së detyrimit gjithsej, ndërsa pjesa e mbetur paguhet për 8 muajt e tjerë. Pagesa me këste e një detyrimi tatimor, nuk ndërpret llogaritjen e interesave për të gjithë detyrimin. Pranimi nga organet tatimore i pagesës me këste të një detyrimi tatimor të papaguar, do të thotë se gjatë periudhës për të cilën është rënë dakord për pagimin me këste, ndaj tatimpaguesit nuk mund të merren masat e vjeljes me forcë të detyrimeve tatimore të përcaktuara në nenet 45 e 46 të ligjit (nxjerrja e vendimeve ekzekutive për bllokimin e llogarive bankare, sekuestrimin e pasurisë, mbylljen e veprimtarisë etj.). Këto masa merren vetëm pasi ka përfunduar afati për të cilin është pranuar pagesa me këste dhe, kur tatimpaguesi nuk ka respektuar derdhjen e kësteve në shumën e duhur dhe në afatin e caktuar.  </w:t>
      </w:r>
    </w:p>
    <w:p w:rsidR="00517E2A" w:rsidRPr="0012206F" w:rsidRDefault="00517E2A" w:rsidP="00517E2A">
      <w:pPr>
        <w:pStyle w:val="Paragrafi"/>
      </w:pPr>
      <w:r w:rsidRPr="0012206F">
        <w:t>2. Pika 3.1.2 “Dënimet për shkeljet lidhur me regjistrimin” në zbatim të nenit 49 të ligjit, riformulohet si më poshtë:</w:t>
      </w:r>
    </w:p>
    <w:p w:rsidR="00517E2A" w:rsidRPr="0012206F" w:rsidRDefault="00517E2A" w:rsidP="00517E2A">
      <w:pPr>
        <w:pStyle w:val="Paragrafi"/>
      </w:pPr>
      <w:r w:rsidRPr="0012206F">
        <w:t>a) Në rastet kur tatimpaguesi ushtron aktivitet të paregjistruar në organet tatimore dhe pa u pajisur më parë me certifikatë tatimore, ndaj tyre fillimisht merret masa e bllokimit të veprimtarisë deri në momentin e regjistrimit dhe pajisjes me certifikatë nga organet tatimore. Në rastin e transportit, bllokimi i veprimtarisë shoqërohet edhe me marrjen e lejes së qarkullimit të automjetit të paregjistruar dhe të papajisur më certifikatë tatimore.</w:t>
      </w:r>
    </w:p>
    <w:p w:rsidR="00517E2A" w:rsidRPr="0012206F" w:rsidRDefault="00517E2A" w:rsidP="00517E2A">
      <w:pPr>
        <w:pStyle w:val="Paragrafi"/>
      </w:pPr>
      <w:r w:rsidRPr="0012206F">
        <w:t xml:space="preserve">Brenda 5 ditëve nga marrja e lejes së qarkullimit nga organet tatimore, duhet të njoftohet zyrtarisht Drejtoria e Përgjithshme e Shërbimit të Transportit Rrugor. </w:t>
      </w:r>
    </w:p>
    <w:p w:rsidR="00517E2A" w:rsidRPr="0012206F" w:rsidRDefault="00517E2A" w:rsidP="00517E2A">
      <w:pPr>
        <w:pStyle w:val="Paragrafi"/>
      </w:pPr>
      <w:r w:rsidRPr="0012206F">
        <w:t>Në rast se tatimpaguesi, ndaj të cilit është marrë më parë masa e bllokimit të veprimtarisë gjendet duke ushtruar veprimtarinë, atëherë organet tatimore sekuestrojnë pasuritë në vendin e biznesit, sipas modelit të procesverbalit të sekuestrimit bashkëlidhur këtij udhëzimi.</w:t>
      </w:r>
    </w:p>
    <w:p w:rsidR="00517E2A" w:rsidRPr="0012206F" w:rsidRDefault="00517E2A" w:rsidP="00517E2A">
      <w:pPr>
        <w:pStyle w:val="Paragrafi"/>
      </w:pPr>
      <w:r w:rsidRPr="0012206F">
        <w:t>b) Në rastet kur tatimpaguesi nuk ka njoftuar organin tatimor për ndryshimet e reja në regjistrim, të cilat kanë të bëjnë me adresën e vendit ku ushtrohet veprimtaria, dënohet me bllokim të veprimtarisë deri në momentin e regjistrimit të adresës së re të vendit ku ushtron veprimtarinë, si dhe pajisjen e tij me certifikatë dytësore regjistrimi (NIPT sekondar).</w:t>
      </w:r>
    </w:p>
    <w:p w:rsidR="00517E2A" w:rsidRPr="0012206F" w:rsidRDefault="00517E2A" w:rsidP="00517E2A">
      <w:pPr>
        <w:pStyle w:val="Paragrafi"/>
      </w:pPr>
      <w:r w:rsidRPr="0012206F">
        <w:t xml:space="preserve"> Në rastin e transportit, bllokimi i veprimtarisë shoqërohet edhe me marrjen e lejes së qarkullimit të automjetit të paregjistruar dhe të papajisur më certifikatë tatimore.</w:t>
      </w:r>
    </w:p>
    <w:p w:rsidR="00517E2A" w:rsidRPr="0012206F" w:rsidRDefault="00517E2A" w:rsidP="00517E2A">
      <w:pPr>
        <w:pStyle w:val="Paragrafi"/>
      </w:pPr>
      <w:r w:rsidRPr="0012206F">
        <w:t xml:space="preserve">Brenda 5 ditëve nga marrja e lejes së qarkullimit nga organet tatimore, duhet të njoftohet zyrtarisht Drejtoria e Përgjithshme e Shërbimit të Transportit Rrugor. </w:t>
      </w:r>
    </w:p>
    <w:p w:rsidR="00517E2A" w:rsidRPr="0012206F" w:rsidRDefault="00517E2A" w:rsidP="00517E2A">
      <w:pPr>
        <w:pStyle w:val="Paragrafi"/>
      </w:pPr>
      <w:r w:rsidRPr="0012206F">
        <w:t>Në rast se tatimpaguesi ndaj të cilit është marrë më parë masa e bllokimit të veprimtarisë gjendet duke ushtruar veprimtarinë, atëherë organet tatimore sekuestrojnë pasuritë në vendin e ri të biznesit, sipas modelit të procesverbalit të sekuestrimit bashkëlidhur këtij udhëzimi.</w:t>
      </w:r>
    </w:p>
    <w:p w:rsidR="00517E2A" w:rsidRPr="00517E2A" w:rsidRDefault="00517E2A" w:rsidP="00517E2A">
      <w:pPr>
        <w:pStyle w:val="Paragrafi"/>
        <w:rPr>
          <w:lang w:val="it-IT"/>
        </w:rPr>
      </w:pPr>
      <w:r w:rsidRPr="00517E2A">
        <w:rPr>
          <w:lang w:val="it-IT"/>
        </w:rPr>
        <w:t>3. Pika 3.1.5 “Dënimet për mosdokumentim”, riformulohet si më poshtë:</w:t>
      </w:r>
    </w:p>
    <w:p w:rsidR="00517E2A" w:rsidRPr="00517E2A" w:rsidRDefault="00517E2A" w:rsidP="00517E2A">
      <w:pPr>
        <w:pStyle w:val="Paragrafi"/>
        <w:rPr>
          <w:lang w:val="it-IT"/>
        </w:rPr>
      </w:pPr>
      <w:r w:rsidRPr="00517E2A">
        <w:rPr>
          <w:lang w:val="it-IT"/>
        </w:rPr>
        <w:tab/>
      </w:r>
    </w:p>
    <w:p w:rsidR="00517E2A" w:rsidRPr="00517E2A" w:rsidRDefault="00517E2A" w:rsidP="00517E2A">
      <w:pPr>
        <w:pStyle w:val="Paragrafi"/>
        <w:rPr>
          <w:lang w:val="it-IT"/>
        </w:rPr>
      </w:pPr>
      <w:r w:rsidRPr="00517E2A">
        <w:rPr>
          <w:lang w:val="it-IT"/>
        </w:rPr>
        <w:t xml:space="preserve">Ruajtja, përdorimi dhe transportimi i mallrave justifikohet në çdo rast me dokumentin përkatës. Për çdo rast shitjeje të mallrave, tatimpaguesi shitës është i detyruar të lëshojë dokumentet </w:t>
      </w:r>
      <w:r w:rsidRPr="00517E2A">
        <w:rPr>
          <w:lang w:val="it-IT"/>
        </w:rPr>
        <w:lastRenderedPageBreak/>
        <w:t xml:space="preserve">përkatëse të shitjes që janë: </w:t>
      </w:r>
    </w:p>
    <w:p w:rsidR="00517E2A" w:rsidRPr="0012206F" w:rsidRDefault="00517E2A" w:rsidP="00517E2A">
      <w:pPr>
        <w:pStyle w:val="Paragrafi"/>
      </w:pPr>
      <w:r w:rsidRPr="0012206F">
        <w:t xml:space="preserve">- Kupon tatimor në rastin kur tatimpaguesi është i pajisur me arkë regjistruese. Ky kupon i jepet klientit për çdo shitje të kryer. </w:t>
      </w:r>
    </w:p>
    <w:p w:rsidR="00517E2A" w:rsidRPr="0012206F" w:rsidRDefault="00517E2A" w:rsidP="00517E2A">
      <w:pPr>
        <w:pStyle w:val="Paragrafi"/>
      </w:pPr>
      <w:r w:rsidRPr="0012206F">
        <w:t xml:space="preserve">- Dëftesë tatimore në rastin kur tatimpaguesi nuk është pajisur me arkë regjistruese. Dëftesat tatimore përgatiten në dy kopje me letër vetëkopjuese nga të cilat njëra i jepet klientit. </w:t>
      </w:r>
    </w:p>
    <w:p w:rsidR="00517E2A" w:rsidRPr="0012206F" w:rsidRDefault="00517E2A" w:rsidP="00517E2A">
      <w:pPr>
        <w:pStyle w:val="Paragrafi"/>
      </w:pPr>
      <w:r w:rsidRPr="0012206F">
        <w:t xml:space="preserve">- Faturë e thjeshtë tatimore, e cila lëshohet vetëm nga tatimpaguesit e taksës vendore dhe tatimit të thjeshtuar mbi fitimin, të cilët shesin mallra apo shërbime për klientë, të cilët nuk janë konsumatorë finalë të mallit apo shërbimit, por i kryejnë këto blerje për qëllim përpunimi apo rishitje, pra janë subjekte të regjistruara për tatimet. Tatimpaguesi duhet t’i japë klientit një faturë për çdo shitje mallrash apo shërbimesh. Fatura do të përbëhet nga dy kopje duke përdorur letër vetëkopjuese ose letër karbon, dhe tatimpaguesi i jep një kopje klientit dhe një kopje e mban vetë. Fatura duhet të jetë me numër serial, dhe numri i faturës duhet të shënohet në librin e shitjeve dhe blerjeve. </w:t>
      </w:r>
    </w:p>
    <w:p w:rsidR="00517E2A" w:rsidRPr="0012206F" w:rsidRDefault="00517E2A" w:rsidP="00517E2A">
      <w:pPr>
        <w:pStyle w:val="Paragrafi"/>
      </w:pPr>
      <w:r w:rsidRPr="0012206F">
        <w:t>- Faturë tatimore me TVSH, e cila lëshohet nga tatimpaguesit e regjistruar me TVSH, siç përcaktohet në ligjin mbi TVSH-në dhe në udhëzimin e Ministrisë së Financave në zbatim të tij.</w:t>
      </w:r>
    </w:p>
    <w:p w:rsidR="00517E2A" w:rsidRPr="0012206F" w:rsidRDefault="00517E2A" w:rsidP="00517E2A">
      <w:pPr>
        <w:pStyle w:val="Paragrafi"/>
      </w:pPr>
      <w:r w:rsidRPr="0012206F">
        <w:t xml:space="preserve">Transportimi i mallrave justifikohet në çdo rast me dokumentin përkatës të shoqërimit. Për çdo rast që kemi të bëjmë me shitje të mallrave, tatimpaguesi shitës është i detyruar të lëshojë faturën përkatëse të shitjes, e cila në rastin kur shitësi është tatimpagues i regjistruar në TVSH do të jetë faturë tatimore me TVSH me numër serial dhe në rastin kur shitësi është tatimpagues i tatimit të thjeshtuar mbi fitimin, faturë e thjeshtë shitjeje, siç sqarohet më lart në pikën 3.1.5. </w:t>
      </w:r>
    </w:p>
    <w:p w:rsidR="00517E2A" w:rsidRPr="0012206F" w:rsidRDefault="00517E2A" w:rsidP="00517E2A">
      <w:pPr>
        <w:pStyle w:val="Paragrafi"/>
      </w:pPr>
      <w:r w:rsidRPr="0012206F">
        <w:t xml:space="preserve">Ruajtja, përdorimi dhe transportimi i mallrave pa një nga dokumentet e mësipërme është shkelje dhe dënohet me sekuestrim të mallrave të padokumentuara, sipas modelit të procesverbalit të sekuestrimit bashkëlidhur këtij udhëzimi. </w:t>
      </w:r>
    </w:p>
    <w:p w:rsidR="00517E2A" w:rsidRPr="0012206F" w:rsidRDefault="00517E2A" w:rsidP="00517E2A">
      <w:pPr>
        <w:pStyle w:val="Paragrafi"/>
      </w:pPr>
      <w:r w:rsidRPr="0012206F">
        <w:t>Kur nuk kemi të bëjmë me shitje të mallrave, por me lëvizje të brendshme të tyre (nga magazina në magazinë ose dyqan, nga qendra e tatimpaguesit drejt filialeve apo degëve të tij), lëvizja dokumentohet me dokumentin e shoqërimit të mallit, i cili do të ketë formën dhe përmbajtjen sipas formularit bashkëngjitur këtij udhëzimi, si dhe me një fotokopje të certifikatës dytësore të regjistrimit (NIPT sekondar).</w:t>
      </w:r>
    </w:p>
    <w:p w:rsidR="00517E2A" w:rsidRPr="0012206F" w:rsidRDefault="00517E2A" w:rsidP="00517E2A">
      <w:pPr>
        <w:pStyle w:val="Paragrafi"/>
      </w:pPr>
      <w:r w:rsidRPr="0012206F">
        <w:t xml:space="preserve"> Në rastet kur punonjësit e Policisë Tatimore dyshojnë për vërtetësinë e dokumentit të shoqërimit të mallit, ata marrin masa për të shoqëruar mallin deri në destinacionin e shënuar në dokument. Kur rezulton se tatimpaguesi në fakt mallin e kishte të destinuar për shitje (pra nuk kemi të bëjmë me shitje të brendshme), ai dënohet me sekuestrim të mallit.   </w:t>
      </w:r>
    </w:p>
    <w:p w:rsidR="00517E2A" w:rsidRPr="0012206F" w:rsidRDefault="00517E2A" w:rsidP="00517E2A">
      <w:pPr>
        <w:pStyle w:val="Paragrafi"/>
      </w:pPr>
      <w:r w:rsidRPr="0012206F">
        <w:t xml:space="preserve">4. Paragrafi i fundit në pikën 4.1.1 “Të drejtën e apelimit e ka çdo tatimpagues në lidhje:”, riformulohet si më poshtë: </w:t>
      </w:r>
    </w:p>
    <w:p w:rsidR="00517E2A" w:rsidRPr="0012206F" w:rsidRDefault="00517E2A" w:rsidP="00517E2A">
      <w:pPr>
        <w:pStyle w:val="Paragrafi"/>
      </w:pPr>
      <w:r w:rsidRPr="0012206F">
        <w:t>- Me çdo vlerësim tatimor, me anë të të cilit janë përcaktuar detyrimi tatimor, interesat dhe gjobat;</w:t>
      </w:r>
    </w:p>
    <w:p w:rsidR="00517E2A" w:rsidRPr="0012206F" w:rsidRDefault="00517E2A" w:rsidP="00517E2A">
      <w:pPr>
        <w:pStyle w:val="Paragrafi"/>
      </w:pPr>
      <w:r w:rsidRPr="0012206F">
        <w:t>- Me çdo vendim të organit tatimor, që ka të bëjë me pretendimin e tatimpaguesit për rimbursim apo përjashtim tatimor;</w:t>
      </w:r>
    </w:p>
    <w:p w:rsidR="00517E2A" w:rsidRPr="0012206F" w:rsidRDefault="00517E2A" w:rsidP="00517E2A">
      <w:pPr>
        <w:pStyle w:val="Paragrafi"/>
      </w:pPr>
      <w:r w:rsidRPr="0012206F">
        <w:t>- Me çdo akt zyrtar të degës së tatimeve, që ka të bëjë me mënyrën e përcaktimit të detyrimit tatimor dhe me bazën ligjore të përcaktimit të këtij detyrimi, si dhe ndaj çdo veprimi apo mosveprimi të degës së tatimeve;</w:t>
      </w:r>
    </w:p>
    <w:p w:rsidR="00517E2A" w:rsidRPr="0012206F" w:rsidRDefault="00517E2A" w:rsidP="00517E2A">
      <w:pPr>
        <w:pStyle w:val="Paragrafi"/>
      </w:pPr>
      <w:r w:rsidRPr="0012206F">
        <w:t>- Me çdo vendim ekzekutiv të posaçëm, që ka të bëjë me të.</w:t>
      </w:r>
    </w:p>
    <w:p w:rsidR="00517E2A" w:rsidRPr="0012206F" w:rsidRDefault="00517E2A" w:rsidP="00517E2A">
      <w:pPr>
        <w:pStyle w:val="Paragrafi"/>
      </w:pPr>
      <w:r w:rsidRPr="0012206F">
        <w:t>Apelimi bëhet me shkrim dhe në krye të shkresës jepet shënimi “Kërkesë për apelim”.</w:t>
      </w:r>
    </w:p>
    <w:p w:rsidR="00517E2A" w:rsidRPr="0012206F" w:rsidRDefault="00517E2A" w:rsidP="00517E2A">
      <w:pPr>
        <w:pStyle w:val="Paragrafi"/>
      </w:pPr>
      <w:r w:rsidRPr="0012206F">
        <w:t>Në kërkesën për apelim përcaktohen qartë:</w:t>
      </w:r>
    </w:p>
    <w:p w:rsidR="00517E2A" w:rsidRPr="0012206F" w:rsidRDefault="00517E2A" w:rsidP="00517E2A">
      <w:pPr>
        <w:pStyle w:val="Paragrafi"/>
      </w:pPr>
      <w:r w:rsidRPr="0012206F">
        <w:t>- Të dhënat identifikuese të tatimpaguesit si emri, NIPT, dega e tatimeve ku është regjistruar, adresa (e tij ose e përfaqësuesit), numri i telefonit etj.</w:t>
      </w:r>
    </w:p>
    <w:p w:rsidR="00517E2A" w:rsidRPr="0012206F" w:rsidRDefault="00517E2A" w:rsidP="00517E2A">
      <w:pPr>
        <w:pStyle w:val="Paragrafi"/>
      </w:pPr>
      <w:r w:rsidRPr="0012206F">
        <w:t>- Objekti i apelimit, lloji i detyrimit/detyrimeve që apelohen dhe shuma e detyrimit/detyrimeve që apelohen.</w:t>
      </w:r>
    </w:p>
    <w:p w:rsidR="00517E2A" w:rsidRPr="0012206F" w:rsidRDefault="00517E2A" w:rsidP="00517E2A">
      <w:pPr>
        <w:pStyle w:val="Paragrafi"/>
      </w:pPr>
      <w:r w:rsidRPr="0012206F">
        <w:t>- Arsyet, argumentet dhe baza ligjore mbi të cilën apeluesi mbështetet për të kundërshtuar vendimin e organeve tatimore.</w:t>
      </w:r>
    </w:p>
    <w:p w:rsidR="00517E2A" w:rsidRPr="0012206F" w:rsidRDefault="00517E2A" w:rsidP="00517E2A">
      <w:pPr>
        <w:pStyle w:val="Paragrafi"/>
      </w:pPr>
    </w:p>
    <w:p w:rsidR="00517E2A" w:rsidRPr="0012206F" w:rsidRDefault="00517E2A" w:rsidP="00517E2A">
      <w:pPr>
        <w:pStyle w:val="Paragrafi"/>
      </w:pPr>
      <w:r w:rsidRPr="0012206F">
        <w:t xml:space="preserve">Kërkesa për apelim shoqërohet gjithmonë me kopjen e vlerësimit tatimor apo të çdo akti zyrtar të organit tatimor që tatimpaguesi kundërshton, dokumentin me anë të të cilit vërtetohet se është parapaguar shuma e detyrimit të vendosur, pa gjobat dhe interesat përkatëse, kur rasti është i tillë, si dhe çdo dokument tjetër që tatimpaguesi gjykon se është i nevojshëm për shqyrtimin e apelimit tatimor, si kopjen e aktit të kontrollit, kopjen e bilancit të veprimtarisë etj. </w:t>
      </w:r>
    </w:p>
    <w:p w:rsidR="00517E2A" w:rsidRPr="0012206F" w:rsidRDefault="00517E2A" w:rsidP="00517E2A">
      <w:pPr>
        <w:pStyle w:val="Paragrafi"/>
      </w:pPr>
      <w:r w:rsidRPr="0012206F">
        <w:lastRenderedPageBreak/>
        <w:t xml:space="preserve">Për çdo apelim tatimor, tatimpaguesi duhet të paraqesë bashkëlidhur një kopje të përcaktimit të vlerësimit tatimor, aktin zyrtar ose vendimin e posaçëm ekzekutiv që ka të bëjë me tatimpaguesin. </w:t>
      </w:r>
    </w:p>
    <w:p w:rsidR="00517E2A" w:rsidRPr="0012206F" w:rsidRDefault="00517E2A" w:rsidP="00517E2A">
      <w:pPr>
        <w:pStyle w:val="Paragrafi"/>
      </w:pPr>
      <w:r w:rsidRPr="0012206F">
        <w:t>Për apelimet në Drejtorinë e Përgjithshme të Tatimeve, tatimpaguesit duhet të paraqesin njëkohësisht në degën përkatëse të tatimeve një kopje të kërkesës për apelim (pa dokumentet shoqëruese).</w:t>
      </w:r>
    </w:p>
    <w:p w:rsidR="00517E2A" w:rsidRPr="0012206F" w:rsidRDefault="00517E2A" w:rsidP="00517E2A">
      <w:pPr>
        <w:pStyle w:val="Paragrafi"/>
      </w:pPr>
      <w:r w:rsidRPr="0012206F">
        <w:t>Apelimi paraqitet në shkallën më të ulët të sistemit të apelimit administrativ, brenda 30 ditëve nga data e marrjes së vlerësimit tatimor ose njoftimeve të tjera zyrtare, që lidhen me apelimin.</w:t>
      </w:r>
    </w:p>
    <w:p w:rsidR="00517E2A" w:rsidRPr="0012206F" w:rsidRDefault="00517E2A" w:rsidP="00517E2A">
      <w:pPr>
        <w:pStyle w:val="Paragrafi"/>
      </w:pPr>
      <w:r w:rsidRPr="0012206F">
        <w:t>Data e marrjes së njoftimit të vlerësimit tatimor apo njoftimeve të tjera zyrtare, konsiderohet dita e dhjetë pas dorëzimit të njoftimit në shërbimin postar. Përgjegjësia për mosmarrjen në kohë të njoftimit të dorëzuar në shërbimin postar është e tatimpaguesit, i cili është i detyruar të deklarojë adresën e saktë të tij. Gjithashtu, administrata tatimore, mund të dorëzojë njoftimin e vlerësimit tatimor apo njoftimet e tjera zyrtare, dorazi. Në këtë rast, data e marrjes së njoftimit konsiderohet dita kur njoftimi i dorëzohet tatimpaguesit dhe konfirmohet nga ky i fundit. Në rastin e dorëzimit të njoftimeve dorazi, kur tatimpaguesi refuzon marrjen në dorëzim të tyre, datë e marrjes së njoftim vlerësimit tatimor apo i njoftimeve të tjera zyrtare, konsiderohet data kur tatimpaguesi ka refuzuar marrjen në dorëzim të tyre.</w:t>
      </w:r>
    </w:p>
    <w:p w:rsidR="00517E2A" w:rsidRPr="0012206F" w:rsidRDefault="00517E2A" w:rsidP="00517E2A">
      <w:pPr>
        <w:pStyle w:val="Paragrafi"/>
      </w:pPr>
      <w:r w:rsidRPr="0012206F">
        <w:t>Organet tatimore përkatëse e shqyrtojnë kërkesën për apelim të tatimpaguesit dhe i kthejnë përgjigje atij brenda 30 ditëve nga data e paraqitjes së kërkesës. Datë e paraqitjes së kërkesës konsiderohet data në të cilën kërkesa për apelim është protokolluar në protokollin e organit ku bëhet apelimi. Në rast se dita e fundit e afatit 30-ditor bie në ditë pushimi, afati mbaron në ditën e parë të punës që vjen pas asaj të pushimit.</w:t>
      </w:r>
    </w:p>
    <w:p w:rsidR="00517E2A" w:rsidRPr="0012206F" w:rsidRDefault="00517E2A" w:rsidP="00517E2A">
      <w:pPr>
        <w:pStyle w:val="Paragrafi"/>
      </w:pPr>
      <w:smartTag w:uri="urn:schemas-microsoft-com:office:smarttags" w:element="place">
        <w:r w:rsidRPr="0012206F">
          <w:t>Para</w:t>
        </w:r>
      </w:smartTag>
      <w:r w:rsidRPr="0012206F">
        <w:t xml:space="preserve"> se të paraqitet për apelim në shkallët e apelimit administrativ, tatimpaguesi është i detyruar të parapaguajë detyrimin tatimor që apelohet, pa përfshirë interesat dhe gjobat e mundshme që lidhen me këtë detyrim.</w:t>
      </w:r>
    </w:p>
    <w:p w:rsidR="00517E2A" w:rsidRPr="0012206F" w:rsidRDefault="00517E2A" w:rsidP="00517E2A">
      <w:pPr>
        <w:pStyle w:val="Paragrafi"/>
      </w:pPr>
      <w:r w:rsidRPr="0012206F">
        <w:t xml:space="preserve">Në rast se tatimpaguesi do të apelojë në gjykatë, ai është i detyruar të parapaguajë 15% (pesëmbëdhjetë për qind) të çdo gjobe dhe interesi. </w:t>
      </w:r>
    </w:p>
    <w:p w:rsidR="00517E2A" w:rsidRPr="0012206F" w:rsidRDefault="00517E2A" w:rsidP="00517E2A">
      <w:pPr>
        <w:pStyle w:val="Paragrafi"/>
      </w:pPr>
      <w:r w:rsidRPr="0012206F">
        <w:t>Ky udhëzim hyn në fuqi me botimin në Fletoren Zyrtare.</w:t>
      </w:r>
    </w:p>
    <w:p w:rsidR="00517E2A" w:rsidRPr="0012206F" w:rsidRDefault="00517E2A" w:rsidP="00517E2A">
      <w:pPr>
        <w:pStyle w:val="Paragrafi"/>
      </w:pPr>
    </w:p>
    <w:p w:rsidR="00517E2A" w:rsidRPr="0012206F" w:rsidRDefault="00517E2A" w:rsidP="00517E2A">
      <w:pPr>
        <w:pStyle w:val="Autoriteti"/>
      </w:pPr>
      <w:r w:rsidRPr="0012206F">
        <w:t>MINISTRI I FINANCAVE</w:t>
      </w:r>
    </w:p>
    <w:p w:rsidR="00517E2A" w:rsidRPr="0012206F" w:rsidRDefault="00517E2A" w:rsidP="00517E2A">
      <w:pPr>
        <w:pStyle w:val="AutoritetiEmer"/>
      </w:pPr>
      <w:r w:rsidRPr="0012206F">
        <w:t xml:space="preserve">Ridvan Bode </w:t>
      </w: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517E2A" w:rsidRDefault="00C51428" w:rsidP="00517E2A">
      <w:pPr>
        <w:pStyle w:val="Paragrafi"/>
        <w:jc w:val="center"/>
        <w:rPr>
          <w:b/>
        </w:rPr>
      </w:pPr>
      <w:r w:rsidRPr="00517E2A">
        <w:rPr>
          <w:b/>
          <w:noProof/>
          <w:lang w:val="en-GB" w:eastAsia="en-GB"/>
        </w:rPr>
        <w:drawing>
          <wp:inline distT="0" distB="0" distL="0" distR="0">
            <wp:extent cx="485775" cy="571500"/>
            <wp:effectExtent l="0" t="0" r="9525" b="0"/>
            <wp:docPr id="1" name="Picture 1"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Z bukur tom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517E2A" w:rsidRPr="00517E2A" w:rsidRDefault="00517E2A" w:rsidP="00517E2A">
      <w:pPr>
        <w:pStyle w:val="Paragrafi"/>
        <w:jc w:val="center"/>
        <w:rPr>
          <w:lang w:val="it-IT"/>
        </w:rPr>
      </w:pPr>
      <w:r w:rsidRPr="00517E2A">
        <w:rPr>
          <w:lang w:val="it-IT"/>
        </w:rPr>
        <w:t>REPUBLIKA E SHQIPËRISË</w:t>
      </w:r>
    </w:p>
    <w:p w:rsidR="00517E2A" w:rsidRPr="00517E2A" w:rsidRDefault="00517E2A" w:rsidP="00517E2A">
      <w:pPr>
        <w:pStyle w:val="Paragrafi"/>
        <w:jc w:val="center"/>
        <w:rPr>
          <w:lang w:val="it-IT"/>
        </w:rPr>
      </w:pPr>
      <w:r w:rsidRPr="00517E2A">
        <w:rPr>
          <w:lang w:val="it-IT"/>
        </w:rPr>
        <w:t>MINISTRIA E FINANCAVE</w:t>
      </w:r>
    </w:p>
    <w:p w:rsidR="00517E2A" w:rsidRPr="00517E2A" w:rsidRDefault="00517E2A" w:rsidP="00517E2A">
      <w:pPr>
        <w:pStyle w:val="Paragrafi"/>
        <w:jc w:val="center"/>
        <w:rPr>
          <w:lang w:val="it-IT"/>
        </w:rPr>
      </w:pPr>
      <w:r w:rsidRPr="00517E2A">
        <w:rPr>
          <w:lang w:val="it-IT"/>
        </w:rPr>
        <w:t>DREJTORIA E PËRGJITHSHME E TATIMEVE</w:t>
      </w:r>
    </w:p>
    <w:p w:rsidR="00517E2A" w:rsidRPr="00517E2A" w:rsidRDefault="00517E2A" w:rsidP="00517E2A">
      <w:pPr>
        <w:pStyle w:val="Paragrafi"/>
        <w:jc w:val="center"/>
        <w:rPr>
          <w:lang w:val="it-IT"/>
        </w:rPr>
      </w:pPr>
      <w:r w:rsidRPr="00517E2A">
        <w:rPr>
          <w:lang w:val="it-IT"/>
        </w:rPr>
        <w:t>Drejtoria e Policisë Tatimore</w:t>
      </w:r>
    </w:p>
    <w:p w:rsidR="00517E2A" w:rsidRPr="00517E2A" w:rsidRDefault="00517E2A" w:rsidP="00517E2A">
      <w:pPr>
        <w:pStyle w:val="Paragrafi"/>
        <w:jc w:val="right"/>
        <w:rPr>
          <w:lang w:val="it-IT"/>
        </w:rPr>
      </w:pPr>
      <w:r w:rsidRPr="00517E2A">
        <w:rPr>
          <w:lang w:val="it-IT"/>
        </w:rPr>
        <w:t>0 0 0 0 0 0 0</w:t>
      </w:r>
    </w:p>
    <w:p w:rsidR="00517E2A" w:rsidRPr="00517E2A" w:rsidRDefault="00517E2A" w:rsidP="00517E2A">
      <w:pPr>
        <w:pStyle w:val="Paragrafi"/>
        <w:rPr>
          <w:lang w:val="it-IT"/>
        </w:rPr>
      </w:pPr>
    </w:p>
    <w:p w:rsidR="00517E2A" w:rsidRPr="00517E2A" w:rsidRDefault="00517E2A" w:rsidP="00517E2A">
      <w:pPr>
        <w:pStyle w:val="TitulliTitull"/>
        <w:rPr>
          <w:lang w:val="it-IT"/>
        </w:rPr>
      </w:pPr>
      <w:r w:rsidRPr="00517E2A">
        <w:rPr>
          <w:lang w:val="it-IT"/>
        </w:rPr>
        <w:lastRenderedPageBreak/>
        <w:t>PROCESVERBAL SEKUESTRIMI</w:t>
      </w:r>
    </w:p>
    <w:p w:rsidR="00517E2A" w:rsidRPr="00517E2A" w:rsidRDefault="00517E2A" w:rsidP="00517E2A">
      <w:pPr>
        <w:pStyle w:val="Paragrafi"/>
        <w:rPr>
          <w:lang w:val="it-IT"/>
        </w:rPr>
      </w:pPr>
    </w:p>
    <w:p w:rsidR="00517E2A" w:rsidRPr="00517E2A" w:rsidRDefault="00517E2A" w:rsidP="00517E2A">
      <w:pPr>
        <w:pStyle w:val="Paragrafi"/>
        <w:rPr>
          <w:lang w:val="it-IT"/>
        </w:rPr>
      </w:pPr>
      <w:r w:rsidRPr="00517E2A">
        <w:rPr>
          <w:lang w:val="it-IT"/>
        </w:rPr>
        <w:t>I mbajtur sot më datë____/____/_____, ora_____ nga grupi i kontrollit të Policisë Tatimore _______________________________, në subjektin me adresë të vendbiznesit________________________________dhe aktivitet __________________, ose mjeti me targë __________, vendndodhje_____________________pasi konstatoi se:</w:t>
      </w:r>
    </w:p>
    <w:p w:rsidR="00517E2A" w:rsidRPr="00517E2A" w:rsidRDefault="00517E2A" w:rsidP="00517E2A">
      <w:pPr>
        <w:pStyle w:val="Paragrafi"/>
        <w:rPr>
          <w:lang w:val="it-IT"/>
        </w:rPr>
      </w:pPr>
    </w:p>
    <w:tbl>
      <w:tblPr>
        <w:tblStyle w:val="TableGrid"/>
        <w:tblpPr w:leftFromText="180" w:rightFromText="180" w:vertAnchor="text" w:tblpY="1"/>
        <w:tblOverlap w:val="never"/>
        <w:tblW w:w="0" w:type="auto"/>
        <w:tblLook w:val="01E0" w:firstRow="1" w:lastRow="1" w:firstColumn="1" w:lastColumn="1" w:noHBand="0" w:noVBand="0"/>
      </w:tblPr>
      <w:tblGrid>
        <w:gridCol w:w="416"/>
      </w:tblGrid>
      <w:tr w:rsidR="00517E2A" w:rsidRPr="00517E2A">
        <w:tc>
          <w:tcPr>
            <w:tcW w:w="416" w:type="dxa"/>
          </w:tcPr>
          <w:p w:rsidR="00517E2A" w:rsidRPr="00517E2A" w:rsidRDefault="00517E2A" w:rsidP="00517E2A">
            <w:pPr>
              <w:pStyle w:val="Paragrafi"/>
              <w:rPr>
                <w:lang w:val="it-IT"/>
              </w:rPr>
            </w:pPr>
          </w:p>
        </w:tc>
      </w:tr>
    </w:tbl>
    <w:p w:rsidR="00517E2A" w:rsidRPr="00517E2A" w:rsidRDefault="00517E2A" w:rsidP="00517E2A">
      <w:pPr>
        <w:pStyle w:val="Paragrafi"/>
        <w:rPr>
          <w:lang w:val="it-IT"/>
        </w:rPr>
      </w:pPr>
      <w:r w:rsidRPr="00517E2A">
        <w:rPr>
          <w:lang w:val="it-IT"/>
        </w:rPr>
        <w:t>Subjekti kryen aktivitet i paregjistruar në organin tatimor.</w:t>
      </w:r>
    </w:p>
    <w:p w:rsidR="00517E2A" w:rsidRPr="00517E2A" w:rsidRDefault="00517E2A" w:rsidP="00517E2A">
      <w:pPr>
        <w:pStyle w:val="Paragrafi"/>
        <w:rPr>
          <w:lang w:val="it-IT"/>
        </w:rPr>
      </w:pPr>
      <w:r w:rsidRPr="00517E2A">
        <w:rPr>
          <w:lang w:val="it-IT"/>
        </w:rPr>
        <w:t>Në zbatim të pikës 1/b dhe 2/b të nenit 49 të ligjit nr.8560, datë 22.12.1999 “Për procedurat tatimore në Republikën e Shqipërisë”, i ndryshuar me ligjin nr.9713, datë 16.4.2007.</w:t>
      </w:r>
    </w:p>
    <w:p w:rsidR="00517E2A" w:rsidRPr="00517E2A" w:rsidRDefault="00517E2A" w:rsidP="00517E2A">
      <w:pPr>
        <w:pStyle w:val="Paragrafi"/>
        <w:rPr>
          <w:lang w:val="it-IT"/>
        </w:rPr>
      </w:pPr>
    </w:p>
    <w:tbl>
      <w:tblPr>
        <w:tblStyle w:val="TableGrid"/>
        <w:tblpPr w:leftFromText="180" w:rightFromText="180" w:vertAnchor="text" w:tblpY="1"/>
        <w:tblOverlap w:val="never"/>
        <w:tblW w:w="0" w:type="auto"/>
        <w:tblLook w:val="01E0" w:firstRow="1" w:lastRow="1" w:firstColumn="1" w:lastColumn="1" w:noHBand="0" w:noVBand="0"/>
      </w:tblPr>
      <w:tblGrid>
        <w:gridCol w:w="431"/>
      </w:tblGrid>
      <w:tr w:rsidR="00517E2A" w:rsidRPr="00517E2A">
        <w:trPr>
          <w:trHeight w:val="167"/>
        </w:trPr>
        <w:tc>
          <w:tcPr>
            <w:tcW w:w="431" w:type="dxa"/>
          </w:tcPr>
          <w:p w:rsidR="00517E2A" w:rsidRPr="00517E2A" w:rsidRDefault="00517E2A" w:rsidP="00517E2A">
            <w:pPr>
              <w:pStyle w:val="Paragrafi"/>
              <w:rPr>
                <w:lang w:val="it-IT"/>
              </w:rPr>
            </w:pPr>
          </w:p>
        </w:tc>
      </w:tr>
    </w:tbl>
    <w:p w:rsidR="00517E2A" w:rsidRPr="00517E2A" w:rsidRDefault="00517E2A" w:rsidP="00517E2A">
      <w:pPr>
        <w:pStyle w:val="Paragrafi"/>
        <w:rPr>
          <w:lang w:val="it-IT"/>
        </w:rPr>
      </w:pPr>
      <w:r w:rsidRPr="00517E2A">
        <w:rPr>
          <w:lang w:val="it-IT"/>
        </w:rPr>
        <w:t>Ruajtja, përdorimi dhe transportimi i mallrave pa dokumentacionin  përkatës.</w:t>
      </w:r>
    </w:p>
    <w:p w:rsidR="00517E2A" w:rsidRPr="00517E2A" w:rsidRDefault="00517E2A" w:rsidP="00517E2A">
      <w:pPr>
        <w:pStyle w:val="Paragrafi"/>
        <w:rPr>
          <w:lang w:val="it-IT"/>
        </w:rPr>
      </w:pPr>
    </w:p>
    <w:p w:rsidR="00517E2A" w:rsidRPr="00517E2A" w:rsidRDefault="00517E2A" w:rsidP="00517E2A">
      <w:pPr>
        <w:pStyle w:val="Paragrafi"/>
        <w:rPr>
          <w:lang w:val="it-IT"/>
        </w:rPr>
      </w:pPr>
      <w:r w:rsidRPr="00517E2A">
        <w:rPr>
          <w:lang w:val="it-IT"/>
        </w:rPr>
        <w:t>Në zbatim nenit 52 të ligjit nr.8560, datë 22.12.1999 “Për procedurat tatimore në Republikën e Shqipërisë”, i ndryshuar me ligjin nr.9713, datë 16.4.2007.</w:t>
      </w:r>
    </w:p>
    <w:p w:rsidR="00517E2A" w:rsidRPr="00517E2A" w:rsidRDefault="00517E2A" w:rsidP="00517E2A">
      <w:pPr>
        <w:pStyle w:val="Paragrafi"/>
        <w:rPr>
          <w:lang w:val="it-IT"/>
        </w:rPr>
      </w:pPr>
    </w:p>
    <w:p w:rsidR="00517E2A" w:rsidRPr="00517E2A" w:rsidRDefault="00517E2A" w:rsidP="00517E2A">
      <w:pPr>
        <w:pStyle w:val="VENDOSI"/>
        <w:rPr>
          <w:lang w:val="it-IT"/>
        </w:rPr>
      </w:pPr>
      <w:r w:rsidRPr="00517E2A">
        <w:rPr>
          <w:lang w:val="it-IT"/>
        </w:rPr>
        <w:t>VENDOSI:</w:t>
      </w:r>
    </w:p>
    <w:p w:rsidR="00517E2A" w:rsidRPr="00517E2A" w:rsidRDefault="00517E2A" w:rsidP="00517E2A">
      <w:pPr>
        <w:pStyle w:val="Paragrafi"/>
        <w:rPr>
          <w:lang w:val="it-IT"/>
        </w:rPr>
      </w:pPr>
    </w:p>
    <w:p w:rsidR="00517E2A" w:rsidRPr="00517E2A" w:rsidRDefault="00517E2A" w:rsidP="00517E2A">
      <w:pPr>
        <w:pStyle w:val="Paragrafi"/>
        <w:rPr>
          <w:lang w:val="it-IT"/>
        </w:rPr>
      </w:pPr>
      <w:r w:rsidRPr="00517E2A">
        <w:rPr>
          <w:lang w:val="it-IT"/>
        </w:rPr>
        <w:t>Sekuestrimin e menjëhershëm të pasurive në vendin e biznesit ose sekuestrimin e mallrave të padokumentuar (sipas listës bashkëlidhur).</w:t>
      </w:r>
    </w:p>
    <w:p w:rsidR="00517E2A" w:rsidRPr="00517E2A" w:rsidRDefault="00517E2A" w:rsidP="00517E2A">
      <w:pPr>
        <w:pStyle w:val="Paragrafi"/>
        <w:rPr>
          <w:lang w:val="it-IT"/>
        </w:rPr>
      </w:pPr>
      <w:r w:rsidRPr="00517E2A">
        <w:rPr>
          <w:lang w:val="it-IT"/>
        </w:rPr>
        <w:t xml:space="preserve">Ky procesverbal mbahet në tre kopje. </w:t>
      </w:r>
    </w:p>
    <w:p w:rsidR="00517E2A" w:rsidRPr="00517E2A" w:rsidRDefault="00517E2A" w:rsidP="00517E2A">
      <w:pPr>
        <w:pStyle w:val="Paragrafi"/>
        <w:rPr>
          <w:lang w:val="it-IT"/>
        </w:rPr>
      </w:pPr>
    </w:p>
    <w:p w:rsidR="00517E2A" w:rsidRPr="00517E2A" w:rsidRDefault="00517E2A" w:rsidP="00517E2A">
      <w:pPr>
        <w:pStyle w:val="Paragrafi"/>
        <w:rPr>
          <w:lang w:val="it-IT"/>
        </w:rPr>
      </w:pPr>
      <w:r w:rsidRPr="00517E2A">
        <w:rPr>
          <w:lang w:val="it-IT"/>
        </w:rPr>
        <w:t>PËR SUBJEKTIN</w:t>
      </w:r>
      <w:r w:rsidRPr="00517E2A">
        <w:rPr>
          <w:lang w:val="it-IT"/>
        </w:rPr>
        <w:tab/>
      </w:r>
      <w:r w:rsidRPr="00517E2A">
        <w:rPr>
          <w:lang w:val="it-IT"/>
        </w:rPr>
        <w:tab/>
      </w:r>
      <w:r w:rsidRPr="00517E2A">
        <w:rPr>
          <w:lang w:val="it-IT"/>
        </w:rPr>
        <w:tab/>
      </w:r>
      <w:r w:rsidRPr="00517E2A">
        <w:rPr>
          <w:lang w:val="it-IT"/>
        </w:rPr>
        <w:tab/>
        <w:t>PËR POLICINË TATIMORE</w:t>
      </w:r>
    </w:p>
    <w:p w:rsidR="00517E2A" w:rsidRPr="0012206F" w:rsidRDefault="00517E2A" w:rsidP="00517E2A">
      <w:pPr>
        <w:pStyle w:val="Paragrafi"/>
        <w:jc w:val="right"/>
      </w:pPr>
      <w:r w:rsidRPr="0012206F">
        <w:t>1.__________________________</w:t>
      </w:r>
    </w:p>
    <w:p w:rsidR="00517E2A" w:rsidRPr="0012206F" w:rsidRDefault="00517E2A" w:rsidP="00517E2A">
      <w:pPr>
        <w:pStyle w:val="Paragrafi"/>
        <w:jc w:val="right"/>
      </w:pPr>
    </w:p>
    <w:p w:rsidR="00517E2A" w:rsidRPr="0012206F" w:rsidRDefault="00517E2A" w:rsidP="00517E2A">
      <w:pPr>
        <w:pStyle w:val="Paragrafi"/>
        <w:jc w:val="right"/>
      </w:pPr>
      <w:r w:rsidRPr="0012206F">
        <w:t>2.___________________________</w:t>
      </w:r>
    </w:p>
    <w:p w:rsidR="00517E2A" w:rsidRPr="0012206F" w:rsidRDefault="00517E2A" w:rsidP="00517E2A">
      <w:pPr>
        <w:pStyle w:val="Paragrafi"/>
        <w:jc w:val="right"/>
      </w:pPr>
    </w:p>
    <w:p w:rsidR="00517E2A" w:rsidRPr="0012206F" w:rsidRDefault="00517E2A" w:rsidP="00517E2A">
      <w:pPr>
        <w:pStyle w:val="Paragrafi"/>
        <w:jc w:val="right"/>
      </w:pPr>
      <w:r w:rsidRPr="0012206F">
        <w:t xml:space="preserve">3.___________________________      </w:t>
      </w:r>
    </w:p>
    <w:p w:rsidR="00517E2A" w:rsidRPr="0012206F" w:rsidRDefault="00517E2A" w:rsidP="00517E2A">
      <w:pPr>
        <w:pStyle w:val="Paragrafi"/>
        <w:jc w:val="right"/>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TitulliTitull"/>
      </w:pPr>
      <w:r w:rsidRPr="0012206F">
        <w:t>LISTA E MALLRAVE TË SEKUESTRUARA</w:t>
      </w:r>
    </w:p>
    <w:p w:rsidR="00517E2A" w:rsidRPr="0012206F" w:rsidRDefault="00517E2A" w:rsidP="00517E2A">
      <w:pPr>
        <w:pStyle w:val="Paragrafi"/>
      </w:pPr>
    </w:p>
    <w:tbl>
      <w:tblPr>
        <w:tblStyle w:val="TableGrid"/>
        <w:tblW w:w="0" w:type="auto"/>
        <w:jc w:val="center"/>
        <w:tblLook w:val="01E0" w:firstRow="1" w:lastRow="1" w:firstColumn="1" w:lastColumn="1" w:noHBand="0" w:noVBand="0"/>
      </w:tblPr>
      <w:tblGrid>
        <w:gridCol w:w="1771"/>
        <w:gridCol w:w="2837"/>
        <w:gridCol w:w="1260"/>
        <w:gridCol w:w="1216"/>
        <w:gridCol w:w="1772"/>
      </w:tblGrid>
      <w:tr w:rsidR="00517E2A" w:rsidRPr="0012206F">
        <w:trPr>
          <w:jc w:val="center"/>
        </w:trPr>
        <w:tc>
          <w:tcPr>
            <w:tcW w:w="1771" w:type="dxa"/>
          </w:tcPr>
          <w:p w:rsidR="00517E2A" w:rsidRPr="0012206F" w:rsidRDefault="00517E2A" w:rsidP="00517E2A">
            <w:pPr>
              <w:pStyle w:val="Tabele"/>
            </w:pPr>
            <w:r w:rsidRPr="0012206F">
              <w:t>Nr.Rendor</w:t>
            </w:r>
          </w:p>
        </w:tc>
        <w:tc>
          <w:tcPr>
            <w:tcW w:w="2837" w:type="dxa"/>
          </w:tcPr>
          <w:p w:rsidR="00517E2A" w:rsidRPr="0012206F" w:rsidRDefault="00517E2A" w:rsidP="00517E2A">
            <w:pPr>
              <w:pStyle w:val="Tabele"/>
            </w:pPr>
            <w:r w:rsidRPr="0012206F">
              <w:t>Emërtimi</w:t>
            </w:r>
          </w:p>
        </w:tc>
        <w:tc>
          <w:tcPr>
            <w:tcW w:w="1260" w:type="dxa"/>
          </w:tcPr>
          <w:p w:rsidR="00517E2A" w:rsidRPr="0012206F" w:rsidRDefault="00517E2A" w:rsidP="00517E2A">
            <w:pPr>
              <w:pStyle w:val="Tabele"/>
            </w:pPr>
            <w:r w:rsidRPr="0012206F">
              <w:t>Njësia matëse</w:t>
            </w:r>
          </w:p>
        </w:tc>
        <w:tc>
          <w:tcPr>
            <w:tcW w:w="1216" w:type="dxa"/>
          </w:tcPr>
          <w:p w:rsidR="00517E2A" w:rsidRPr="0012206F" w:rsidRDefault="00517E2A" w:rsidP="00517E2A">
            <w:pPr>
              <w:pStyle w:val="Tabele"/>
            </w:pPr>
            <w:r w:rsidRPr="0012206F">
              <w:t>Sasia</w:t>
            </w:r>
          </w:p>
        </w:tc>
        <w:tc>
          <w:tcPr>
            <w:tcW w:w="1772" w:type="dxa"/>
          </w:tcPr>
          <w:p w:rsidR="00517E2A" w:rsidRPr="0012206F" w:rsidRDefault="00517E2A" w:rsidP="00517E2A">
            <w:pPr>
              <w:pStyle w:val="Tabele"/>
            </w:pPr>
            <w:r w:rsidRPr="0012206F">
              <w:t>Shënime</w:t>
            </w: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r w:rsidR="00517E2A" w:rsidRPr="0012206F">
        <w:trPr>
          <w:jc w:val="center"/>
        </w:trPr>
        <w:tc>
          <w:tcPr>
            <w:tcW w:w="1771" w:type="dxa"/>
          </w:tcPr>
          <w:p w:rsidR="00517E2A" w:rsidRPr="0012206F" w:rsidRDefault="00517E2A" w:rsidP="00517E2A">
            <w:pPr>
              <w:pStyle w:val="Tabele"/>
            </w:pPr>
          </w:p>
        </w:tc>
        <w:tc>
          <w:tcPr>
            <w:tcW w:w="2837" w:type="dxa"/>
          </w:tcPr>
          <w:p w:rsidR="00517E2A" w:rsidRPr="0012206F" w:rsidRDefault="00517E2A" w:rsidP="00517E2A">
            <w:pPr>
              <w:pStyle w:val="Tabele"/>
            </w:pPr>
          </w:p>
        </w:tc>
        <w:tc>
          <w:tcPr>
            <w:tcW w:w="1260" w:type="dxa"/>
          </w:tcPr>
          <w:p w:rsidR="00517E2A" w:rsidRPr="0012206F" w:rsidRDefault="00517E2A" w:rsidP="00517E2A">
            <w:pPr>
              <w:pStyle w:val="Tabele"/>
            </w:pPr>
          </w:p>
        </w:tc>
        <w:tc>
          <w:tcPr>
            <w:tcW w:w="1216" w:type="dxa"/>
          </w:tcPr>
          <w:p w:rsidR="00517E2A" w:rsidRPr="0012206F" w:rsidRDefault="00517E2A" w:rsidP="00517E2A">
            <w:pPr>
              <w:pStyle w:val="Tabele"/>
            </w:pPr>
          </w:p>
        </w:tc>
        <w:tc>
          <w:tcPr>
            <w:tcW w:w="1772" w:type="dxa"/>
          </w:tcPr>
          <w:p w:rsidR="00517E2A" w:rsidRPr="0012206F" w:rsidRDefault="00517E2A" w:rsidP="00517E2A">
            <w:pPr>
              <w:pStyle w:val="Tabele"/>
            </w:pPr>
          </w:p>
        </w:tc>
      </w:tr>
    </w:tbl>
    <w:p w:rsidR="00517E2A" w:rsidRPr="0012206F" w:rsidRDefault="00517E2A" w:rsidP="00517E2A">
      <w:pPr>
        <w:pStyle w:val="Paragrafi"/>
      </w:pPr>
    </w:p>
    <w:p w:rsidR="00517E2A" w:rsidRPr="0012206F" w:rsidRDefault="00517E2A" w:rsidP="00517E2A">
      <w:pPr>
        <w:pStyle w:val="Paragrafi"/>
      </w:pPr>
      <w:r w:rsidRPr="0012206F">
        <w:t>PËR SUBJEKTIN</w:t>
      </w:r>
      <w:r w:rsidRPr="0012206F">
        <w:tab/>
      </w:r>
      <w:r w:rsidRPr="0012206F">
        <w:tab/>
      </w:r>
      <w:r w:rsidRPr="0012206F">
        <w:tab/>
      </w:r>
      <w:r w:rsidRPr="0012206F">
        <w:tab/>
      </w:r>
      <w:r w:rsidRPr="0012206F">
        <w:tab/>
        <w:t>PËR POLICINË TATIMORE</w:t>
      </w:r>
    </w:p>
    <w:p w:rsidR="00517E2A" w:rsidRPr="0012206F" w:rsidRDefault="00517E2A" w:rsidP="00517E2A">
      <w:pPr>
        <w:pStyle w:val="Paragrafi"/>
        <w:jc w:val="right"/>
      </w:pP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r>
      <w:r w:rsidRPr="0012206F">
        <w:tab/>
        <w:t>1._______________________</w:t>
      </w:r>
    </w:p>
    <w:p w:rsidR="00517E2A" w:rsidRPr="0012206F" w:rsidRDefault="00517E2A" w:rsidP="00517E2A">
      <w:pPr>
        <w:pStyle w:val="Paragrafi"/>
        <w:jc w:val="right"/>
      </w:pPr>
    </w:p>
    <w:p w:rsidR="00517E2A" w:rsidRPr="0012206F" w:rsidRDefault="00517E2A" w:rsidP="00517E2A">
      <w:pPr>
        <w:pStyle w:val="Paragrafi"/>
        <w:jc w:val="right"/>
      </w:pPr>
      <w:r w:rsidRPr="0012206F">
        <w:tab/>
      </w:r>
      <w:r w:rsidRPr="0012206F">
        <w:tab/>
      </w:r>
      <w:r w:rsidRPr="0012206F">
        <w:tab/>
      </w:r>
      <w:r w:rsidRPr="0012206F">
        <w:tab/>
      </w:r>
      <w:r w:rsidRPr="0012206F">
        <w:tab/>
      </w:r>
      <w:r w:rsidRPr="0012206F">
        <w:tab/>
      </w:r>
      <w:r w:rsidRPr="0012206F">
        <w:tab/>
      </w:r>
      <w:r w:rsidRPr="0012206F">
        <w:tab/>
        <w:t>2._______________________</w:t>
      </w:r>
    </w:p>
    <w:p w:rsidR="00517E2A" w:rsidRPr="0012206F" w:rsidRDefault="00517E2A" w:rsidP="00517E2A">
      <w:pPr>
        <w:pStyle w:val="Paragrafi"/>
        <w:jc w:val="right"/>
      </w:pPr>
    </w:p>
    <w:p w:rsidR="00517E2A" w:rsidRPr="0012206F" w:rsidRDefault="00517E2A" w:rsidP="00517E2A">
      <w:pPr>
        <w:pStyle w:val="Paragrafi"/>
        <w:jc w:val="right"/>
      </w:pPr>
      <w:r w:rsidRPr="0012206F">
        <w:tab/>
      </w:r>
      <w:r w:rsidRPr="0012206F">
        <w:tab/>
      </w:r>
      <w:r w:rsidRPr="0012206F">
        <w:tab/>
      </w:r>
      <w:r w:rsidRPr="0012206F">
        <w:tab/>
      </w:r>
      <w:r w:rsidRPr="0012206F">
        <w:tab/>
      </w:r>
      <w:r w:rsidRPr="0012206F">
        <w:tab/>
      </w:r>
      <w:r w:rsidRPr="0012206F">
        <w:tab/>
      </w:r>
      <w:r w:rsidRPr="0012206F">
        <w:tab/>
        <w:t>3._______________________</w:t>
      </w:r>
    </w:p>
    <w:p w:rsidR="00517E2A" w:rsidRPr="0012206F" w:rsidRDefault="00517E2A" w:rsidP="00517E2A">
      <w:pPr>
        <w:pStyle w:val="Paragrafi"/>
        <w:jc w:val="right"/>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517E2A" w:rsidRPr="0012206F" w:rsidRDefault="00517E2A" w:rsidP="00517E2A">
      <w:pPr>
        <w:pStyle w:val="Paragrafi"/>
      </w:pPr>
    </w:p>
    <w:p w:rsidR="000178C2" w:rsidRPr="00C84B66" w:rsidRDefault="000178C2" w:rsidP="00517E2A">
      <w:pPr>
        <w:pStyle w:val="Paragrafi"/>
        <w:rPr>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7E2A"/>
    <w:rsid w:val="000178C2"/>
    <w:rsid w:val="0028716D"/>
    <w:rsid w:val="00391A1A"/>
    <w:rsid w:val="00517E2A"/>
    <w:rsid w:val="00C51428"/>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0AA9230-5DB0-4A63-8E64-D480EDFB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E2A"/>
    <w:rPr>
      <w:sz w:val="24"/>
      <w:szCs w:val="24"/>
      <w:lang w:eastAsia="en-US"/>
    </w:rPr>
  </w:style>
  <w:style w:type="paragraph" w:styleId="Heading1">
    <w:name w:val="heading 1"/>
    <w:basedOn w:val="Normal"/>
    <w:next w:val="Normal"/>
    <w:qFormat/>
    <w:rsid w:val="00391A1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391A1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391A1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91A1A"/>
    <w:rPr>
      <w:rFonts w:ascii="CG Times" w:hAnsi="CG Times"/>
      <w:sz w:val="22"/>
      <w:lang w:eastAsia="en-US"/>
    </w:rPr>
  </w:style>
  <w:style w:type="paragraph" w:customStyle="1" w:styleId="AneksiNr">
    <w:name w:val="Aneksi_Nr"/>
    <w:next w:val="Normal"/>
    <w:rsid w:val="00391A1A"/>
    <w:pPr>
      <w:keepNext/>
      <w:widowControl w:val="0"/>
      <w:jc w:val="center"/>
    </w:pPr>
    <w:rPr>
      <w:rFonts w:ascii="CG Times" w:hAnsi="CG Times"/>
      <w:caps/>
      <w:sz w:val="22"/>
      <w:szCs w:val="22"/>
      <w:lang w:eastAsia="en-US"/>
    </w:rPr>
  </w:style>
  <w:style w:type="paragraph" w:customStyle="1" w:styleId="AneksiTitull">
    <w:name w:val="Aneksi_Titull"/>
    <w:next w:val="Normal"/>
    <w:rsid w:val="00391A1A"/>
    <w:pPr>
      <w:jc w:val="center"/>
    </w:pPr>
    <w:rPr>
      <w:rFonts w:ascii="CG Times" w:hAnsi="CG Times"/>
      <w:sz w:val="24"/>
      <w:szCs w:val="24"/>
      <w:lang w:eastAsia="en-US"/>
    </w:rPr>
  </w:style>
  <w:style w:type="paragraph" w:customStyle="1" w:styleId="Autoriteti">
    <w:name w:val="Autoriteti"/>
    <w:next w:val="Normal"/>
    <w:rsid w:val="00391A1A"/>
    <w:pPr>
      <w:keepNext/>
      <w:widowControl w:val="0"/>
      <w:jc w:val="right"/>
    </w:pPr>
    <w:rPr>
      <w:rFonts w:ascii="CG Times" w:hAnsi="CG Times"/>
      <w:caps/>
      <w:sz w:val="22"/>
      <w:szCs w:val="22"/>
      <w:lang w:eastAsia="en-US"/>
    </w:rPr>
  </w:style>
  <w:style w:type="paragraph" w:customStyle="1" w:styleId="AutoritetiEmer">
    <w:name w:val="Autoriteti_Emer"/>
    <w:next w:val="Normal"/>
    <w:rsid w:val="00391A1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391A1A"/>
    <w:rPr>
      <w:rFonts w:ascii="CG Times" w:eastAsia="MS Mincho" w:hAnsi="CG Times"/>
      <w:b/>
      <w:sz w:val="22"/>
      <w:szCs w:val="22"/>
      <w:lang w:val="en-GB" w:eastAsia="en-US" w:bidi="ar-SA"/>
    </w:rPr>
  </w:style>
  <w:style w:type="paragraph" w:customStyle="1" w:styleId="BazLigjPropozues">
    <w:name w:val="Baz_Ligj_Propozues"/>
    <w:rsid w:val="00391A1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391A1A"/>
    <w:pPr>
      <w:spacing w:after="240" w:line="240" w:lineRule="atLeast"/>
      <w:ind w:left="1134"/>
      <w:jc w:val="both"/>
    </w:pPr>
    <w:rPr>
      <w:rFonts w:ascii="Arial" w:hAnsi="Arial"/>
      <w:noProof/>
      <w:sz w:val="20"/>
      <w:szCs w:val="20"/>
    </w:rPr>
  </w:style>
  <w:style w:type="paragraph" w:customStyle="1" w:styleId="bcparaa">
    <w:name w:val="bc para (a)"/>
    <w:basedOn w:val="Normal"/>
    <w:rsid w:val="00391A1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91A1A"/>
    <w:pPr>
      <w:spacing w:after="720"/>
      <w:ind w:left="1134"/>
      <w:jc w:val="both"/>
    </w:pPr>
    <w:rPr>
      <w:rFonts w:ascii="Arial" w:hAnsi="Arial"/>
      <w:sz w:val="20"/>
      <w:szCs w:val="20"/>
    </w:rPr>
  </w:style>
  <w:style w:type="paragraph" w:customStyle="1" w:styleId="bcverylastparaa">
    <w:name w:val="bc very last para (a)"/>
    <w:basedOn w:val="Normal"/>
    <w:rsid w:val="00391A1A"/>
    <w:pPr>
      <w:spacing w:after="720"/>
      <w:ind w:left="1843" w:hanging="709"/>
      <w:jc w:val="both"/>
    </w:pPr>
    <w:rPr>
      <w:rFonts w:ascii="Arial" w:hAnsi="Arial"/>
      <w:noProof/>
      <w:sz w:val="20"/>
      <w:szCs w:val="20"/>
    </w:rPr>
  </w:style>
  <w:style w:type="paragraph" w:customStyle="1" w:styleId="Bllok">
    <w:name w:val="Bllok"/>
    <w:next w:val="Normal"/>
    <w:rsid w:val="00391A1A"/>
    <w:pPr>
      <w:jc w:val="center"/>
    </w:pPr>
    <w:rPr>
      <w:rFonts w:ascii="CG Times" w:hAnsi="CG Times"/>
      <w:caps/>
      <w:sz w:val="22"/>
      <w:szCs w:val="22"/>
      <w:lang w:eastAsia="en-US"/>
    </w:rPr>
  </w:style>
  <w:style w:type="paragraph" w:customStyle="1" w:styleId="extraclauses">
    <w:name w:val="extra_clauses"/>
    <w:basedOn w:val="Normal"/>
    <w:rsid w:val="00391A1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391A1A"/>
    <w:pPr>
      <w:widowControl w:val="0"/>
      <w:outlineLvl w:val="2"/>
    </w:pPr>
    <w:rPr>
      <w:rFonts w:ascii="CG Times" w:hAnsi="CG Times"/>
      <w:sz w:val="22"/>
      <w:lang w:val="en-US" w:eastAsia="en-US"/>
    </w:rPr>
  </w:style>
  <w:style w:type="paragraph" w:customStyle="1" w:styleId="footnote">
    <w:name w:val="footnote"/>
    <w:basedOn w:val="Normal"/>
    <w:rsid w:val="00391A1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paragraph" w:customStyle="1" w:styleId="Institucioni">
    <w:name w:val="Institucioni"/>
    <w:next w:val="Normal"/>
    <w:rsid w:val="00391A1A"/>
    <w:pPr>
      <w:keepNext/>
      <w:widowControl w:val="0"/>
      <w:jc w:val="center"/>
    </w:pPr>
    <w:rPr>
      <w:rFonts w:ascii="CG Times" w:hAnsi="CG Times"/>
      <w:caps/>
      <w:sz w:val="22"/>
      <w:szCs w:val="22"/>
      <w:lang w:eastAsia="en-US"/>
    </w:rPr>
  </w:style>
  <w:style w:type="paragraph" w:customStyle="1" w:styleId="Kapakufund">
    <w:name w:val="Kapaku_fund"/>
    <w:next w:val="Normal"/>
    <w:rsid w:val="00391A1A"/>
    <w:pPr>
      <w:pageBreakBefore/>
    </w:pPr>
    <w:rPr>
      <w:rFonts w:ascii="CG Times" w:hAnsi="CG Times"/>
      <w:b/>
      <w:sz w:val="22"/>
      <w:szCs w:val="22"/>
      <w:lang w:val="en-US" w:eastAsia="en-US"/>
    </w:rPr>
  </w:style>
  <w:style w:type="paragraph" w:customStyle="1" w:styleId="KapitulliNr">
    <w:name w:val="Kapitulli_Nr"/>
    <w:rsid w:val="00391A1A"/>
    <w:pPr>
      <w:keepNext/>
      <w:widowControl w:val="0"/>
      <w:jc w:val="center"/>
    </w:pPr>
    <w:rPr>
      <w:rFonts w:ascii="CG Times" w:hAnsi="CG Times"/>
      <w:caps/>
      <w:sz w:val="22"/>
      <w:szCs w:val="22"/>
      <w:lang w:eastAsia="en-US"/>
    </w:rPr>
  </w:style>
  <w:style w:type="paragraph" w:customStyle="1" w:styleId="KapitulliTitull">
    <w:name w:val="Kapitulli_Titull"/>
    <w:rsid w:val="00391A1A"/>
    <w:pPr>
      <w:keepNext/>
      <w:widowControl w:val="0"/>
      <w:jc w:val="center"/>
    </w:pPr>
    <w:rPr>
      <w:rFonts w:ascii="CG Times" w:hAnsi="CG Times"/>
      <w:caps/>
      <w:sz w:val="22"/>
      <w:szCs w:val="22"/>
      <w:lang w:eastAsia="en-US"/>
    </w:rPr>
  </w:style>
  <w:style w:type="paragraph" w:customStyle="1" w:styleId="KreuNr">
    <w:name w:val="Kreu_Nr"/>
    <w:rsid w:val="00391A1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91A1A"/>
    <w:pPr>
      <w:keepNext/>
      <w:widowControl w:val="0"/>
      <w:jc w:val="center"/>
    </w:pPr>
    <w:rPr>
      <w:rFonts w:ascii="CG Times" w:hAnsi="CG Times"/>
      <w:caps/>
      <w:sz w:val="22"/>
      <w:szCs w:val="22"/>
      <w:lang w:val="en-US" w:eastAsia="en-US"/>
    </w:rPr>
  </w:style>
  <w:style w:type="paragraph" w:customStyle="1" w:styleId="Ndryshimet">
    <w:name w:val="Ndryshimet"/>
    <w:next w:val="Normal"/>
    <w:rsid w:val="00391A1A"/>
    <w:pPr>
      <w:keepNext/>
      <w:widowControl w:val="0"/>
      <w:jc w:val="center"/>
    </w:pPr>
    <w:rPr>
      <w:rFonts w:ascii="CG Times" w:hAnsi="CG Times"/>
      <w:i/>
      <w:sz w:val="22"/>
      <w:lang w:val="en-US" w:eastAsia="en-US"/>
    </w:rPr>
  </w:style>
  <w:style w:type="paragraph" w:customStyle="1" w:styleId="NeniNr">
    <w:name w:val="Neni_Nr"/>
    <w:next w:val="Normal"/>
    <w:rsid w:val="00391A1A"/>
    <w:pPr>
      <w:keepNext/>
      <w:widowControl w:val="0"/>
      <w:jc w:val="center"/>
    </w:pPr>
    <w:rPr>
      <w:rFonts w:ascii="CG Times" w:hAnsi="CG Times"/>
      <w:sz w:val="22"/>
      <w:lang w:eastAsia="en-US"/>
    </w:rPr>
  </w:style>
  <w:style w:type="paragraph" w:customStyle="1" w:styleId="NeniTitull">
    <w:name w:val="Neni_Titull"/>
    <w:next w:val="Normal"/>
    <w:rsid w:val="00391A1A"/>
    <w:pPr>
      <w:keepNext/>
      <w:widowControl w:val="0"/>
      <w:jc w:val="center"/>
      <w:outlineLvl w:val="2"/>
    </w:pPr>
    <w:rPr>
      <w:rFonts w:ascii="CG Times" w:hAnsi="CG Times"/>
      <w:b/>
      <w:sz w:val="22"/>
      <w:lang w:eastAsia="en-US"/>
    </w:rPr>
  </w:style>
  <w:style w:type="paragraph" w:customStyle="1" w:styleId="NenkreuNr">
    <w:name w:val="Nenkreu_Nr"/>
    <w:rsid w:val="00391A1A"/>
    <w:pPr>
      <w:keepNext/>
      <w:widowControl w:val="0"/>
      <w:jc w:val="center"/>
    </w:pPr>
    <w:rPr>
      <w:rFonts w:ascii="CG Times" w:hAnsi="CG Times"/>
      <w:caps/>
      <w:sz w:val="22"/>
      <w:szCs w:val="22"/>
      <w:lang w:eastAsia="en-US"/>
    </w:rPr>
  </w:style>
  <w:style w:type="paragraph" w:customStyle="1" w:styleId="NenkreuTitull">
    <w:name w:val="Nenkreu_Titull"/>
    <w:rsid w:val="00391A1A"/>
    <w:pPr>
      <w:jc w:val="center"/>
    </w:pPr>
    <w:rPr>
      <w:rFonts w:ascii="CG Times" w:hAnsi="CG Times"/>
      <w:caps/>
      <w:sz w:val="22"/>
      <w:szCs w:val="22"/>
      <w:lang w:eastAsia="en-US"/>
    </w:rPr>
  </w:style>
  <w:style w:type="paragraph" w:customStyle="1" w:styleId="Nenpika">
    <w:name w:val="Nenpika"/>
    <w:next w:val="Normal"/>
    <w:autoRedefine/>
    <w:rsid w:val="00391A1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391A1A"/>
    <w:pPr>
      <w:spacing w:after="120"/>
      <w:jc w:val="both"/>
    </w:pPr>
    <w:rPr>
      <w:rFonts w:ascii="Bookman Old Style" w:hAnsi="Bookman Old Style"/>
      <w:szCs w:val="20"/>
    </w:rPr>
  </w:style>
  <w:style w:type="paragraph" w:customStyle="1" w:styleId="numberedindent">
    <w:name w:val="numberedindent"/>
    <w:rsid w:val="00391A1A"/>
    <w:pPr>
      <w:tabs>
        <w:tab w:val="num" w:pos="1800"/>
      </w:tabs>
      <w:spacing w:after="120"/>
      <w:jc w:val="both"/>
    </w:pPr>
    <w:rPr>
      <w:rFonts w:ascii="Arial" w:hAnsi="Arial"/>
      <w:lang w:eastAsia="en-US"/>
    </w:rPr>
  </w:style>
  <w:style w:type="paragraph" w:customStyle="1" w:styleId="NumriData">
    <w:name w:val="Numri_Data"/>
    <w:next w:val="Normal"/>
    <w:rsid w:val="00391A1A"/>
    <w:pPr>
      <w:keepNext/>
      <w:widowControl w:val="0"/>
      <w:jc w:val="center"/>
      <w:outlineLvl w:val="0"/>
    </w:pPr>
    <w:rPr>
      <w:rFonts w:ascii="CG Times" w:hAnsi="CG Times"/>
      <w:b/>
      <w:sz w:val="22"/>
      <w:lang w:eastAsia="en-US"/>
    </w:rPr>
  </w:style>
  <w:style w:type="paragraph" w:customStyle="1" w:styleId="Paragrafi">
    <w:name w:val="Paragrafi"/>
    <w:rsid w:val="00391A1A"/>
    <w:pPr>
      <w:widowControl w:val="0"/>
      <w:ind w:firstLine="720"/>
      <w:jc w:val="both"/>
    </w:pPr>
    <w:rPr>
      <w:rFonts w:ascii="CG Times" w:hAnsi="CG Times"/>
      <w:sz w:val="22"/>
      <w:lang w:val="en-US" w:eastAsia="en-US"/>
    </w:rPr>
  </w:style>
  <w:style w:type="paragraph" w:customStyle="1" w:styleId="Pika">
    <w:name w:val="Pika"/>
    <w:next w:val="Normal"/>
    <w:autoRedefine/>
    <w:rsid w:val="00391A1A"/>
    <w:pPr>
      <w:ind w:firstLine="720"/>
    </w:pPr>
    <w:rPr>
      <w:rFonts w:ascii="CG Times" w:hAnsi="CG Times"/>
      <w:sz w:val="22"/>
      <w:lang w:val="en-US" w:eastAsia="en-US"/>
    </w:rPr>
  </w:style>
  <w:style w:type="paragraph" w:customStyle="1" w:styleId="PikeKreu">
    <w:name w:val="Pike_Kreu"/>
    <w:basedOn w:val="Heading1"/>
    <w:rsid w:val="00391A1A"/>
    <w:pPr>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391A1A"/>
    <w:pPr>
      <w:keepNext/>
      <w:widowControl w:val="0"/>
      <w:jc w:val="center"/>
    </w:pPr>
    <w:rPr>
      <w:rFonts w:ascii="CG Times" w:hAnsi="CG Times"/>
      <w:caps/>
      <w:sz w:val="22"/>
      <w:szCs w:val="22"/>
      <w:lang w:eastAsia="en-US"/>
    </w:rPr>
  </w:style>
  <w:style w:type="paragraph" w:customStyle="1" w:styleId="PjesaTitull">
    <w:name w:val="Pjesa_Titull"/>
    <w:rsid w:val="00391A1A"/>
    <w:pPr>
      <w:keepNext/>
      <w:widowControl w:val="0"/>
      <w:jc w:val="center"/>
    </w:pPr>
    <w:rPr>
      <w:rFonts w:ascii="CG Times" w:hAnsi="CG Times"/>
      <w:caps/>
      <w:sz w:val="22"/>
      <w:szCs w:val="22"/>
      <w:lang w:eastAsia="en-US"/>
    </w:rPr>
  </w:style>
  <w:style w:type="paragraph" w:customStyle="1" w:styleId="Shpallja">
    <w:name w:val="Shpallja"/>
    <w:rsid w:val="00391A1A"/>
    <w:pPr>
      <w:widowControl w:val="0"/>
      <w:jc w:val="both"/>
    </w:pPr>
    <w:rPr>
      <w:rFonts w:ascii="CG Times" w:hAnsi="CG Times"/>
      <w:b/>
      <w:color w:val="000000"/>
      <w:sz w:val="22"/>
      <w:szCs w:val="22"/>
      <w:lang w:val="sq-AL" w:eastAsia="en-US"/>
    </w:rPr>
  </w:style>
  <w:style w:type="paragraph" w:customStyle="1" w:styleId="Tabele">
    <w:name w:val="Tabele"/>
    <w:rsid w:val="00391A1A"/>
    <w:rPr>
      <w:rFonts w:ascii="CG Times" w:hAnsi="CG Times"/>
      <w:sz w:val="22"/>
      <w:lang w:eastAsia="en-US"/>
    </w:rPr>
  </w:style>
  <w:style w:type="paragraph" w:customStyle="1" w:styleId="text">
    <w:name w:val="text"/>
    <w:basedOn w:val="Normal"/>
    <w:rsid w:val="00391A1A"/>
    <w:pPr>
      <w:ind w:left="709"/>
      <w:jc w:val="both"/>
    </w:pPr>
    <w:rPr>
      <w:rFonts w:ascii="Arial" w:hAnsi="Arial"/>
      <w:sz w:val="20"/>
      <w:szCs w:val="20"/>
      <w:lang w:val="fr-FR"/>
    </w:rPr>
  </w:style>
  <w:style w:type="paragraph" w:customStyle="1" w:styleId="Titulli">
    <w:name w:val="Titulli"/>
    <w:next w:val="Normal"/>
    <w:rsid w:val="00391A1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391A1A"/>
    <w:rPr>
      <w:rFonts w:ascii="CG Times" w:eastAsia="MS Mincho" w:hAnsi="CG Times"/>
      <w:b/>
      <w:caps/>
      <w:sz w:val="22"/>
      <w:szCs w:val="22"/>
      <w:lang w:val="en-GB" w:eastAsia="en-US" w:bidi="ar-SA"/>
    </w:rPr>
  </w:style>
  <w:style w:type="paragraph" w:customStyle="1" w:styleId="TitulliNr">
    <w:name w:val="Titulli_Nr"/>
    <w:rsid w:val="00391A1A"/>
    <w:pPr>
      <w:keepNext/>
      <w:widowControl w:val="0"/>
      <w:jc w:val="center"/>
    </w:pPr>
    <w:rPr>
      <w:rFonts w:ascii="CG Times" w:hAnsi="CG Times"/>
      <w:caps/>
      <w:sz w:val="22"/>
      <w:szCs w:val="22"/>
      <w:lang w:eastAsia="en-US"/>
    </w:rPr>
  </w:style>
  <w:style w:type="paragraph" w:customStyle="1" w:styleId="TitulliTitull">
    <w:name w:val="Titulli_Titull"/>
    <w:rsid w:val="00391A1A"/>
    <w:pPr>
      <w:keepNext/>
      <w:widowControl w:val="0"/>
      <w:jc w:val="center"/>
      <w:outlineLvl w:val="0"/>
    </w:pPr>
    <w:rPr>
      <w:rFonts w:ascii="CG Times" w:hAnsi="CG Times"/>
      <w:caps/>
      <w:sz w:val="22"/>
      <w:szCs w:val="22"/>
      <w:lang w:eastAsia="en-US"/>
    </w:rPr>
  </w:style>
  <w:style w:type="paragraph" w:customStyle="1" w:styleId="VENDOSI">
    <w:name w:val="VENDOSI"/>
    <w:next w:val="Normal"/>
    <w:rsid w:val="00391A1A"/>
    <w:pPr>
      <w:keepNext/>
      <w:widowControl w:val="0"/>
      <w:jc w:val="center"/>
    </w:pPr>
    <w:rPr>
      <w:rFonts w:ascii="CG Times" w:hAnsi="CG Times"/>
      <w:caps/>
      <w:sz w:val="22"/>
      <w:szCs w:val="22"/>
      <w:lang w:eastAsia="en-US"/>
    </w:rPr>
  </w:style>
  <w:style w:type="table" w:styleId="TableGrid">
    <w:name w:val="Table Grid"/>
    <w:basedOn w:val="TableNormal"/>
    <w:rsid w:val="00517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1855</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2019-03-16T15:20:00Z</dcterms:created>
  <dcterms:modified xsi:type="dcterms:W3CDTF">2019-03-16T15:20:00Z</dcterms:modified>
</cp:coreProperties>
</file>