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BB2" w:rsidRPr="003201D5" w:rsidRDefault="00BE1BB2" w:rsidP="00BE1BB2">
      <w:pPr>
        <w:pStyle w:val="Paragrafi"/>
        <w:rPr>
          <w:lang w:val="sq-AL"/>
        </w:rPr>
      </w:pPr>
      <w:bookmarkStart w:id="0" w:name="_GoBack"/>
      <w:bookmarkEnd w:id="0"/>
    </w:p>
    <w:p w:rsidR="00BE1BB2" w:rsidRPr="00BE1BB2" w:rsidRDefault="00BE1BB2" w:rsidP="00BE1BB2">
      <w:pPr>
        <w:pStyle w:val="Akti"/>
        <w:rPr>
          <w:lang w:val="sq-AL"/>
        </w:rPr>
      </w:pPr>
      <w:bookmarkStart w:id="1" w:name="_Toc174939395"/>
      <w:r w:rsidRPr="00BE1BB2">
        <w:rPr>
          <w:lang w:val="sq-AL"/>
        </w:rPr>
        <w:t>UDHËZIM</w:t>
      </w:r>
      <w:bookmarkEnd w:id="1"/>
    </w:p>
    <w:p w:rsidR="00BE1BB2" w:rsidRPr="00BE1BB2" w:rsidRDefault="00BE1BB2" w:rsidP="00BE1BB2">
      <w:pPr>
        <w:pStyle w:val="NumriData"/>
        <w:rPr>
          <w:lang w:val="sq-AL"/>
        </w:rPr>
      </w:pPr>
      <w:r w:rsidRPr="00BE1BB2">
        <w:rPr>
          <w:lang w:val="sq-AL"/>
        </w:rPr>
        <w:t>Nr.24, datë 15.11.2007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BE1BB2" w:rsidRDefault="00BE1BB2" w:rsidP="00BE1BB2">
      <w:pPr>
        <w:pStyle w:val="Titulli"/>
        <w:rPr>
          <w:lang w:val="sq-AL"/>
        </w:rPr>
      </w:pPr>
      <w:r w:rsidRPr="00BE1BB2">
        <w:rPr>
          <w:lang w:val="sq-AL"/>
        </w:rPr>
        <w:t xml:space="preserve">MBI TRAJTIMIN E DËMEVE TË MBULUARA NGA KONTRATA E SIGURIMIT TË DETYRUESHËM TË MBAJTËSVE TË MJETEVE MOTORIKE PËR PËRGJEGJËSINË NDAJ PALËVE TË TRETA 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BazLigjPropozues"/>
        <w:rPr>
          <w:lang w:val="sq-AL"/>
        </w:rPr>
      </w:pPr>
      <w:r w:rsidRPr="003201D5">
        <w:rPr>
          <w:lang w:val="sq-AL"/>
        </w:rPr>
        <w:t>Në mbështetje të nenit 102</w:t>
      </w:r>
      <w:r w:rsidRPr="00BE1BB2">
        <w:rPr>
          <w:rStyle w:val="ParagrafiChar"/>
          <w:lang w:val="sq-AL"/>
        </w:rPr>
        <w:t xml:space="preserve">, pika 4 të Kushtetutës dhe nenit 16 të dekretit nr.295, datë 15.9.1992 “Për sigurimin e detyrueshëm të mbajtësve të mjeteve motorike për përgjegjësitë ndaj palëve të treta”,  të miratuar me ndryshime me ligjin nr.7641, datë 1.12.1992, Ministri </w:t>
      </w:r>
      <w:r w:rsidRPr="003201D5">
        <w:rPr>
          <w:lang w:val="sq-AL"/>
        </w:rPr>
        <w:t>i Financave,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BE1BB2" w:rsidRDefault="00BE1BB2" w:rsidP="00BE1BB2">
      <w:pPr>
        <w:pStyle w:val="VENDOSI"/>
        <w:rPr>
          <w:lang w:val="sq-AL"/>
        </w:rPr>
      </w:pPr>
      <w:r w:rsidRPr="00BE1BB2">
        <w:rPr>
          <w:lang w:val="sq-AL"/>
        </w:rPr>
        <w:t>UDHËZON: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KreuNr"/>
        <w:rPr>
          <w:lang w:val="sq-AL"/>
        </w:rPr>
      </w:pPr>
      <w:r w:rsidRPr="003201D5">
        <w:rPr>
          <w:lang w:val="sq-AL"/>
        </w:rPr>
        <w:t>KREU I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bookmarkStart w:id="2" w:name="_Toc174939396"/>
      <w:r w:rsidRPr="003201D5">
        <w:rPr>
          <w:lang w:val="sq-AL"/>
        </w:rPr>
        <w:t>1. Dispozita të përgjithshme</w:t>
      </w:r>
      <w:bookmarkEnd w:id="2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a) Personi  të cilit i është shkaktuar një dëm brenda territorit të Republikës së Shqipërisë, nga përdorimi i një mjeti motorik, ka të drejtë të kërkojë shpërblimin e dëmit që sipas rastit përbëhet nga: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1. Dëm pasuror i ndarë në: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dëm shëndetësor;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dëm material.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2. Dëm jopasuror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b) Kërkesa për dëmshpërblim e palës së dëmtuar, sipas pikës 1, trajtohet sipas kritereve të këtij udhëzimi në vijim.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Shoqëria e sigurimit detyrohet t’i njoftojë palës së dëmtuar,  të drejtat dhe detyrimet e saj në lidhje me trajtimin e dëmit.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3" w:name="_Toc174939397"/>
      <w:r w:rsidRPr="003201D5">
        <w:rPr>
          <w:lang w:val="sq-AL"/>
        </w:rPr>
        <w:t xml:space="preserve"> 2. Asistenca ndaj policëmbajtësit</w:t>
      </w:r>
      <w:bookmarkEnd w:id="3"/>
      <w:r w:rsidRPr="003201D5">
        <w:rPr>
          <w:lang w:val="sq-AL"/>
        </w:rPr>
        <w:t xml:space="preserve">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Në momentin e nënshkrimit të kontratës së sigurimit brenda territorit të Republikës së Shqipërisë, shoqëria e sigurimit e pajis policëmbajtësin me një fletëpalosje që përmban: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veprimet e para në momentin e përfshirjes në aksident;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dokumentacionin e nevojshëm që do të shoqërojë kërkesën për dëmshpërblim;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numrat e telefonit, ku mund të drejtohet për asistencë të specializuar;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- afatin e depozitimit të kërkesës;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- informacione të tjera shtesë.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Në të kundërt të gjitha të dhënat që përmban fletëpalosja duhet të jenë të përfshira në pjesën e prapme të policës së sigurimit.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Një kopje e fletëpalosjes sipas përcaktimeve të germës “a” duhet të depozitohet pranë Autoritetit të Mbikëqyrjes Financiare.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4" w:name="_Toc174939398"/>
      <w:r w:rsidRPr="003201D5">
        <w:rPr>
          <w:lang w:val="sq-AL"/>
        </w:rPr>
        <w:t xml:space="preserve"> 3. Paraqitja e kërkesës për dëmshpërblim</w:t>
      </w:r>
      <w:bookmarkEnd w:id="4"/>
      <w:r w:rsidRPr="003201D5">
        <w:rPr>
          <w:lang w:val="sq-AL"/>
        </w:rPr>
        <w:t xml:space="preserve">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a) Kërkesa për dëmshpërblim është formular standard i shoqërisë së sigurimit që i jepet palës së dëmtuar për ta plotësuar në rast dëmi.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b) Pala e dëmtuar paraqet kërkesën për dëmshpërblim në shoqërinë e sigurimit, ku është siguruar shkaktari i dëmit.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Kërkesa për dëmshpërblim duhet të bëhet me shkrim dhe të protokollohet në një regjistër të veçantë të shoqërisë së sigurimit.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d) Paraqitja e kërkesës për dëmshpërblim bëhet brenda afateve të parashkrimit të përcaktuara në Kodin Civil.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e) Në rast se mjeti shkaktar i aksidentit është i pasiguruar apo i paidentifikuar, pala e dëmtuar ka të drejtë ta paraqesë kërkesën për dëmshpërblim në një nga shoqëritë e sigur</w:t>
      </w:r>
      <w:r w:rsidRPr="003201D5">
        <w:rPr>
          <w:lang w:val="sq-AL"/>
        </w:rPr>
        <w:t>imit të autorizuara si trajtues dëmesh në përputhje me kuadrin ligjor në fuqi.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f) Pala e dëmtuar nuk është e detyruar ta përsërisë kërkesën për dëmshpërblim në rast se identifikohet shoqëria e sigurimit të mjetit shkaktar të aksidentit. Në këtë rast, shoqëria që disponon kërkesën për dëmshpërblim e dërgon atë te shoqëria e sigurimit të mjetit shkaktar të dëmit. Kjo e fundit njofton palën e tretë  për marrjen e kërkesës për dëmshpërblim. 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5" w:name="_Toc174939399"/>
      <w:r w:rsidRPr="003201D5">
        <w:rPr>
          <w:lang w:val="sq-AL"/>
        </w:rPr>
        <w:lastRenderedPageBreak/>
        <w:t xml:space="preserve"> 4. Marrja në dorëzim e kërkesës për dëmshpërblim</w:t>
      </w:r>
      <w:bookmarkEnd w:id="5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Shoqëria e sigurimit, pasi bën protokollimin e kërkesës për dëmshpërblim nga pala e dëmtuar, e pajis atë me një formular që përmban udhëzimet, instruksionet dhe listën e  dokumenteve të nevojshme për plotësimin e praktikës së dëmit.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Shoqëria e sigurimit duhet të jetë sa më e disponueshme kundrejt palës së dëmtuar.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Pala e dëmtuar duhet të bashkëpunojë me shoqërinë e sigurimit në dhënien e informacioneve apo dokumenteve të nevojshme që kanë të bëjnë me aksidentin.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6" w:name="_Toc174939400"/>
      <w:r w:rsidRPr="003201D5">
        <w:rPr>
          <w:lang w:val="sq-AL"/>
        </w:rPr>
        <w:t>5. Hapja e praktikës së dëmit</w:t>
      </w:r>
      <w:bookmarkEnd w:id="6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a) Shoqëria e sigurimit hap praktikën e dëmit menjëherë pas marrjes së kërkesës për dëmshpërblim me shkrim nga pala e dëmtuar.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b) Shoqëria e sigurimit hap praktikë të veçantë të dëmit për çdo person, mjet apo pronë të dëmtuar në një aksident. Në këtë rast, shoqëria e sigurimit d</w:t>
      </w:r>
      <w:r w:rsidRPr="003201D5">
        <w:rPr>
          <w:lang w:val="sq-AL"/>
        </w:rPr>
        <w:t>etyrohet të shprehet mbi trajtimin përfundimtar të çdo praktike të dëmit duke gjykuar mbi ngjarjen në përgjithësi.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c) Hapja e praktikës së dëmit protokollohet në regjistër të veçantë ditën paraqitjes së kërkesës për dëmshpërblim.  Në momentin e hapjes, pra</w:t>
      </w:r>
      <w:r w:rsidRPr="003201D5">
        <w:rPr>
          <w:lang w:val="sq-AL"/>
        </w:rPr>
        <w:t xml:space="preserve">ktika e dëmit përmban: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elementet e identifikimit të praktikës (numri i praktikës/kodi i degës ku hapet praktika, data e hapjes së praktikës, data dhe vendi i aksidentit);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- elementet e identifikimit të palës së dëmtuar (emri, mbiemri, adresa, numri i telefonit/të dhënat e mjetit të dëmtuar përfshirë policën e sigurimit/të dhëna identifikuese të pronës së dëmtuar);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- elementet e identifikimit të shkaktarit të dëmit (emri, mbiemri, adresa, nr i telefonit/elementet e policës së sigurimit përfshirë një kopj</w:t>
      </w:r>
      <w:r w:rsidRPr="003201D5">
        <w:rPr>
          <w:lang w:val="sq-AL"/>
        </w:rPr>
        <w:t xml:space="preserve">e të saj. </w:t>
      </w:r>
      <w:bookmarkStart w:id="7" w:name="_Toc174939401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6. Refuzimi i dëmit nga shoqëria e sigurimit</w:t>
      </w:r>
      <w:bookmarkEnd w:id="7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Nëse dëmi refuzohet, shoqëria e sigurimit njofton me shkrim palën e dëmtuar brenda afateve të përcaktuara ne pikën 1 të kreut IV.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8" w:name="_Toc174939402"/>
      <w:r w:rsidRPr="003201D5">
        <w:rPr>
          <w:lang w:val="sq-AL"/>
        </w:rPr>
        <w:t>7. Dokumentacioni bazë i një praktike dëmi</w:t>
      </w:r>
      <w:bookmarkEnd w:id="8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Dokumente të përgjithshme për çdo praktikë dëmi janë: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1. njoftim/kërkesa e palës së dëmtuar për dëmshpërblim e protokolluar në regjistrin e veçantë të shoqërisë së sigurimit;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 konfirmimi i mbulimit në sigurim i mjetit shkaktar i dëmit nga shoqëria e sigurimit;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 formulari “Vërtetimi miqësor i ngjarjes–njoftimi i rastit të sigurimit”;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4. procesverbali i konstatimit të shkeljes nga policia rrugore për ngjarjen;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5. vendimi i prokurorisë për ngjarjen, kur në aksident rezultojnë vdekje dhe/ose plagosje të rënda;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6. vendimi i formës së prerë i gjykatës për përgjegjësitë në aksident, kur njëri nga drejtuesit e mjeteve motorike të përfshirë në aksident rezulton me vdekje ose plagosje të rëndë, ose vendimi i prokurorisë, kur çështja është pushuar.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Dokumente specifike për dëmet shëndetësore: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7. certifikata familjare dhe personale;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8. vërtetimi i të ardhurave neto personale për tri vitet e fundit;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 dokumenti i vlerësimit të dëmit;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b.1  Për rastet e vdekjes: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10. skeda e vdekjes;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11. certifikata e vdekjes;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 vendimi i gjykatës për përcaktimin e trashëgimtarëve  të të ndjerit;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b.2 Për paaftësi të përhershme: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13. raporti i paaftësisë së përhershme për punë;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14. radiografi/skaner/rezonancë manjetike (sipas rastit), fletështrimi e fletëdalje nga spitali sipas dhe dokumente të tjera që ndihmojnë në vlerësimin e dëmit, në rast se ka të tillë;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b.3 Për paaftësi të përkohshme: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përveç dokumenteve të kërkuara në pikat 1, 4, 5, 8, 9 në shkronjat “a”, “b” të kësaj pike, i dëmtuari duhet të dorëzojë edhe: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15. raportin e paaftësisë së përkohshme (modelar tip);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Dokumente specifike për dëme materiale: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16. dokumenti i pronësisë së mjetit ose objektit të dëmtuar;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17. aktekspertim dëmi;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lastRenderedPageBreak/>
        <w:t>18. aktvlerësim dëmi;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19. foto të mjetit shkaktar i dëmit;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20. foto të mjetit ose objektit të dëmtuar.</w:t>
      </w:r>
      <w:bookmarkStart w:id="9" w:name="_Toc174939403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8. Forma dhe përmbajtja e praktikës së dëmit</w:t>
      </w:r>
      <w:bookmarkEnd w:id="9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Dokumentacioni i parashikuar në pikën 7 të këtij kreu, duhet të paraqitet origjinal ose fotokopje e noterizuar dhe në gjuhën shqipe. Forma dhe përmbajtja e tij duhet të jetë si më poshtë: 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1. Pala e dëmtuar duhet të plotësojë me përpikmëri të gjitha hapësirat e njoftim/kërkesës për dëmshpërblim. Ajo duhet të shpjegojë me hollësi rrethanat e ngjarjes, duke e shoqëruar atë me skicën e vendngjarjes.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2. Konfirmimi i mbulimit në sigurim të mjetit shkaktar të dëmit, bëhet nga shoqëria e sigurimit dhe shoqërohet me policën e sigurimit të mjetit shkaktar të aksidentit.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 xml:space="preserve">3. Formulari standard “Vërtetimi miqësor i ngjarjes - njoftimi i rastit të sigurimit”, duhet të paraqitet nga pala e dëmtuar, kur shkaktari i dëmit është i siguruar me </w:t>
      </w:r>
      <w:r w:rsidRPr="003201D5">
        <w:rPr>
          <w:lang w:val="sq-AL"/>
        </w:rPr>
        <w:t>kontratën TPL. Ky dokument plotësohet me përpikmëri dhe besnikëri nga pjesëmarrë</w:t>
      </w:r>
      <w:r w:rsidRPr="00BE1BB2">
        <w:rPr>
          <w:lang w:val="sq-AL"/>
        </w:rPr>
        <w:t>sit në aksident, sipas të gjitha shpjegimeve të bëra në faqen e dytë të tij. Në faqen e dytë të këtij dokumenti, përbri paragrafit “Data e denoncimit”, e cila duhet të plotësoh</w:t>
      </w:r>
      <w:r w:rsidRPr="003201D5">
        <w:rPr>
          <w:lang w:val="sq-AL"/>
        </w:rPr>
        <w:t>et nga i dëmtuari, shoqëria e sigurimit vendos datën se kur është bërë denoncimi në degë, duke e sigluar atë.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4. Procesverbali i konstatimit të shkeljes nga Policia Rrugore konsiderohet i rregullt, kur ai është lëshuar në përputhje me dispozitat e Kodit Rr</w:t>
      </w:r>
      <w:r w:rsidRPr="003201D5">
        <w:rPr>
          <w:lang w:val="sq-AL"/>
        </w:rPr>
        <w:t>ugor.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5. Vendimi i prokurorisë për ngjarjen.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6. Vendimi i gjykatës.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7. Certifikata familjare dhe personale e të dëmtuarit (në rastin e paaftësisë së përhershme dhe të përkohshme) duhet të jetë sipas formatit zyrtar, e nënshkruar dhe e vulosur nga organi kompetent.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8. Vërtetimi i të ardhurave neto personale për tri vitet e fundit (duke u nisur nga data e aksidentit), i detajuar për çdo muaj, duhet të lëshohet nga punëdhënësi dhe të konfirmohet nga sigurimet shoqërore ose tatim–taksat.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9. Skeda e vdekjes.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10. Certifikata e vdekjes.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11. Vendimi i gjykatës për përcaktimin e trashëgimtarëve të të ndjerit.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 Raporti i paaftësisë së përhershme për punë duhet ta shprehë në % masën e paaftësisë, duke u bazuar në tabelën “Shkalla e humbjes së paaftësisë së përhershme në punë”.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13. Radiografia/skaneri/rezonanca manjetike, fleta e shtrimit e fletëdalja nga spitali dhe çdo dokument tjetër që ndihmon në vlerësimin e dëmit duhet të jenë lëshuar nga organe kompetente.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14. Raporti i paaftësisë së përkohshme duhet të jetë sipas modelarit tip të lëshuar nga organi përkatës.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15. Dokumentet e pronësisë së mjetit ose objektit.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16. Aktekspertimi i dëmit, do të kryhet në mënyrë të pavarur nga specialisti i inspektimit në vend të mjetit i autorizuar nga shoqëria e sigurimit.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Ky aktekspertim duhet të jetë i firmosur nga specialisti dhe pala e dëmtuar.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 xml:space="preserve">17. Vlerësimi i dëmit do të kryhet në formularin aktvlerësim dëmi sipas formularit të shoqërisë. Në aktvlerësim duhet të merren parasysh të gjitha elementet e domosdoshme që kërkojnë </w:t>
      </w:r>
      <w:r w:rsidRPr="003201D5">
        <w:rPr>
          <w:lang w:val="sq-AL"/>
        </w:rPr>
        <w:t>shpenzime.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18. Foto të mjetit shkaktar të dëmit do të konsiderohen të rregullta, pavarësisht nga forma dhe lloji, kur në to paraqitet në mënyrë të qartë targa dhe pjesët e dëmtuara si rrjedhojë e ngjarjes.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19. Fotot e mjetit ose objektit të dëmtuar duhet të bëhen nga Shoqëria e sigurimit që hap praktikën  gjatë procesit të ekspertimit. Praktika duhet</w:t>
      </w:r>
      <w:r w:rsidRPr="00BE1BB2">
        <w:rPr>
          <w:lang w:val="sq-AL"/>
        </w:rPr>
        <w:t xml:space="preserve"> të përmbajë jo më pak se 3 (tri) copë foto të mjetit/objektit të dëmtuar, në pozicione të ndryshme. Në foto duhet të pasqyrohen qartë elementet e dëmtuara. Në</w:t>
      </w:r>
      <w:r w:rsidRPr="003201D5">
        <w:rPr>
          <w:lang w:val="sq-AL"/>
        </w:rPr>
        <w:t xml:space="preserve"> një nga fotot të pasqyrohet qartë pamja e përgjithshme e mjetit të dëmtuar së bashku me targën e tij.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20. Në praktikën e dëmit duhet të administrohen edhe të gjitha dokumentet plotësuese që kanë lidhje me të.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21. Shoqëria e sigurimit që trajton praktikën, pas kompletimit të saj me të tërë dokumentacionin sipas pikës 8, duhet të përgatisë relacionin ku pasqyrohet</w:t>
      </w:r>
      <w:r w:rsidRPr="00BE1BB2">
        <w:rPr>
          <w:lang w:val="sq-AL"/>
        </w:rPr>
        <w:t xml:space="preserve"> i gjithë procesi, nga hapja e praktikës deri në përfundim të saj. Në relacion duhet të jepet saktësisht gjykimi i specialistit për vërtetësinë e r</w:t>
      </w:r>
      <w:r w:rsidRPr="003201D5">
        <w:rPr>
          <w:lang w:val="sq-AL"/>
        </w:rPr>
        <w:t xml:space="preserve">astit të sigurimit, përputhjen me kushtet e përgjithshme të kontratës TPL dhe me </w:t>
      </w:r>
      <w:r w:rsidRPr="003201D5">
        <w:rPr>
          <w:lang w:val="sq-AL"/>
        </w:rPr>
        <w:lastRenderedPageBreak/>
        <w:t xml:space="preserve">udhëzimin e trajtimit të dëmeve në fuqi, me të gjitha detajet dhe faktet konkrete ose arsyet e refuzimit.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22. Kur dokumentacioni i praktikës nuk është i mundur të plotësohet,</w:t>
      </w:r>
      <w:r w:rsidRPr="003201D5">
        <w:rPr>
          <w:lang w:val="sq-AL"/>
        </w:rPr>
        <w:t xml:space="preserve"> pasi në të mungojnë foto të mjetit shkaktar të dëmit dhe/ose shkaktari i dëmit nu</w:t>
      </w:r>
      <w:r w:rsidRPr="00BE1BB2">
        <w:rPr>
          <w:lang w:val="sq-AL"/>
        </w:rPr>
        <w:t>k ka firmosur procesverbalin e policisë apo formularin “Vërtetimi miqësor i ngjarjes–njoftimi i rastit të sigurimit”, shoqëria e sigurimit duhet të kryejë investigimin parapr</w:t>
      </w:r>
      <w:r w:rsidRPr="003201D5">
        <w:rPr>
          <w:lang w:val="sq-AL"/>
        </w:rPr>
        <w:t>ak duke e pasqyruar atë në relacionin shoqërues të praktikës.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23. Në praktikën e dëmit duhet të administrohen edhe të gjitha dokumentet plotësuese që lidhen me të.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24. Deklarata e pranimit të dëmshpërblimit do të jetë sipas formularit tip (bashkëngjitur këtij udhëzimi) dhe do të shërbejë si provë për pranimin e vlerës së dëmshpërblimit nga pala e dëmtuar.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25. Urdhërpagesa do të jetë sipas formularit tip të përgatitur nga shoqëria e sigurimit dhe do të plotësohet me përpikmëri në të gjitha rubrikat e saj si</w:t>
      </w:r>
      <w:r w:rsidRPr="003201D5">
        <w:rPr>
          <w:lang w:val="sq-AL"/>
        </w:rPr>
        <w:t>pas rregullave financiare.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KreuNr"/>
        <w:rPr>
          <w:lang w:val="sq-AL"/>
        </w:rPr>
      </w:pPr>
      <w:r w:rsidRPr="003201D5">
        <w:rPr>
          <w:lang w:val="sq-AL"/>
        </w:rPr>
        <w:t>KREU II</w:t>
      </w:r>
    </w:p>
    <w:p w:rsidR="00BE1BB2" w:rsidRPr="003201D5" w:rsidRDefault="00BE1BB2" w:rsidP="00BE1BB2">
      <w:pPr>
        <w:pStyle w:val="KreuTitull"/>
        <w:rPr>
          <w:lang w:val="sq-AL"/>
        </w:rPr>
      </w:pPr>
      <w:r w:rsidRPr="003201D5">
        <w:rPr>
          <w:lang w:val="sq-AL"/>
        </w:rPr>
        <w:t>VLERËSIMI I DËMIT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Vlerësimi i dëmeve në shoqërinë e sigurimit realizohet nga vlerësues dëmesh të licencuar nga Autoriteti i Mbikëqyrjes Financiare sipas parashikimeve të kuadrit ligjor në fuqi.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II /A Llogaritja e dëmit shëndetësor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II/A1 Vlerësimi i dëmit me pasojë vdekjen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10" w:name="_Toc174939404"/>
      <w:r w:rsidRPr="003201D5">
        <w:rPr>
          <w:lang w:val="sq-AL"/>
        </w:rPr>
        <w:t>1. Formula e llogaritjes dëmit me pasojë vdekjen</w:t>
      </w:r>
      <w:bookmarkEnd w:id="10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Dëmshpërblimi do të llogaritet sipas kësaj formule: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 =  (T</w:t>
      </w:r>
      <w:r w:rsidRPr="003201D5">
        <w:rPr>
          <w:vertAlign w:val="subscript"/>
          <w:lang w:val="sq-AL"/>
        </w:rPr>
        <w:t>ap</w:t>
      </w:r>
      <w:r w:rsidRPr="003201D5">
        <w:rPr>
          <w:lang w:val="sq-AL"/>
        </w:rPr>
        <w:t xml:space="preserve"> - K</w:t>
      </w:r>
      <w:r w:rsidRPr="003201D5">
        <w:rPr>
          <w:vertAlign w:val="subscript"/>
          <w:lang w:val="sq-AL"/>
        </w:rPr>
        <w:t>avnp</w:t>
      </w:r>
      <w:r w:rsidRPr="003201D5">
        <w:rPr>
          <w:lang w:val="sq-AL"/>
        </w:rPr>
        <w:t xml:space="preserve">  x  T</w:t>
      </w:r>
      <w:r w:rsidRPr="003201D5">
        <w:rPr>
          <w:vertAlign w:val="subscript"/>
          <w:lang w:val="sq-AL"/>
        </w:rPr>
        <w:t>ap</w:t>
      </w:r>
      <w:r w:rsidRPr="003201D5">
        <w:rPr>
          <w:lang w:val="sq-AL"/>
        </w:rPr>
        <w:t>)  x  K</w:t>
      </w:r>
      <w:r w:rsidRPr="003201D5">
        <w:rPr>
          <w:vertAlign w:val="subscript"/>
          <w:lang w:val="sq-AL"/>
        </w:rPr>
        <w:t>shk</w:t>
      </w:r>
      <w:r w:rsidRPr="003201D5">
        <w:rPr>
          <w:lang w:val="sq-AL"/>
        </w:rPr>
        <w:t xml:space="preserve">  x  K</w:t>
      </w:r>
      <w:r w:rsidRPr="003201D5">
        <w:rPr>
          <w:vertAlign w:val="subscript"/>
          <w:lang w:val="sq-AL"/>
        </w:rPr>
        <w:t>mdp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Ku: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dëmshpërblimi;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T</w:t>
      </w:r>
      <w:r w:rsidRPr="003201D5">
        <w:rPr>
          <w:vertAlign w:val="subscript"/>
          <w:lang w:val="sq-AL"/>
        </w:rPr>
        <w:t>ap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të ardhurat  personale;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K</w:t>
      </w:r>
      <w:r w:rsidRPr="003201D5">
        <w:rPr>
          <w:vertAlign w:val="subscript"/>
          <w:lang w:val="sq-AL"/>
        </w:rPr>
        <w:t>avup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koeficienti i të ardhurave për vetë nevojat e personit;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K</w:t>
      </w:r>
      <w:r w:rsidRPr="003201D5">
        <w:rPr>
          <w:vertAlign w:val="subscript"/>
          <w:lang w:val="sq-AL"/>
        </w:rPr>
        <w:t>shk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koeficienti i shumës së kapitalizuar;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K</w:t>
      </w:r>
      <w:r w:rsidRPr="003201D5">
        <w:rPr>
          <w:vertAlign w:val="subscript"/>
          <w:lang w:val="sq-AL"/>
        </w:rPr>
        <w:t>mdp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koeficienti i moshës së daljes në pension.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11" w:name="_Toc174939405"/>
      <w:r w:rsidRPr="003201D5">
        <w:rPr>
          <w:lang w:val="sq-AL"/>
        </w:rPr>
        <w:t>2. Llogaritja e të ardhurave personale</w:t>
      </w:r>
      <w:bookmarkEnd w:id="11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Si të ardhura personale do të konsiderohen: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Në rast se i ndjeri ka qenë në marrëdhënie pune, do të merret mesatarja e të ardhurave neto të tri viteve të fundit para ditës së aksidentit, të lëshuara nga punëdhënësi dhe të konfirmuara nga ISSH (Instituti i Sigurimeve Shoqërore).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Në rast se i ndjeri ka qenë pronar aktiviteti privat, do të merret deklarimi i të ardhurave neto të konfirmuara nga zyra e tatim-taksave, e llogaritur si mesatare për tri vitet më të fundit të punës.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c) Në rast se i ndjeri nuk ka qenë në marrëdhënie pune, do të konsiderohet vlera e  pagës neto minimale zyrtare në momentin e ndodhjes së aksidentit. 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d) Në qoftë se i ndjeri ka qenë punëmarrës te një punëdhënës i huaj apo shqiptar jashtë vendit, si e ardhur do të merret paga neto e punës e vitit të fundit apo certifikata e lëshuar për këtë qëllim nga punëdhënësi, e konfirmuar nga organet kompentente vendore.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e) Shuma e pensionit që ka marrë vitin e fundit, në qoftë se i ndjeri ka qenë në pension.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12" w:name="_Toc174939406"/>
      <w:r w:rsidRPr="003201D5">
        <w:rPr>
          <w:lang w:val="sq-AL"/>
        </w:rPr>
        <w:t>3. Koeficientët</w:t>
      </w:r>
      <w:bookmarkEnd w:id="12"/>
      <w:r w:rsidRPr="003201D5">
        <w:rPr>
          <w:lang w:val="sq-AL"/>
        </w:rPr>
        <w:t xml:space="preserve">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Përqindja e të ardhurave për nevojat e vetë personit (K</w:t>
      </w:r>
      <w:r w:rsidRPr="003201D5">
        <w:rPr>
          <w:vertAlign w:val="subscript"/>
          <w:lang w:val="sq-AL"/>
        </w:rPr>
        <w:t>vaup</w:t>
      </w:r>
      <w:r w:rsidRPr="003201D5">
        <w:rPr>
          <w:lang w:val="sq-AL"/>
        </w:rPr>
        <w:t>) do të jetë si më poshtë: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1. Kur i ndjeri ka pasur në familje tre dhe mbi tre persona (pa të ndjerin) pjesa që do të zbritet është 30% e të ardhurave.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 Kur i ndjeri ka pasur në familje dy persona (pa të ndjerin) pjesa që do të zbritet është 40% e të ardhurave.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 Kur i ndjeri ka pasur në familje një person (pa të ndjerin) pjesa që do të zbritet është 50% e të ardhurave.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4. Kur i ndjeri ka qenë i vetëm në familje do të paguhen vetëm shpenzimet e varrimit. Këto shpenzime i paguhen subjektit që ka kryer shërbimet fun</w:t>
      </w:r>
      <w:r w:rsidRPr="003201D5">
        <w:rPr>
          <w:lang w:val="sq-AL"/>
        </w:rPr>
        <w:t>erale ose shtetit.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Koeficienti i shumës së kapitalizuar (K</w:t>
      </w:r>
      <w:r w:rsidRPr="003201D5">
        <w:rPr>
          <w:vertAlign w:val="subscript"/>
          <w:lang w:val="sq-AL"/>
        </w:rPr>
        <w:t>shk</w:t>
      </w:r>
      <w:r w:rsidRPr="003201D5">
        <w:rPr>
          <w:lang w:val="sq-AL"/>
        </w:rPr>
        <w:t>) gjendet i gatshëm në tabelën nr.1 “Koeficientët e llogaritjes së shumës së kapitalizuar”, bashkëngjitur këtij udhëzimi.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Koeficienti i moshës së daljes në pension, në rast se i ndjeri ka qenë në marrëdhënie pune do të merret 0.90.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lastRenderedPageBreak/>
        <w:t>d) Për të papunët koeficienti i daljes në pension do të merret 0.80.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13" w:name="_Toc174939407"/>
      <w:r w:rsidRPr="003201D5">
        <w:rPr>
          <w:lang w:val="sq-AL"/>
        </w:rPr>
        <w:t>4. Vlera shtesë e dëmit me pasojë vdekjen</w:t>
      </w:r>
      <w:bookmarkEnd w:id="13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Trashëgimtarët nën moshën 16 vjeç të të ndjerit do të dëmshpërblehen në total në shumën fikse prej 500 000 lekë;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Shpenzimet për varrimin e të ndjerit do të dëmshpërblehen në shumën fikse prej 100 000 lekë.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II/A.2 Vlerësimi i dëmit me pasojën e paaftësisë së përhershme për punë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14" w:name="_Toc174939408"/>
      <w:r w:rsidRPr="003201D5">
        <w:rPr>
          <w:lang w:val="sq-AL"/>
        </w:rPr>
        <w:t>1. Formula e llogaritjes së dëmit me pasojën e paaftësisë së përhershme për punë</w:t>
      </w:r>
      <w:bookmarkEnd w:id="14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Dëmshpërblimi do të llogaritet sipas kësaj formule: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 = T</w:t>
      </w:r>
      <w:r w:rsidRPr="003201D5">
        <w:rPr>
          <w:vertAlign w:val="subscript"/>
          <w:lang w:val="sq-AL"/>
        </w:rPr>
        <w:t>ap</w:t>
      </w:r>
      <w:r w:rsidRPr="003201D5">
        <w:rPr>
          <w:lang w:val="sq-AL"/>
        </w:rPr>
        <w:t xml:space="preserve">  x  K</w:t>
      </w:r>
      <w:r w:rsidRPr="003201D5">
        <w:rPr>
          <w:vertAlign w:val="subscript"/>
          <w:lang w:val="sq-AL"/>
        </w:rPr>
        <w:t>shk</w:t>
      </w:r>
      <w:r w:rsidRPr="003201D5">
        <w:rPr>
          <w:lang w:val="sq-AL"/>
        </w:rPr>
        <w:t xml:space="preserve">  x  K</w:t>
      </w:r>
      <w:r w:rsidRPr="003201D5">
        <w:rPr>
          <w:vertAlign w:val="subscript"/>
          <w:lang w:val="sq-AL"/>
        </w:rPr>
        <w:t>mdp</w:t>
      </w:r>
      <w:r w:rsidRPr="003201D5">
        <w:rPr>
          <w:lang w:val="sq-AL"/>
        </w:rPr>
        <w:t xml:space="preserve">  x  K</w:t>
      </w:r>
      <w:r w:rsidRPr="003201D5">
        <w:rPr>
          <w:vertAlign w:val="subscript"/>
          <w:lang w:val="sq-AL"/>
        </w:rPr>
        <w:t>hap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Ku: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</w:t>
      </w:r>
      <w:r w:rsidRPr="003201D5">
        <w:rPr>
          <w:lang w:val="sq-AL"/>
        </w:rPr>
        <w:tab/>
        <w:t xml:space="preserve">   </w:t>
      </w:r>
      <w:r w:rsidRPr="003201D5">
        <w:rPr>
          <w:lang w:val="sq-AL"/>
        </w:rPr>
        <w:tab/>
        <w:t xml:space="preserve">- dëmshpërblimi;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T</w:t>
      </w:r>
      <w:r w:rsidRPr="003201D5">
        <w:rPr>
          <w:vertAlign w:val="subscript"/>
          <w:lang w:val="sq-AL"/>
        </w:rPr>
        <w:t>ap</w:t>
      </w:r>
      <w:r w:rsidRPr="003201D5">
        <w:rPr>
          <w:lang w:val="sq-AL"/>
        </w:rPr>
        <w:tab/>
        <w:t xml:space="preserve">   </w:t>
      </w:r>
      <w:r w:rsidRPr="003201D5">
        <w:rPr>
          <w:lang w:val="sq-AL"/>
        </w:rPr>
        <w:tab/>
        <w:t>- të ardhurat personale;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K</w:t>
      </w:r>
      <w:r w:rsidRPr="003201D5">
        <w:rPr>
          <w:vertAlign w:val="subscript"/>
          <w:lang w:val="sq-AL"/>
        </w:rPr>
        <w:t>shk</w:t>
      </w:r>
      <w:r w:rsidRPr="003201D5">
        <w:rPr>
          <w:lang w:val="sq-AL"/>
        </w:rPr>
        <w:t xml:space="preserve">  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koeficienti i shumës së kapitalizuar;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K</w:t>
      </w:r>
      <w:r w:rsidRPr="003201D5">
        <w:rPr>
          <w:vertAlign w:val="subscript"/>
          <w:lang w:val="sq-AL"/>
        </w:rPr>
        <w:t>mdp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koeficienti i moshës së daljes në pension;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K</w:t>
      </w:r>
      <w:r w:rsidRPr="003201D5">
        <w:rPr>
          <w:vertAlign w:val="subscript"/>
          <w:lang w:val="sq-AL"/>
        </w:rPr>
        <w:t>hap</w:t>
      </w:r>
      <w:r w:rsidRPr="003201D5">
        <w:rPr>
          <w:lang w:val="sq-AL"/>
        </w:rPr>
        <w:t xml:space="preserve"> 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koeficienti i humbjes së aftësisë për punë.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15" w:name="_Toc174939409"/>
      <w:r w:rsidRPr="003201D5">
        <w:rPr>
          <w:lang w:val="sq-AL"/>
        </w:rPr>
        <w:t>2. Të ardhurat personale dhe koeficientët e përdorur në llogaritjen e dëmit me pasojën e paaftësisë së përhershme për punë</w:t>
      </w:r>
      <w:bookmarkEnd w:id="15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Të ardhurat personale, koeficienti i shumës së kapitalizuar dhe koeficienti i moshës së daljes në pension janë të njëjta me përcaktimet e dhëna në pikat 2 dhe 3 të kreut II/A.1.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Për të dëmtuarit e mitur (deri në 16 vjeç) dhe të papunë, si e ardhur vjetore do të merret vlera e pagës neto minimale zyrtare në momentin e ndodhjes së aksidentit.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Koeficienti i humbjes së aftësisë për punë (K</w:t>
      </w:r>
      <w:r w:rsidRPr="003201D5">
        <w:rPr>
          <w:vertAlign w:val="subscript"/>
          <w:lang w:val="sq-AL"/>
        </w:rPr>
        <w:t>hap</w:t>
      </w:r>
      <w:r w:rsidRPr="003201D5">
        <w:rPr>
          <w:lang w:val="sq-AL"/>
        </w:rPr>
        <w:t>) jepet nga KMCAP (Komisioni mjekësor i caktimit të aftësisë për punë) duke u mbështetur në tabelën nr.2 (shkalla e humbjes së aftësisë për pune), bashkëngjitur këtij udhëzimi.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d) Nëse nuk ka ndonjë parashikim tjetër në legjislacionin në fuqi, kur i dëmtuari në momentin e ndodhjes së aksidentit është i papunë, koeficienti i humbjes së aftësisë për punë jepet nga Komisioni Mjekësor i ngritur pranë BSHS-së.                     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e) Për dëmtimet funksionale vendimi i KMCAP–it do të konsiderohet i vlefshëm pas kalimit të afatit 6-mujor nga dita e aksidentit.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f) Për të dëmtuarit nën 12 vjeç, për efekt llogaritjeje të merret koeficienti i llogaritjes së shumës së kapitalizuar që i korrespondon moshës 12 vjeç.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g) Për të dëmtuarit mbi 80 vjeç për efekt llogaritjeje të merret koeficienti i llogaritjes së shumës së kapitalizuar që i korrespondon moshës 80 vjeç.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16" w:name="_Toc174939410"/>
      <w:r w:rsidRPr="003201D5">
        <w:rPr>
          <w:lang w:val="sq-AL"/>
        </w:rPr>
        <w:t>3. Vlera shtesë e dëmit me pasojën e paaftësisë së përhershme për punë</w:t>
      </w:r>
      <w:bookmarkEnd w:id="16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Vlerës së dëmshpërblimit të llogaritur sipas pikës 1 të kreut II/A.2 do t’i shtohen edhe shpenzimet spitalore e farmaceutike të kryera nga i dëmtuari brenda periudhës së paaftësisë dhe të vërtetuar me dokumente të rregullta.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II/A.3 Vlerësimi i dëmit me pasojë paaftësinë e përkohshme për punë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17" w:name="_Toc174939411"/>
      <w:r w:rsidRPr="003201D5">
        <w:rPr>
          <w:lang w:val="sq-AL"/>
        </w:rPr>
        <w:t>1. Llogaritja e dëmshpërblimit për paaftësinë e përkohshme për punë</w:t>
      </w:r>
      <w:bookmarkEnd w:id="17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Humbja e përkohshme e aftësisë për punë përcaktohet nga raportet mjekësore (modelarë), për një periudhë deri në 6 muaj.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Kur i dëmtuari është i punësuar në sektorin privat apo publik, dëmshpërblimi mujor llogaritet si diferencë midis pagës së muajit të fundit para aksidentit dhe pagës që përftohet nga raportet mjekësore.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Kur i dëmtuari është pa punë, dëmshpërblimi llogaritet me formulën e mëposhtme: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D = </w:t>
      </w:r>
      <w:r w:rsidRPr="003201D5">
        <w:rPr>
          <w:lang w:val="sq-AL"/>
        </w:rPr>
        <w:object w:dxaOrig="10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5pt;height:39.75pt">
            <v:imagedata r:id="rId4" o:title=""/>
          </v:shape>
        </w:objec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Ku: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</w:t>
      </w:r>
      <w:r w:rsidRPr="003201D5">
        <w:rPr>
          <w:lang w:val="sq-AL"/>
        </w:rPr>
        <w:tab/>
      </w:r>
      <w:r w:rsidRPr="003201D5">
        <w:rPr>
          <w:lang w:val="sq-AL"/>
        </w:rPr>
        <w:tab/>
        <w:t xml:space="preserve">- dëmshpërblimi;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P</w:t>
      </w:r>
      <w:r w:rsidRPr="003201D5">
        <w:rPr>
          <w:vertAlign w:val="subscript"/>
          <w:lang w:val="sq-AL"/>
        </w:rPr>
        <w:t>mz</w:t>
      </w:r>
      <w:r w:rsidRPr="003201D5">
        <w:rPr>
          <w:lang w:val="sq-AL"/>
        </w:rPr>
        <w:t xml:space="preserve"> </w:t>
      </w:r>
      <w:r w:rsidRPr="003201D5">
        <w:rPr>
          <w:lang w:val="sq-AL"/>
        </w:rPr>
        <w:tab/>
      </w:r>
      <w:r w:rsidRPr="003201D5">
        <w:rPr>
          <w:lang w:val="sq-AL"/>
        </w:rPr>
        <w:tab/>
        <w:t xml:space="preserve">- paga minimale zyrtare;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P</w:t>
      </w:r>
      <w:r w:rsidRPr="003201D5">
        <w:rPr>
          <w:vertAlign w:val="subscript"/>
          <w:lang w:val="sq-AL"/>
        </w:rPr>
        <w:t>rd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periudha e raporteve në ditë;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- 21 ditë.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d) Përveç dëmshpërblimit të shprehur në pikat a, b dhe c, të dëmtuarit do t’i paguhen edhe shpenzimet spitalore e farmaceutike të kryera nga ai brenda periudhës së paaftësisë së përkohshme.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e) Kur i dëmtuari është i mitur (nën 16 vjeç) ose pensionist si dëmshpërblim do të konsiderohet likuidimi i shpenzimeve spitalore e farmaceutike të kryera nga ai.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II/A.4 Trajtimi i të dëmtuarve me shërbime mjekësore jashtë vendit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18" w:name="_Toc174939412"/>
      <w:r w:rsidRPr="003201D5">
        <w:rPr>
          <w:lang w:val="sq-AL"/>
        </w:rPr>
        <w:t>1. Procedurat e kurimit të të dëmtuarve jashtë vendit</w:t>
      </w:r>
      <w:bookmarkEnd w:id="18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Në kuptim të këtij udhëzimi do të konsiderohen të dëmtuar që kurohen jashtë vendit të gjithë ata të dëmtuar që përfitojnë nga ligji “Për sigurimin e detyrueshëm të mbajtësve të mjeteve motorike për përgjegjësitë ndaj palëve të treta” dhe që rekomandohen për kurim jashtë vendit nga komisioni mjekësor zyrtar i ngritur për këtë qëllim nga Ministria e Shëndetësisë.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b) Komisioni mjekësor zyrtar arsyeton mbi mundësinë e kurimit të të</w:t>
      </w:r>
      <w:r w:rsidRPr="003201D5">
        <w:rPr>
          <w:lang w:val="sq-AL"/>
        </w:rPr>
        <w:t xml:space="preserve"> dëmtuarit brenda, apo jashtë vendit dhe shprehet për rastet, kur është i nevojshëm kurimi jashtë vendit, duke rekomanduar edhe klinikën që do të përdoret.</w:t>
      </w:r>
      <w:r w:rsidRPr="003201D5">
        <w:rPr>
          <w:lang w:val="sq-AL"/>
        </w:rPr>
        <w:tab/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Shoqëria e sigurimit ndihmon të dëmtuarit për lehtësimin e procedurave të dërgimit jashtë shtetit.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d) Për </w:t>
      </w:r>
      <w:r w:rsidRPr="003201D5">
        <w:rPr>
          <w:rFonts w:eastAsia="Arial Unicode MS"/>
          <w:lang w:val="sq-AL"/>
        </w:rPr>
        <w:t>ç</w:t>
      </w:r>
      <w:r w:rsidRPr="003201D5">
        <w:rPr>
          <w:lang w:val="sq-AL"/>
        </w:rPr>
        <w:t>do të dëmtuar do të bihet dakord rast pas rasti, me klinikën që merr përsipër kurimin, për çmimin për çdo ditë qëndrimi të të dëmtuarit dhe shoqëruesin e tij, llojin e ndërhyrjeve, numrin e tyre, çmimin për çdo ndërhyrje dhe afatin e kurimit.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e) Klinika kuruese do të likuidohet nga shoqëria që ka siguruar mjetin shkaktar të dëmit, sipas faturave të paraqitura. Këto shpenzime konsiderohen dëmshpërblim për të dëmtuarin.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 xml:space="preserve">f) Në qoftë se i dëmtuari edhe pas kurimit jashtë vendit rezulton me paaftësi </w:t>
      </w:r>
      <w:r w:rsidRPr="003201D5">
        <w:rPr>
          <w:lang w:val="sq-AL"/>
        </w:rPr>
        <w:t>të përhershme për punë, për dëmshpërblim të mëtejshëm të tij do të veprohet sipas rregullave mbi “Llogaritjen e dëmshpërblimit me pasoja, paaftësi e përhershme për punë”.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g) Kur të dëmtuarit kurohen jashtë vendit pa miratimin me shkrim sipas procedurave të përmendura më lart, dëmshpërblimi do të llogaritet sipas seksionit “Llogaritja e dëmshpërblimit me pasojë paaftësi e përhershme për punë”.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Përjashtim nga ky rast bëhet vetëm kur personi i dëmtuar për shkaqe shëndetësore urgjente duhet të kurohet jashtë ve</w:t>
      </w:r>
      <w:r w:rsidRPr="003201D5">
        <w:rPr>
          <w:lang w:val="sq-AL"/>
        </w:rPr>
        <w:t>ndit.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II/B Dëmi jopasuror</w:t>
      </w:r>
      <w:bookmarkStart w:id="19" w:name="_Toc174939413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1. Format e dëmit </w:t>
      </w:r>
      <w:bookmarkEnd w:id="19"/>
      <w:r w:rsidRPr="003201D5">
        <w:rPr>
          <w:lang w:val="sq-AL"/>
        </w:rPr>
        <w:t>jopasuror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Dëmshpërblimi për dëmin jopasuror përfshin: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a) Dëmshpërblim për dhimbje trupore-fizike, dhimbje shpirtërore dhe frikë të pësuar.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Dhimbjet trupore-fizike janë dhimbje të cilat paraqiten te personat e lënduar në momentin e aksidentit dhe vazhdojnë deri në momentin e përkujdesjes për të lënduarin, si dhe gjatë kohës së mjekimit e deri në përfundim definitiv të mjekimit.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 xml:space="preserve">- Dhimbja shpirtërore për zvogëlimin e aktivitetit jetësor është e lidhur ngushtë me </w:t>
      </w:r>
      <w:r w:rsidRPr="003201D5">
        <w:rPr>
          <w:lang w:val="sq-AL"/>
        </w:rPr>
        <w:t>sferën fizike të personalitetit të njeriut dhe shfaqet në rritjen e përpjekjeve fizike në kryerjen e aktiviteteve të përditshme jetësore.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- Frika relative juridike është ajo frikë që është e pësuar apo ka lëndime trupore të lehta, ose nëse intensiteti i lë</w:t>
      </w:r>
      <w:r w:rsidRPr="003201D5">
        <w:rPr>
          <w:lang w:val="sq-AL"/>
        </w:rPr>
        <w:t>ndimeve dhe i frikës së pësuar zgjat dhe ka lënë pasoja psiqike te personi i dëmtuar.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b) Dëmshpërblim për dhimbje psiqike për shkak të vdekjes së të afërmit të tyre (bashkëshort, fëmijë, prind). Frika relative juridike është ajo frikë që është e pësuar apo</w:t>
      </w:r>
      <w:r w:rsidRPr="003201D5">
        <w:rPr>
          <w:lang w:val="sq-AL"/>
        </w:rPr>
        <w:t xml:space="preserve"> ka lëndime trupore të lehta, ose nëse intensiteti i lëndimeve dhe i frikës së pësuar zgjat dhe ka lënë pasoja psiqike te personi i dëmtuar.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Dëmshpërblim për dhimbje shpirtërore në rast të paaftësisë së përhershme të të afërmit (bashkëshort, fëmijë, prind). Dhimbja shpirtërore për zvogëlimin e aktivitetit jetësor është e lidhur ngushtë me sferën fizike të personalitetit të njeriut dhe shfaqet në rritjen e përpjekjeve fizike në kryerjen e aktiviteteve të përditshme jetësore.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20" w:name="_Toc174939414"/>
      <w:r w:rsidRPr="00BE1BB2">
        <w:rPr>
          <w:lang w:val="sq-AL"/>
        </w:rPr>
        <w:t xml:space="preserve">2. Vlerësimi për dëmin </w:t>
      </w:r>
      <w:bookmarkEnd w:id="20"/>
      <w:r w:rsidRPr="00BE1BB2">
        <w:rPr>
          <w:lang w:val="sq-AL"/>
        </w:rPr>
        <w:t>jopasur</w:t>
      </w:r>
      <w:r w:rsidRPr="003201D5">
        <w:rPr>
          <w:lang w:val="sq-AL"/>
        </w:rPr>
        <w:t>or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Vlera e dëmshpërblimit për dhimbje trupore-fizike, dhimbje shpirtërore dhe frikë të pësuar: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Në rast se personi i dëmtuar rezulton me paaftësi të përkohshme, vlera e dëmshpërblimit do të jetë shuma fikse prej 30 000 lekësh.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Në rast se personi i dëmtuar rezulton me paaftësi të përhershme, vlera e dëmshpërblimit do të jetë deri në 100 000 lekë, e cila varion  sipas shkallës së paaftësisë që do të thotë, shifra fikse e vendosur x  me % e paaftësisë së përhershme, por jo më pak se 30 000 lekë.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b) Vlera e dëmshpërblimit për dhimbje psiqike për shkak të vdekjes së të afërmit të tyre (bashkëshort, fëmijë, prind) përcaktohet në shumën fikse prej 30 000 lekësh.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c) Vlera e dëmshpërblimit për dhimbje shpirtërore në rast të paaftësisë së përhershme të të afërm</w:t>
      </w:r>
      <w:r w:rsidRPr="003201D5">
        <w:rPr>
          <w:lang w:val="sq-AL"/>
        </w:rPr>
        <w:t>it (bashkëshort, fëmije, prind) përcaktohet: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 xml:space="preserve">- Në raste se personi i dëmtuar rezulton me paaftësi e përhershme vlera e dëmshpërblimit do të jetë deri në vlerën 50 000 lekë, e cila varion sipas shkallës së paaftësisë që do të thotë, shifra fikse e vendosur </w:t>
      </w:r>
      <w:r w:rsidRPr="003201D5">
        <w:rPr>
          <w:lang w:val="sq-AL"/>
        </w:rPr>
        <w:t>x  me % e paaftësisë së përhershme, por jo më pak se 5000 lekë.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II/B Llogaritja e dëmit material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21" w:name="_Toc174939415"/>
      <w:r w:rsidRPr="003201D5">
        <w:rPr>
          <w:lang w:val="sq-AL"/>
        </w:rPr>
        <w:t>1. Kategorizimi i mjeteve</w:t>
      </w:r>
      <w:bookmarkEnd w:id="21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a) </w:t>
      </w:r>
      <w:r w:rsidRPr="003201D5">
        <w:rPr>
          <w:i/>
          <w:lang w:val="sq-AL"/>
        </w:rPr>
        <w:t>Grupi i parë:</w:t>
      </w:r>
      <w:r w:rsidRPr="003201D5">
        <w:rPr>
          <w:lang w:val="sq-AL"/>
        </w:rPr>
        <w:tab/>
        <w:t>Përfshihen mjete të prodhuara ose të vëna në qarkullim në interval kohor ushtrimor 4 (katër) vjet përpara ditës së dëmit.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Do të përfshijë të gjitha mjetet të cilat janë në qarkullim dhe/ose prodhuar katër vitet e fundit (48 muaj kalendarik), përpara ditës së dëmit.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b) </w:t>
      </w:r>
      <w:r w:rsidRPr="003201D5">
        <w:rPr>
          <w:i/>
          <w:lang w:val="sq-AL"/>
        </w:rPr>
        <w:t>Grupi i dytë:</w:t>
      </w:r>
      <w:r w:rsidRPr="003201D5">
        <w:rPr>
          <w:lang w:val="sq-AL"/>
        </w:rPr>
        <w:tab/>
        <w:t>Përfshihen mjete të prodhuara ose të vëna në qarkullim në interval kohor ushtrimor 6 (gjashtë) vjeçar përpara atij të grupit të parë.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c) </w:t>
      </w:r>
      <w:r w:rsidRPr="003201D5">
        <w:rPr>
          <w:i/>
          <w:lang w:val="sq-AL"/>
        </w:rPr>
        <w:t>Grupi i tretë:</w:t>
      </w:r>
      <w:r w:rsidRPr="003201D5">
        <w:rPr>
          <w:lang w:val="sq-AL"/>
        </w:rPr>
        <w:t xml:space="preserve"> Përfshihen mjete të prodhuara ose të vëna në qarkullim në intervalin kohor përpara grupit të dytë.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Do të përfshijë mjetet e vëna në qarkullim përpara grupit të dytë.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22" w:name="_Toc174939416"/>
      <w:r w:rsidRPr="003201D5">
        <w:rPr>
          <w:lang w:val="sq-AL"/>
        </w:rPr>
        <w:t xml:space="preserve"> 2. Dokumentacioni që përcakton grupin e mjetit</w:t>
      </w:r>
      <w:bookmarkEnd w:id="22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Dokumentacioni që përcakton grupin e mjetit është: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leja e qarkullimit të mjetit;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aktpronësia e mjetit.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Dokumentacioni i mësipërm duhet të paraqitet: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origjinal; ose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fotokopje e noterizuar.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Në mungesë të dokumentacionit të përmendur në pikën a, përcaktimi i grupit do të bëhet nëpërmjet botimeve të fundit të katalogëve të njohur ndërkombëtarë.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bookmarkStart w:id="23" w:name="_Toc174939417"/>
      <w:r w:rsidRPr="003201D5">
        <w:rPr>
          <w:lang w:val="sq-AL"/>
        </w:rPr>
        <w:t>3. Vlerësimi i dëmit material</w:t>
      </w:r>
      <w:bookmarkEnd w:id="23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Mënyra e llogaritjes së vlerës së dëmshpërblimit do të zgjidhet në funksion të amortizimit të mjetit motorik, vlerës aktuale dhe gjendjes teknike të tij, mundësisë për sigurimin e pjesëve të këmbimit, nivelit të kërkesave për riparim etj.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b) Pas kryerjes së ekspertimit të dëmit dhe vlerësimit të mjetit para ngjarjes, kryhet vlerësimi i dëmit duke e p</w:t>
      </w:r>
      <w:r w:rsidRPr="003201D5">
        <w:rPr>
          <w:lang w:val="sq-AL"/>
        </w:rPr>
        <w:t>asqyruar atë në aktvlerësim dëmi.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Aktvlerësimi detyrimisht përmban:</w:t>
      </w:r>
    </w:p>
    <w:p w:rsidR="00BE1BB2" w:rsidRPr="003201D5" w:rsidRDefault="00BE1BB2" w:rsidP="00BE1BB2">
      <w:pPr>
        <w:pStyle w:val="Paragrafi"/>
        <w:rPr>
          <w:i/>
          <w:lang w:val="sq-AL"/>
        </w:rPr>
      </w:pPr>
      <w:r w:rsidRPr="003201D5">
        <w:rPr>
          <w:i/>
          <w:lang w:val="sq-AL"/>
        </w:rPr>
        <w:t>Në pjesën e parë: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emrin e përfituesit të dëmit;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emrin e shkaktarit të dëmit në momentin e aksidentit;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polica e sigurimit të mjetit shkaktar të dëmit.</w:t>
      </w:r>
    </w:p>
    <w:p w:rsidR="00BE1BB2" w:rsidRPr="003201D5" w:rsidRDefault="00BE1BB2" w:rsidP="00BE1BB2">
      <w:pPr>
        <w:pStyle w:val="Paragrafi"/>
        <w:rPr>
          <w:i/>
          <w:lang w:val="sq-AL"/>
        </w:rPr>
      </w:pPr>
      <w:r w:rsidRPr="003201D5">
        <w:rPr>
          <w:i/>
          <w:lang w:val="sq-AL"/>
        </w:rPr>
        <w:t xml:space="preserve">Në pjesën e dytë vendosen: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të gjitha elementet që pasqyrohen në këtë pjesë plotësohen gjatë ekspertimit fizik të mjetit të dëmtuar me qellim që të bëhet më pas krahasimi me dokumentacionin përkatës që i korrespondon mjetit.</w:t>
      </w:r>
    </w:p>
    <w:p w:rsidR="00BE1BB2" w:rsidRPr="003201D5" w:rsidRDefault="00BE1BB2" w:rsidP="00BE1BB2">
      <w:pPr>
        <w:pStyle w:val="Paragrafi"/>
        <w:rPr>
          <w:i/>
          <w:lang w:val="sq-AL"/>
        </w:rPr>
      </w:pPr>
      <w:r w:rsidRPr="003201D5">
        <w:rPr>
          <w:i/>
          <w:lang w:val="sq-AL"/>
        </w:rPr>
        <w:t>Në pjesën e tretë: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shënohen të gjitha pjesët e dëmtuara të mjetit motorik të dëmtuar, të konstatuara në momentin e ekspertimit.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Elementet e detajuara të vlerësimit të dëmit material përcaktohen në manualet e dëmeve të shoqërive. Manualet e shoqërive dhe çdo ndryshim i kryer në to duhet të depozitohen në Autoriteti</w:t>
      </w:r>
      <w:r w:rsidRPr="003201D5">
        <w:rPr>
          <w:lang w:val="sq-AL"/>
        </w:rPr>
        <w:t xml:space="preserve">n e Mbikëqyrjes.  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24" w:name="_Toc174939418"/>
      <w:r w:rsidRPr="003201D5">
        <w:rPr>
          <w:lang w:val="sq-AL"/>
        </w:rPr>
        <w:t>4. Llogaritja e dëmit për mjetet që riparohen në servis</w:t>
      </w:r>
      <w:bookmarkEnd w:id="24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Aplikohet në rastet kur mjeti i dëmtuar autorizohet për t’u riparuar në servis.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Në këtë rast shqyrtohet paraprakisht preventivi i paraqitur nga servisi.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b) Palës së tretë ose të siguruarit i ofrohet dëmshpërblimi në vlerë monetare ose riparimi i mjetit në servis të regjistruar pranë organeve tatimore më të cilët është lidhur aktmarrëveshja përkatëse nga shoqëria e sigurimit.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Autorizimi për riparimin e mjeteve në servis jepet vetëm nga personi i autorizuar i shoqërisë së sigurimit.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d) Ekspertimi i mjetit të dëmtuar bëhet i përbashkët ndërmjet ekspertit të shoqërisë së sigurimit, përfaqësuesit të servisit dhe palës së tretë/të dëmtuarit dhe firmoset prej tyre.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e) Secila palë ka të drejtë të pajiset me një kopje të aktekspertimit të dëmit.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f) Riparimi konsiderohet i përfunduar, kur pala e tretë/i siguruari nënshkruan formularin “Deklarimi i pranimit të riparimit të mjetit”.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g) Dorëzimi i mjetit nga ana teknike, para dhe pas riparimit, bëhet me procesverbal në prani të përfaqësuesit të servisit, palës së tretë/të siguruarit.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h) Dëmshpërblimi i paguhet palës së tretë/të siguruarit, përfaqësuesit ligjor të saj ose servisit të autorizuar, kur kjo bëhet me kërkesë apo me miratim me shkrim</w:t>
      </w:r>
      <w:r w:rsidRPr="003201D5">
        <w:rPr>
          <w:lang w:val="sq-AL"/>
        </w:rPr>
        <w:t xml:space="preserve"> të palës së tretë/të siguruarit.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i) Lëshimi i faturës nga servisi bëhet pas pranimit pa pretendime të mjetit të riparuar nga pala e tretë/i siguruari.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KreuNr"/>
        <w:rPr>
          <w:lang w:val="sq-AL"/>
        </w:rPr>
      </w:pPr>
      <w:r w:rsidRPr="003201D5">
        <w:rPr>
          <w:lang w:val="sq-AL"/>
        </w:rPr>
        <w:t>KREU III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bookmarkStart w:id="25" w:name="_Toc174939419"/>
      <w:r w:rsidRPr="003201D5">
        <w:rPr>
          <w:lang w:val="sq-AL"/>
        </w:rPr>
        <w:t>1. Trajtimi i praktikave nga fondi i kompensimit</w:t>
      </w:r>
      <w:bookmarkEnd w:id="25"/>
      <w:r w:rsidRPr="003201D5">
        <w:rPr>
          <w:lang w:val="sq-AL"/>
        </w:rPr>
        <w:t xml:space="preserve">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Praktika e dëmit për mjete të dëmtuara, që janë objekt i fondit të kompensimit, do bëhet nga një shoqëri e sigurimit e autorizuar si trajtues dëmesh, bazuar në kuadrin ligjor në fuqi.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b) Të gjitha praktikat objekte të fondit të kompensimit, pas kompletimit me dokumentacionin e parashikuar në pik</w:t>
      </w:r>
      <w:r w:rsidRPr="003201D5">
        <w:rPr>
          <w:lang w:val="sq-AL"/>
        </w:rPr>
        <w:t>ën 7 të kreut I të këtij udhëzimi, dërgohen pranë BSHS-së brenda 10 ditëve kalendarike nga dita e plotësimit të dokumentacionit.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Pagesa e çdo praktike dëmi, objekt i fondit të kompensimit, do të kryhet nga Byroja Shqiptare e Sigurimit.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KreuNr"/>
        <w:rPr>
          <w:lang w:val="sq-AL"/>
        </w:rPr>
      </w:pPr>
      <w:r w:rsidRPr="003201D5">
        <w:rPr>
          <w:lang w:val="sq-AL"/>
        </w:rPr>
        <w:t>KREU IV</w:t>
      </w:r>
    </w:p>
    <w:p w:rsidR="00BE1BB2" w:rsidRPr="003201D5" w:rsidRDefault="00BE1BB2" w:rsidP="00BE1BB2">
      <w:pPr>
        <w:pStyle w:val="KreuTitull"/>
        <w:rPr>
          <w:lang w:val="sq-AL"/>
        </w:rPr>
      </w:pPr>
      <w:r w:rsidRPr="003201D5">
        <w:rPr>
          <w:lang w:val="sq-AL"/>
        </w:rPr>
        <w:t>MËNYRA, AFATET E LIKUIDIMIT DHE KONTABILIZIMI I DËMEVE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bookmarkStart w:id="26" w:name="_Toc174939420"/>
      <w:r w:rsidRPr="003201D5">
        <w:rPr>
          <w:lang w:val="sq-AL"/>
        </w:rPr>
        <w:t>1. Afatet e dëmshpërblimit</w:t>
      </w:r>
      <w:bookmarkEnd w:id="26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Shoqëria e sigurimit brenda 90 ditëve kalendarike nga data e paraqitjes së kërkesës për dëmshpërblim duhet të njoftojë me shkrim të dëmtuarin për vlerën e dëmshpërblimit, apo për refuzimin e kërkesës dhe shkaqet e refuzimit për dëmshpërblim.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b) Në rast se janë shkaktuar dëmtime shëndetësore të përkohshme, shoqëria e sigurimit brenda 30 ditëve kalendarike nga data e paraqitjes së kërkesës për dëmshpërblim, duhet të njoftojë me shkr</w:t>
      </w:r>
      <w:r w:rsidRPr="003201D5">
        <w:rPr>
          <w:lang w:val="sq-AL"/>
        </w:rPr>
        <w:t>im të dëmtuarin për vlerën e dëmshpërblimit apo për shkaqet e refuzimit të kërkesës  për dëmshpërblim.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c) Shoqëria e sigurimit paguan një normë interesi për çdo ditë vonese duke filluar nga dita e parë pas përfundimit të afatit të parashikuar në shkronjat “a” dhe “b” të kësaj pike. Normat e interesit paguhen sipas llogaritjeve të normës mesatare të interesit të Bankës së Shqipërisë.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d) Për kryerjen e pagesës së dëmshpërblimit në favor të të dëmtuarit, ky i fundit detyrohet të plotësojë dhe të konfirmojë formularin “Deklarimi i pranimit të vlerës së dëmshpërblimit”.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e) Likuidimi i dëmshpërblimit do të bëhet nga shoqëria e sigurimit që ka trajtuar praktikën, ose BSHS-së mbi bazën e shumës përfundimtare të llogaritur sipas kritereve të këtij udhëzimi dhe bazuar</w:t>
      </w:r>
      <w:r w:rsidRPr="003201D5">
        <w:rPr>
          <w:lang w:val="sq-AL"/>
        </w:rPr>
        <w:t xml:space="preserve"> në parashikimet e ligjit nr.9267, datë 29.7.2004 “Për veprimtarinë e sigurimit, risigurimit dhe ndërmjetësimit në sigurime e risigurime” dhe të ligjit “Për procedurat tatimore në Republikën e Shqipërisë”.</w:t>
      </w:r>
    </w:p>
    <w:p w:rsidR="00BE1BB2" w:rsidRPr="003201D5" w:rsidRDefault="00BE1BB2" w:rsidP="00BE1BB2">
      <w:pPr>
        <w:pStyle w:val="Paragrafi"/>
        <w:rPr>
          <w:lang w:val="sq-AL"/>
        </w:rPr>
      </w:pPr>
      <w:bookmarkStart w:id="27" w:name="_Toc174939421"/>
      <w:r w:rsidRPr="003201D5">
        <w:rPr>
          <w:lang w:val="sq-AL"/>
        </w:rPr>
        <w:t>2. Kontabilizimi i shpenzimeve për dëmet</w:t>
      </w:r>
      <w:bookmarkEnd w:id="27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a) Shoqëria e sigurimit regjistron në zërin “Shpenzime për dëmet” vlerën e dëmshpërblimit që merr përfituesi.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b) Shoqëria e sigurimit regjistron në zërin “ Shpenzime për trajtim dëmesh” të gjitha llojet e shpenzimeve si: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- shpenzime për transportimin e mjetit të dëmtuar (karrotrec);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- shpenzime gjyqësore dhe aktekspertime;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shpenzime noterial etj.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BE1BB2" w:rsidRDefault="00BE1BB2" w:rsidP="00BE1BB2">
      <w:pPr>
        <w:pStyle w:val="KreuNr"/>
        <w:rPr>
          <w:lang w:val="sq-AL"/>
        </w:rPr>
      </w:pPr>
      <w:r w:rsidRPr="00BE1BB2">
        <w:rPr>
          <w:lang w:val="sq-AL"/>
        </w:rPr>
        <w:t>KREU V</w:t>
      </w:r>
    </w:p>
    <w:p w:rsidR="00BE1BB2" w:rsidRPr="003201D5" w:rsidRDefault="00BE1BB2" w:rsidP="00BE1BB2">
      <w:pPr>
        <w:pStyle w:val="KreuTitull"/>
        <w:rPr>
          <w:lang w:val="sq-AL"/>
        </w:rPr>
      </w:pPr>
      <w:r w:rsidRPr="003201D5">
        <w:rPr>
          <w:lang w:val="sq-AL"/>
        </w:rPr>
        <w:t>ZGJIDHJA E MOSMARRËVESHJEVE DHE ANKIMEVE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bookmarkStart w:id="28" w:name="_Toc174939422"/>
      <w:r w:rsidRPr="003201D5">
        <w:rPr>
          <w:lang w:val="sq-AL"/>
        </w:rPr>
        <w:t>1. Njoftimi dhe regjistrimi i ankesave</w:t>
      </w:r>
      <w:bookmarkEnd w:id="28"/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a) Në rast se klienti mbetet i pakënaqur nga vlerësimi i kërkesës për dëmshpërblim apo refuzimi i saj, ka të drejtë të bëjë ankesë pranë zyrës të trajtimit të ankesave në shoqërinë e sigurimit.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b) Ankesa duhet të bëhet me shkrim, e nënshkruar dhe e datuar nga ankimuesi. Në rast se ankesa bëhet verbalisht, shoqëria e sigurimit këshi</w:t>
      </w:r>
      <w:r w:rsidRPr="003201D5">
        <w:rPr>
          <w:lang w:val="sq-AL"/>
        </w:rPr>
        <w:t>llon ankimuesin se ankesa do të regjistrohet datën kur ankesa depozitohet me shkrim.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c) Zyra e ankesave krijohet dhe funksionon e veçantë strukturat e tjera të shoqërisë së sigurimit. Shoqëritë e sigurimit duhet të krijojnë baza të dhënash, ku të pasqyrohe</w:t>
      </w:r>
      <w:r w:rsidRPr="003201D5">
        <w:rPr>
          <w:lang w:val="sq-AL"/>
        </w:rPr>
        <w:t>n në mënyrë të hollësishme ankesat e bëra nga ankimuesit.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Baza e të dhënave duhet të përfshijë kryesisht këto elemente: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emri, mbiemri, si dhe adresa e ankimuesit;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data e ankimimit;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emri i siguruesit;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tipi i policës së sigurimit;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përshkrim i shkurtër i ankesës;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zgjidhja e ankesës, nëse ka;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- data e zgjidhjes, nëse ka.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2. Shoqëria e sigurimit raporton në autoritet bazën e të dhënave të ankesave çdo muaj brenda datës 15 të muajit pasardhës.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3. Shoqëria e sigurimit nëpërmjet zyrës të trajtimit të ankesave shqyrton ankesën dhe njofton me shkrim ankimuesin brenda 10 ditëve kalendarike nga data e depozitimit.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4. Trajtimi i ankesave duhet të jetë korrekt, i menjëhershëm dhe jodiskriminues. Përgjigja e zyrës së trajtimit të ankesave të shoqërisë duhet t</w:t>
      </w:r>
      <w:r w:rsidRPr="003201D5">
        <w:rPr>
          <w:lang w:val="sq-AL"/>
        </w:rPr>
        <w:t>ë jetë e arsyetuar, të bëjë shpjegimin e fakteve që janë shkas për vendimin, bazën ligjore, si dhe të drejtën për të paraqitur ankesë pranë Autoritetit Mbikëqyrjes Financiare.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5. Klienti gëzon të drejtën që pas paraqitjes së ankesës në shoqërinë e sigurimit t’i drejtohet Autoritetit të Mbikëqyrjes Financiare që miraton rregulla mbi mënyrën dhe afatet e trajtimit të ankesave të të siguruarve/përfituesve.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BE1BB2" w:rsidRDefault="00BE1BB2" w:rsidP="00BE1BB2">
      <w:pPr>
        <w:pStyle w:val="KreuNr"/>
        <w:rPr>
          <w:lang w:val="sq-AL"/>
        </w:rPr>
      </w:pPr>
      <w:r w:rsidRPr="00BE1BB2">
        <w:rPr>
          <w:lang w:val="sq-AL"/>
        </w:rPr>
        <w:t>KREU VI</w:t>
      </w:r>
    </w:p>
    <w:p w:rsidR="00BE1BB2" w:rsidRPr="003201D5" w:rsidRDefault="00BE1BB2" w:rsidP="00BE1BB2">
      <w:pPr>
        <w:pStyle w:val="KreuTitull"/>
        <w:rPr>
          <w:lang w:val="sq-AL"/>
        </w:rPr>
      </w:pPr>
      <w:r w:rsidRPr="003201D5">
        <w:rPr>
          <w:lang w:val="sq-AL"/>
        </w:rPr>
        <w:t>DISPOZITA TË FUNDIT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1. Parashikimet e nenit 27 të rregullores 622/1, datë 15.12.1992 “Për zbatimin e sigurimit të detyrueshëm të mbajtësve të mjeteve motorike për përgjegjësinë ndaj personave të tretë”, shfuqizohet.  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BE1BB2">
        <w:rPr>
          <w:lang w:val="sq-AL"/>
        </w:rPr>
        <w:t>2. Tabela nr.1 “Koeficientët e llogaritjes së shumës së kapitalizuar”, tabela nr.2 “Shkalla e humbjes së aftësisë së përhershme për p</w:t>
      </w:r>
      <w:r w:rsidRPr="003201D5">
        <w:rPr>
          <w:lang w:val="sq-AL"/>
        </w:rPr>
        <w:t>unë”, janë pjesë përbërëse të këtij udhëzimi.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 Ky udhëzim është i detyrueshëm për t’u zbatuar nga shoqëritë e sigurimit, institucione publike ose private, vlerësuesit e dëmeve në sigurime.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Ky udhëzim hyn në fuqi pas botimit në Fletoren Zyrtare.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ab/>
      </w:r>
    </w:p>
    <w:p w:rsidR="00BE1BB2" w:rsidRPr="003201D5" w:rsidRDefault="00BE1BB2" w:rsidP="00BE1BB2">
      <w:pPr>
        <w:pStyle w:val="Autoriteti"/>
      </w:pPr>
      <w:r w:rsidRPr="003201D5">
        <w:t>MINISTRI I FINANCAVE</w:t>
      </w:r>
    </w:p>
    <w:p w:rsidR="00BE1BB2" w:rsidRPr="003201D5" w:rsidRDefault="00BE1BB2" w:rsidP="00BE1BB2">
      <w:pPr>
        <w:pStyle w:val="AutoritetiEmer"/>
      </w:pPr>
      <w:r w:rsidRPr="003201D5">
        <w:t>Ridvan Bode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szCs w:val="22"/>
          <w:lang w:val="sq-AL"/>
        </w:rPr>
      </w:pPr>
    </w:p>
    <w:p w:rsidR="00BE1BB2" w:rsidRPr="003201D5" w:rsidRDefault="007B52E8" w:rsidP="00BE1BB2">
      <w:pPr>
        <w:pStyle w:val="Figure"/>
        <w:rPr>
          <w:szCs w:val="22"/>
          <w:lang w:val="sq-AL"/>
        </w:rPr>
      </w:pPr>
      <w:r w:rsidRPr="003201D5">
        <w:rPr>
          <w:noProof/>
        </w:rPr>
        <w:drawing>
          <wp:inline distT="0" distB="0" distL="0" distR="0">
            <wp:extent cx="5753100" cy="79914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BB2" w:rsidRPr="003201D5" w:rsidRDefault="00BE1BB2" w:rsidP="00BE1BB2">
      <w:pPr>
        <w:pStyle w:val="Paragrafi"/>
        <w:rPr>
          <w:szCs w:val="22"/>
          <w:lang w:val="sq-AL"/>
        </w:rPr>
      </w:pPr>
    </w:p>
    <w:p w:rsidR="00BE1BB2" w:rsidRPr="003201D5" w:rsidRDefault="00BE1BB2" w:rsidP="00BE1BB2">
      <w:pPr>
        <w:pStyle w:val="Paragrafi"/>
        <w:rPr>
          <w:szCs w:val="22"/>
          <w:lang w:val="sq-AL"/>
        </w:rPr>
      </w:pPr>
    </w:p>
    <w:p w:rsidR="00BE1BB2" w:rsidRPr="003201D5" w:rsidRDefault="00BE1BB2" w:rsidP="00BE1BB2">
      <w:pPr>
        <w:pStyle w:val="Paragrafi"/>
        <w:rPr>
          <w:szCs w:val="22"/>
          <w:lang w:val="sq-AL"/>
        </w:rPr>
      </w:pPr>
    </w:p>
    <w:p w:rsidR="00BE1BB2" w:rsidRPr="003201D5" w:rsidRDefault="00BE1BB2" w:rsidP="00BE1BB2">
      <w:pPr>
        <w:pStyle w:val="Paragrafi"/>
        <w:rPr>
          <w:szCs w:val="22"/>
          <w:lang w:val="sq-AL"/>
        </w:rPr>
      </w:pPr>
    </w:p>
    <w:p w:rsidR="00BE1BB2" w:rsidRPr="003201D5" w:rsidRDefault="00BE1BB2" w:rsidP="00BE1BB2">
      <w:pPr>
        <w:pStyle w:val="Paragrafi"/>
        <w:rPr>
          <w:szCs w:val="22"/>
          <w:lang w:val="sq-AL"/>
        </w:rPr>
      </w:pPr>
    </w:p>
    <w:p w:rsidR="00BE1BB2" w:rsidRPr="00BE1BB2" w:rsidRDefault="00BE1BB2" w:rsidP="00BE1BB2">
      <w:pPr>
        <w:pStyle w:val="TitulliNr"/>
        <w:rPr>
          <w:lang w:val="sq-AL"/>
        </w:rPr>
      </w:pPr>
      <w:r w:rsidRPr="00BE1BB2">
        <w:rPr>
          <w:lang w:val="sq-AL"/>
        </w:rPr>
        <w:t>Tabela 2</w:t>
      </w:r>
    </w:p>
    <w:p w:rsidR="00BE1BB2" w:rsidRPr="003201D5" w:rsidRDefault="00BE1BB2" w:rsidP="00BE1BB2">
      <w:pPr>
        <w:pStyle w:val="Paragrafi"/>
        <w:rPr>
          <w:szCs w:val="22"/>
          <w:lang w:val="sq-AL"/>
        </w:rPr>
      </w:pPr>
    </w:p>
    <w:p w:rsidR="00BE1BB2" w:rsidRPr="00BE1BB2" w:rsidRDefault="00BE1BB2" w:rsidP="00BE1BB2">
      <w:pPr>
        <w:pStyle w:val="TitulliTitull"/>
        <w:rPr>
          <w:lang w:val="sq-AL"/>
        </w:rPr>
      </w:pPr>
      <w:r w:rsidRPr="00BE1BB2">
        <w:rPr>
          <w:lang w:val="sq-AL"/>
        </w:rPr>
        <w:t>SHKALLA E HUMBJES SË AFTËSISË SË PËRHERSHME PËR PUNË</w:t>
      </w:r>
    </w:p>
    <w:p w:rsidR="00BE1BB2" w:rsidRPr="003201D5" w:rsidRDefault="00BE1BB2" w:rsidP="00BE1BB2">
      <w:pPr>
        <w:pStyle w:val="Paragrafi"/>
        <w:jc w:val="center"/>
        <w:rPr>
          <w:szCs w:val="22"/>
          <w:lang w:val="sq-AL"/>
        </w:rPr>
      </w:pPr>
      <w:r w:rsidRPr="003201D5">
        <w:rPr>
          <w:szCs w:val="22"/>
          <w:lang w:val="sq-AL"/>
        </w:rPr>
        <w:t>(në përqindje)</w:t>
      </w:r>
    </w:p>
    <w:p w:rsidR="00BE1BB2" w:rsidRPr="003201D5" w:rsidRDefault="00BE1BB2" w:rsidP="00BE1BB2">
      <w:pPr>
        <w:pStyle w:val="Paragrafi"/>
        <w:rPr>
          <w:szCs w:val="22"/>
          <w:lang w:val="sq-AL"/>
        </w:rPr>
      </w:pPr>
    </w:p>
    <w:p w:rsidR="00BE1BB2" w:rsidRPr="003201D5" w:rsidRDefault="00BE1BB2" w:rsidP="00BE1BB2">
      <w:pPr>
        <w:pStyle w:val="Paragrafi"/>
        <w:rPr>
          <w:szCs w:val="22"/>
          <w:lang w:val="sq-AL"/>
        </w:rPr>
      </w:pPr>
      <w:r w:rsidRPr="003201D5">
        <w:rPr>
          <w:szCs w:val="22"/>
          <w:lang w:val="sq-AL"/>
        </w:rPr>
        <w:t>1. Koka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1.1 Manifestime të dhimbshme të rënda të vazhdueshme pas dëmtimeve traumatike të kokës (të kafkës dhe të trurit)-goditje psiqike, dobësi mendjeje, kriza epileptike të shpeshta, paralizë, afazi, apraksi, agnozi, çrregullime të skemës së trurit, tronditje vestibulare të rëndësishme     100%.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1.2 Manifestime të dhimbshme të vazhdueshme, por më pak të rënda pas dëmtimeve traumatike të kokës (të kafkës dhe të trurit) – prekje</w:t>
      </w:r>
      <w:r w:rsidRPr="00BE1BB2">
        <w:rPr>
          <w:lang w:val="sq-AL"/>
        </w:rPr>
        <w:t xml:space="preserve"> organike të nervave-kranio-cerebrale, çrregullime të madhësisë së lëvizjeve dhe i fuqisë në ekstremitet, çrregullimi i koordinimit të lëvizjeve, hiperkinezi, çrregullim i rëndësishëm i tonuzit, kriza epilektike jo të shpe</w:t>
      </w:r>
      <w:r w:rsidRPr="003201D5">
        <w:rPr>
          <w:lang w:val="sq-AL"/>
        </w:rPr>
        <w:t>shta, dobësim i konsiderueshëm i kujtesës, i intelektit, mungesë kurajoje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70%-90%.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1.3 Manifestime reziduale pas tronditjes së trurit: neurozë post-koocionale e shoqëruar me manifestime reziduale të vazhdueshme edhe pas mjekimit, çrregullime të vazhdueshme të funksioneve të sistemit nervor vegjetativ, disfunksion hormonal, çrregullim i metabolizmit</w:t>
      </w:r>
      <w:r w:rsidRPr="00BE1BB2">
        <w:rPr>
          <w:lang w:val="sq-AL"/>
        </w:rPr>
        <w:t>, sindromë paraksizmale jo të shpeshta, kriza vestibulare, kriza epileptiforme, çrregullim i organeve të shqisave, të të nuhaturit, të shijimit</w:t>
      </w:r>
      <w:r w:rsidRPr="00BE1BB2">
        <w:rPr>
          <w:lang w:val="sq-AL"/>
        </w:rPr>
        <w:tab/>
      </w:r>
      <w:r w:rsidRPr="00BE1BB2">
        <w:rPr>
          <w:lang w:val="sq-AL"/>
        </w:rPr>
        <w:tab/>
      </w:r>
      <w:r w:rsidRPr="00BE1BB2">
        <w:rPr>
          <w:lang w:val="sq-AL"/>
        </w:rPr>
        <w:tab/>
      </w:r>
      <w:r w:rsidRPr="00BE1BB2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30-70%.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1.4 Manifestime reziduale pas kontuzionit të kokës, dhimbje koke të fortë, marrje mendsh, irritacion, lodhje e shpejtë, çrregullim i gjumit, djersitje, manifestim kardiovaskular, simptoma vegjetative, manifestime reziduale të parëndësishme të prekjes së nervave taranio-cerebral (shenja organike të lehta) etj.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10-30%.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 Sytë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2.1 Humbje e plotë e shikimit me të dy sytë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2.2 Humbje e plotë e shikimit me njërin sy, duke ruajtur mprehtësinë normale të shikimit të syrit tjetër (1:0)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35%.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2.3 Kur pakësohet mprehtësia e shikimit, përqindja e humbjes së aftësisë në punë caktohet sipas tabelës së poshtëshënuar:</w:t>
      </w:r>
    </w:p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Në përqindje</w:t>
      </w:r>
    </w:p>
    <w:p w:rsidR="00BE1BB2" w:rsidRPr="003201D5" w:rsidRDefault="00BE1BB2" w:rsidP="00BE1BB2">
      <w:pPr>
        <w:pStyle w:val="Paragrafi"/>
        <w:rPr>
          <w:lang w:val="sq-AL"/>
        </w:rPr>
      </w:pPr>
    </w:p>
    <w:tbl>
      <w:tblPr>
        <w:tblStyle w:val="TitulliChar"/>
        <w:tblW w:w="5233" w:type="pct"/>
        <w:tblInd w:w="-252" w:type="dxa"/>
        <w:tblLayout w:type="fixed"/>
        <w:tblLook w:val="01E0" w:firstRow="1" w:lastRow="1" w:firstColumn="1" w:lastColumn="1" w:noHBand="0" w:noVBand="0"/>
      </w:tblPr>
      <w:tblGrid>
        <w:gridCol w:w="1072"/>
        <w:gridCol w:w="716"/>
        <w:gridCol w:w="893"/>
        <w:gridCol w:w="795"/>
        <w:gridCol w:w="803"/>
        <w:gridCol w:w="888"/>
        <w:gridCol w:w="1166"/>
        <w:gridCol w:w="793"/>
        <w:gridCol w:w="517"/>
        <w:gridCol w:w="733"/>
        <w:gridCol w:w="535"/>
        <w:gridCol w:w="809"/>
      </w:tblGrid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Vizur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1,0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0,9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0,8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0,7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0,6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0,5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0,4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0,3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0,2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0,1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0,0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24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0,9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30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0,8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25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30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40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0,7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25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40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0,6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30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40(45)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0,5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25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40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0,4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25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30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40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45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55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0,3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15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25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30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45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50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0,2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20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25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30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40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55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60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70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0,1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25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30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30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40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45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60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</w:t>
            </w:r>
          </w:p>
        </w:tc>
      </w:tr>
      <w:tr w:rsidR="00BE1BB2" w:rsidRPr="003201D5">
        <w:tc>
          <w:tcPr>
            <w:tcW w:w="551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0,0</w:t>
            </w:r>
          </w:p>
        </w:tc>
        <w:tc>
          <w:tcPr>
            <w:tcW w:w="36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  <w:tc>
          <w:tcPr>
            <w:tcW w:w="45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35</w:t>
            </w:r>
          </w:p>
        </w:tc>
        <w:tc>
          <w:tcPr>
            <w:tcW w:w="409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40</w:t>
            </w:r>
          </w:p>
        </w:tc>
        <w:tc>
          <w:tcPr>
            <w:tcW w:w="413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40</w:t>
            </w:r>
          </w:p>
        </w:tc>
        <w:tc>
          <w:tcPr>
            <w:tcW w:w="45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45</w:t>
            </w:r>
          </w:p>
        </w:tc>
        <w:tc>
          <w:tcPr>
            <w:tcW w:w="600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50</w:t>
            </w:r>
          </w:p>
        </w:tc>
        <w:tc>
          <w:tcPr>
            <w:tcW w:w="408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55</w:t>
            </w:r>
          </w:p>
        </w:tc>
        <w:tc>
          <w:tcPr>
            <w:tcW w:w="26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0</w:t>
            </w:r>
          </w:p>
        </w:tc>
        <w:tc>
          <w:tcPr>
            <w:tcW w:w="377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70</w:t>
            </w:r>
          </w:p>
        </w:tc>
        <w:tc>
          <w:tcPr>
            <w:tcW w:w="275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80</w:t>
            </w:r>
          </w:p>
        </w:tc>
        <w:tc>
          <w:tcPr>
            <w:tcW w:w="416" w:type="pct"/>
          </w:tcPr>
          <w:p w:rsidR="00BE1BB2" w:rsidRPr="003201D5" w:rsidRDefault="00BE1BB2" w:rsidP="00BE1BB2">
            <w:pPr>
              <w:pStyle w:val="Tabele"/>
              <w:rPr>
                <w:sz w:val="18"/>
                <w:szCs w:val="18"/>
              </w:rPr>
            </w:pPr>
            <w:r w:rsidRPr="003201D5">
              <w:rPr>
                <w:sz w:val="18"/>
                <w:szCs w:val="18"/>
              </w:rPr>
              <w:t>100</w:t>
            </w:r>
          </w:p>
        </w:tc>
      </w:tr>
    </w:tbl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2.4 Afaki e njëanshme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2.5 Dipllopi sipas gradës dhe hemianopsi e njëanshme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20-60%.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2.6 Paralizë e akomodimit të një syri dhe paraliza të tjera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10-25%.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2.7 Ploze (rrënja e qepallës)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10-25%.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2.8 Ngushtim koncetrues i fushës vizive në njërin sy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2.9 Ngushtim i kanaleve nazol-lakrimale me rrjedhje lotësh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2.10 Pamjaftësi e qepallave për të mbuluar globin ocular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15-25%.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2.11 Ngjitja e qepallës me syrin duke penguar lëvizjen e syrit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2.12 Ekzoftalm ose bilateral shoqëruar me ulje të mprehtësisë së pamjes</w:t>
      </w:r>
      <w:r w:rsidRPr="003201D5">
        <w:rPr>
          <w:lang w:val="sq-AL"/>
        </w:rPr>
        <w:tab/>
        <w:t>50-100%.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 Veshët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3.1 Pakësim i fortë i të dëgjuarit (folje me zë të ulët: 0) me njërin vesh ose me të dy veshët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15-30%.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3.2 Pakësim mesatar i të dëgjuarit (folje me zë të ulët nga një distancë më tepër se një metër) me një vesh ose me të dy veshët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10-15%.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3.3 Shurdhim i plotë i njërit vesh ose i të dyve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15-50%.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3.4 Inflamacion kronik me qelb i veshit të mesit i tipit mezotimpanit dhe i tipit eptimpanit ose komplikuar me kolesteatoma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15-25%.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3.5 Çrregullime objektive të funksionit vestibular sipas gradës dhe komplikacione endokraniale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10-60%.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3.6 Humbja e llapës së veshit, si dhe defiguracioni i saj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4. Fytyra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4.1 Cikatrizime superficiale të shumta që shëmtojnë fytyrën, por që nuk shkaktojnë çrregullime funksionale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4.2 Lezione të fytyrës të shoqëruara me çrregullime funksionale: ngushtimi i gojës dhe i vestibulit të gojës, pakësim i lëvizjes së nofullës së poshtme, formim i nj</w:t>
      </w:r>
      <w:r w:rsidRPr="0074408F">
        <w:rPr>
          <w:lang w:val="sq-AL"/>
        </w:rPr>
        <w:t>ë fistule salivare sipas gradës</w:t>
      </w:r>
      <w:r w:rsidRPr="0074408F">
        <w:rPr>
          <w:lang w:val="sq-AL"/>
        </w:rPr>
        <w:tab/>
      </w:r>
      <w:r w:rsidRPr="0074408F">
        <w:rPr>
          <w:lang w:val="sq-AL"/>
        </w:rPr>
        <w:tab/>
      </w:r>
      <w:r w:rsidRPr="0074408F">
        <w:rPr>
          <w:lang w:val="sq-AL"/>
        </w:rPr>
        <w:tab/>
      </w:r>
      <w:r w:rsidRPr="0074408F">
        <w:rPr>
          <w:lang w:val="sq-AL"/>
        </w:rPr>
        <w:tab/>
      </w:r>
      <w:r w:rsidRPr="0074408F">
        <w:rPr>
          <w:lang w:val="sq-AL"/>
        </w:rPr>
        <w:tab/>
      </w:r>
      <w:r w:rsidRPr="0074408F">
        <w:rPr>
          <w:lang w:val="sq-AL"/>
        </w:rPr>
        <w:tab/>
      </w:r>
      <w:r w:rsidRPr="0074408F">
        <w:rPr>
          <w:lang w:val="sq-AL"/>
        </w:rPr>
        <w:tab/>
      </w:r>
      <w:r w:rsidRPr="0074408F">
        <w:rPr>
          <w:lang w:val="sq-AL"/>
        </w:rPr>
        <w:tab/>
      </w:r>
      <w:r w:rsidRPr="0074408F">
        <w:rPr>
          <w:lang w:val="sq-AL"/>
        </w:rPr>
        <w:tab/>
      </w:r>
      <w:r w:rsidRPr="0074408F">
        <w:rPr>
          <w:lang w:val="sq-AL"/>
        </w:rPr>
        <w:tab/>
      </w:r>
      <w:r w:rsidRPr="0074408F">
        <w:rPr>
          <w:lang w:val="sq-AL"/>
        </w:rPr>
        <w:tab/>
        <w:t>25-50%</w:t>
      </w:r>
      <w:r w:rsidRPr="0074408F">
        <w:rPr>
          <w:lang w:val="sq-AL"/>
        </w:rPr>
        <w:tab/>
      </w:r>
      <w:r w:rsidRPr="0074408F">
        <w:rPr>
          <w:lang w:val="sq-AL"/>
        </w:rPr>
        <w:tab/>
        <w:t>4.3 Dëmtime të kockave të hundës, nofullave të sipërme e të poshtme dhe të kockave të tjera të fytyrës që</w:t>
      </w:r>
      <w:r w:rsidRPr="003201D5">
        <w:rPr>
          <w:lang w:val="sq-AL"/>
        </w:rPr>
        <w:t xml:space="preserve"> shkaktojnë çrregullime funksionale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>
        <w:rPr>
          <w:lang w:val="sq-AL"/>
        </w:rPr>
        <w:tab/>
      </w:r>
      <w:r w:rsidRPr="003201D5">
        <w:rPr>
          <w:lang w:val="sq-AL"/>
        </w:rPr>
        <w:t>25-40%.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4.4 Humbje dhëmbësh gjatë fatkeqësisë sipas numrit të dhëmbëve të humbur      5-15%.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5. Hunda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5.1 Humbja e hundës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30-40%.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5.2 Vështirësim i respiracionit nga hunda (thyerje-ngushtim i zgavrës nozale)</w:t>
      </w:r>
      <w:r w:rsidRPr="003201D5">
        <w:rPr>
          <w:lang w:val="sq-AL"/>
        </w:rPr>
        <w:tab/>
        <w:t>15%.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5.3 Sëmundje me qelb i anekseve të kavitetit nasal, si dhe të shoqëruara me dhimbje koke, si rrjedhje të lëngut cerebral-spinal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25-40%.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5.4 Humbje e shqisës së të nuhaturit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6. Qafa dhe laringu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6.1 Kufizim i lëvizjes së qafës nga shkaku i dëmtimeve traumatike të indeve të buta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10-30%.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6.2 Afoni (humbja e zërit), paralizë e njërit nga nervat sekuronk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25%.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6.3 Vështirësim i respiracionit nga shkaku i ngushtimit permanent të laringut sipas gradës, në paralyzebilaterale sekusensit-stenozot-gjendje e trakeotramizuar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70%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6.4 Dëmtim i laringut ose pasoja të dëmtimeve të tjera të qafës që japin funksionale dhe për jetën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75%.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7. Kraharori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7.1 Pakësimi i lëvizjes së kafazit të kraharorit nga shkaku i dëmtimeve të ndryshme të tij, thyerje e brinjëve, cikatrizime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10-30%.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7.2 Deformacion i kafazit të kraharorit tepër i prononcuar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40%.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7.3 Manifestime rezirlulle permanente pas një prevriti traumatik, pakësim i lëvizjeve respiratore të mushkërive, pakësimi i sipërfaqes respiratore nga shkaku i aderencave me pjesët e afërta etj,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15-70%.</w:t>
      </w:r>
      <w:r w:rsidRPr="003201D5">
        <w:rPr>
          <w:lang w:val="sq-AL"/>
        </w:rPr>
        <w:tab/>
        <w:t>7.4 Sëmundje kronike të indit pulmonar (sipas gravitetit të prekjes)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25-100%.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7.5 Sëmundje organike të zemrës së cipave të saj (infamacion kronik i miokardit anevrizma) dhe të vazevet (sipas rëndësisë së prekjes)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25-100%.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8. Barku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8.1 Sëmundje kronike të organeve abdominale dhe të ezofagut të shoqëruara me çrregullime në tretjen e ushqimeve dhe pakësimin në peshë (ngushtim i ezofagut, i stomakut, fistula të tyre, influencon kronik i perotoneumit, sëmundje të mëlçisë së zezë, zmadhim dhe heqje e shpretkës, sëmundjet e organeve gjenitale të gruas etj., sipas rëndësisë së prekjes.</w:t>
      </w:r>
      <w:r w:rsidRPr="003201D5">
        <w:rPr>
          <w:lang w:val="sq-AL"/>
        </w:rPr>
        <w:tab/>
        <w:t>25-100%.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8.2 Dëmtime të mureve abdominale të shoqëruara me çrregullime të pressioabdominales (këputjes, parez muskulash ose formim cikatrizash të mëdha) 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25%.</w:t>
      </w:r>
      <w:r w:rsidRPr="003201D5">
        <w:rPr>
          <w:lang w:val="sq-AL"/>
        </w:rPr>
        <w:tab/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8.3 Shkarja e zorrëve, e mitrës (që shfaqen si konsekuencë e rastit të fatkeqësisë) 25%.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8.4 Hernia e paoperuar ose e operuar me përfundim (në inguinjo të kënaqshëm, në inguinjo në regjionin gluteal, në numrin abdominal)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10-50%.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9.Organet urinare dhe seksuale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9.1 Sëmundje kronike të veshkave të pelvis reuale dhe të uretereve sipas gradës</w:t>
      </w:r>
      <w:r w:rsidRPr="003201D5">
        <w:rPr>
          <w:lang w:val="sq-AL"/>
        </w:rPr>
        <w:tab/>
        <w:t>30-70%.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9.2 Heqje e një veshke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50%.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9.3 Veshkë endëse (errante)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35%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9.4 Çrregullim i beljes së urinës shkaktuar nga dëmtime në zonën e organeve urogjenitale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15-50%.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9.5 Fistule të kanalit urinar dhe të fshikëzës së urinës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50%.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9.6 Idrocele në testiculum ose në duktur seminale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40%.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 xml:space="preserve">9.7 Humbje e organeve seksuale (penis) 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40%.</w:t>
      </w:r>
      <w:r w:rsidRPr="003201D5">
        <w:rPr>
          <w:lang w:val="sq-AL"/>
        </w:rPr>
        <w:tab/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9.8 Humbje e të dy testikujve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60%.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9.9 Humbje e një testikuli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30%.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10. Shtylla kurrizore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10.1 Dëmtime të shtyllës kurrizore të shoqëruara me simptoma objektive të vazhdueshme të çrregullimeve të funksioneve të palcës kurrizore ose të sistemit nervor periferik (paralizë e ekstremiteteve, çrregullime të organeve të bacinit etj.)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10.2 Sëmundje të kolonës vertebrale (në çdo seksion të saj) të cipës kurrizore të rrënjëve, të plekseve të qafës dhe të supit të shoqëruara me çrregullime të funksioneve të ekstremiteteve: pakësim i volumit të lëvizjeve, pakësim i fuqisë, çrregullim i sensibilitetit, ndryshim i reflekseve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20-60%.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10.3 Këputje dhe tendosje të muskujve të kurrizit,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10-50%.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10.4 Kufizim i lëvizjes së kolonës vertebrale,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10-50%.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10.5 Kufizim i lëvizshmërisë së kolonës vertebrale që lyp një mbajtje të përhershme të korsetit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70%.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11. Basini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11.1 Prishje e unitetit të hallkës së basinit (fiksim jo i plotë i artikulacionit sakro-ileak 25%.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11.2 Thyreje e kockave të basinit të shoqëruara me çrregullime të funksioneve të ekstremiteteve, sipas gradës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20-60%.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 Ekstremitete të sipërme</w:t>
      </w:r>
    </w:p>
    <w:p w:rsidR="00BE1BB2" w:rsidRPr="003201D5" w:rsidRDefault="00BE1BB2" w:rsidP="00BE1BB2">
      <w:pPr>
        <w:pStyle w:val="Paragrafi"/>
        <w:rPr>
          <w:lang w:val="sq-AL"/>
        </w:rPr>
      </w:pPr>
    </w:p>
    <w:tbl>
      <w:tblPr>
        <w:tblStyle w:val="TitulliChar"/>
        <w:tblW w:w="0" w:type="auto"/>
        <w:tblLook w:val="01E0" w:firstRow="1" w:lastRow="1" w:firstColumn="1" w:lastColumn="1" w:noHBand="0" w:noVBand="0"/>
      </w:tblPr>
      <w:tblGrid>
        <w:gridCol w:w="6768"/>
        <w:gridCol w:w="1065"/>
        <w:gridCol w:w="1454"/>
      </w:tblGrid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1. Gishti i madh</w:t>
            </w:r>
          </w:p>
        </w:tc>
        <w:tc>
          <w:tcPr>
            <w:tcW w:w="2519" w:type="dxa"/>
            <w:gridSpan w:val="2"/>
          </w:tcPr>
          <w:p w:rsidR="00BE1BB2" w:rsidRPr="003201D5" w:rsidRDefault="00BE1BB2" w:rsidP="00BE1BB2">
            <w:pPr>
              <w:pStyle w:val="Tabele"/>
            </w:pPr>
            <w:r w:rsidRPr="003201D5">
              <w:t>Dora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Djathtë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M</w:t>
            </w:r>
            <w:r w:rsidRPr="003201D5">
              <w:rPr>
                <w:szCs w:val="22"/>
              </w:rPr>
              <w:t>ajtë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12.1.1 Humbje e falangës së thoit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12.1.2 Humbje e falangës së thoit me gjysmën e falangës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12.1.3 Humbje e të dy falangave vetëm ose së bashku me metakarp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12.1.4 Imobilitet i artikulacionit metaka profalangjial dhe metakar p</w:t>
            </w:r>
            <w:r w:rsidRPr="003201D5">
              <w:rPr>
                <w:szCs w:val="22"/>
              </w:rPr>
              <w:t>a karpal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12.1.5 Imobilitet i artikulacioneve midis falangeve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12.1.6 Imobilitet i dy artikulacioneve falange të çfarëdoshme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12.1.7 Imobilitet i të trija artikulacioneve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  <w:r w:rsidRPr="00BE1BB2">
              <w:rPr>
                <w:lang w:val="it-IT"/>
              </w:rPr>
              <w:t>12.1.8 Mobilitet i vështirë pernnanent i gishtit të m</w:t>
            </w:r>
            <w:r w:rsidRPr="00BE1BB2">
              <w:rPr>
                <w:szCs w:val="22"/>
                <w:lang w:val="it-IT"/>
              </w:rPr>
              <w:t>adh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12.1.9 Kontrakturë fleksive dhe ekstensive e gishtit të madh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12.1.10 Shkurtim dhe deformim i gishtit të madh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12.1.11 Shëmtim (defiguracion) i thoit ose defekt në falangën e tij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2. Gishti tregues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12.2.1 Humbje e fala</w:t>
            </w:r>
            <w:r w:rsidRPr="003201D5">
              <w:rPr>
                <w:szCs w:val="22"/>
              </w:rPr>
              <w:t>ngës së thoit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12.2.2 Humbje e falangës së thoit dhe e falangës së mesme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12.2.3 Humbje e të tria falangave dhe e të tria falangave me kockën e dytë metokarpale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12.2.4 Imobilitet i artikulacionit të parë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 xml:space="preserve">12.2.5 Imobilitet </w:t>
            </w:r>
            <w:r w:rsidRPr="003201D5">
              <w:rPr>
                <w:szCs w:val="22"/>
              </w:rPr>
              <w:t>i artikulacionit të parë dhe artikulacionit të mesëm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12.2.6 Imobilitet i artikulacionit të parë dhe artikulacionit të tretë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12.2.7 Imobilitet i artikulacionit të mesëm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12.28 Imobilitet i artikulacionit të tretë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12.2.9 Imobi</w:t>
            </w:r>
            <w:r w:rsidRPr="003201D5">
              <w:rPr>
                <w:szCs w:val="22"/>
              </w:rPr>
              <w:t>litet i artikulacionit të mesëm dhe i artikulacionit të tretë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12.2.10 Imobilitet i trija artikulacioneve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12.2.11 Imobilitet i vështirë pernnannet i gishtit tregues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12.2.12 Kontraturë fleksive ose ekstensive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12.2.13 Shkurt</w:t>
            </w:r>
            <w:r w:rsidRPr="003201D5">
              <w:rPr>
                <w:szCs w:val="22"/>
              </w:rPr>
              <w:t>im dhe defonnim i gishtit tregues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12.2.14 Shëmtim i thoit ose defekte në pjesët e butë atë të falangës tij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3. Gishti i mesëm, i unazës dhe i vogël</w:t>
            </w:r>
          </w:p>
        </w:tc>
        <w:tc>
          <w:tcPr>
            <w:tcW w:w="1065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</w:p>
        </w:tc>
        <w:tc>
          <w:tcPr>
            <w:tcW w:w="1454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12.3.1 Humbje e falangës së thoit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 xml:space="preserve">12.3.2 Humbje e falangës së thoit dhe e falangës </w:t>
            </w:r>
            <w:r w:rsidRPr="003201D5">
              <w:rPr>
                <w:szCs w:val="22"/>
              </w:rPr>
              <w:t>së mesme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12.3.3 Humbje e njërit prej këtyre gishtërinjve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12.3.4 Idem bashkë me kockën metakaipale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12.3.5 Imobilitet i të trija artikulacioneve ose i të parit dhe i mesit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12.3.6 Imobilitet i artikulacionit të parë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  <w:r w:rsidRPr="00BE1BB2">
              <w:rPr>
                <w:lang w:val="it-IT"/>
              </w:rPr>
              <w:t>1</w:t>
            </w:r>
            <w:r w:rsidRPr="00BE1BB2">
              <w:rPr>
                <w:szCs w:val="22"/>
                <w:lang w:val="it-IT"/>
              </w:rPr>
              <w:t>2.3.7 Imobilitet i artikulacionit të mesëm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12.3.8 Omobilitet i artikulacionit të artikulacionit të tretë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12.3.9 Imobilitet i artikulacionit të mesëm dhe të tretë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12.3.10 Imobilitet vetëm i artikulacionit të tretë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12.3.11 Imob</w:t>
            </w:r>
            <w:r w:rsidRPr="003201D5">
              <w:rPr>
                <w:szCs w:val="22"/>
              </w:rPr>
              <w:t>ilitet i vështirë pennanent i njërit prej këtyre gishtërinjve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12.3.12 Kontraktor fleksive ose ekstensive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12.3.13 Shkurtim dhe defonnim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4. Dëmtim i të gjithë ose disa gishtërinjve të një dore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12.4.1 Humbje e të gjithë gishtërinjve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75%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12.4.2 Imobiliteti i të gjithë gishtërinjve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65%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12.4.3 Imobilitet i vështirë i të gjithë gishtërinjve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12.4.4 Kontrakturë e të gjithë gishtërinjve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55%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12.4.5 Humbje e të dy gishtërinjve të një dore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  <w:r w:rsidRPr="00BE1BB2">
              <w:rPr>
                <w:lang w:val="it-IT"/>
              </w:rPr>
              <w:t>a) E gishtit të madh dhe tre</w:t>
            </w:r>
            <w:r w:rsidRPr="00BE1BB2">
              <w:rPr>
                <w:szCs w:val="22"/>
                <w:lang w:val="it-IT"/>
              </w:rPr>
              <w:t>gues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b) E gishtit të madh së bashku me gishtin e mesëm ose me gishtin e unazës ose me gishtin e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c) E gishtit tregues së bashku ose me gishtin e mesëm, ose me gishtin e unazës, ose me gishtin e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35%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  <w:r w:rsidRPr="00BE1BB2">
              <w:rPr>
                <w:lang w:val="it-IT"/>
              </w:rPr>
              <w:t>d) E gishtit të mesëm së</w:t>
            </w:r>
            <w:r w:rsidRPr="00BE1BB2">
              <w:rPr>
                <w:szCs w:val="22"/>
                <w:lang w:val="it-IT"/>
              </w:rPr>
              <w:t xml:space="preserve"> bashku me gishtin e unazës ose me gishtin e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f) E gishtit të unazës dhe e gishtit të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12.4.6 Humbje e të tre gishtërinjve të një dore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  <w:r w:rsidRPr="00BE1BB2">
              <w:rPr>
                <w:lang w:val="it-IT"/>
              </w:rPr>
              <w:t xml:space="preserve">a) E gishtit të madh tregues së bashku me gishtin e unazës ose me gishtin e mesëm, ose me </w:t>
            </w:r>
            <w:r w:rsidRPr="00BE1BB2">
              <w:rPr>
                <w:szCs w:val="22"/>
                <w:lang w:val="it-IT"/>
              </w:rPr>
              <w:t>gishtin e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b) E gishtit të madh dhe të mesëm së bashku ose nme gishtin e unazës, ose me gishtin e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45%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35%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c) E gishtit të madh të unazës dhe të gishtit të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45%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35%</w:t>
            </w:r>
          </w:p>
        </w:tc>
      </w:tr>
      <w:tr w:rsidR="00BE1BB2" w:rsidRPr="003201D5">
        <w:tc>
          <w:tcPr>
            <w:tcW w:w="6768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  <w:r w:rsidRPr="00BE1BB2">
              <w:rPr>
                <w:lang w:val="it-IT"/>
              </w:rPr>
              <w:t>d) E gishtit tregues dhe të mesëm së bashku me gishtin e unazës o</w:t>
            </w:r>
            <w:r w:rsidRPr="00BE1BB2">
              <w:rPr>
                <w:szCs w:val="22"/>
                <w:lang w:val="it-IT"/>
              </w:rPr>
              <w:t>se me gishtin e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45%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f) E gishtit trgues, e gishtit të unazës dhe e gishtit të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45%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g) E gishtit të mesëm e gishtit të unazës dhe e gishtit të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12.4.7 Humbja e katër gishtërinjve të një dore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a) E gishtit të madh, e gi</w:t>
            </w:r>
            <w:r w:rsidRPr="003201D5">
              <w:rPr>
                <w:szCs w:val="22"/>
              </w:rPr>
              <w:t>shtit tregues dhe të mesëm së bashku ose me gishtin e unazës</w:t>
            </w:r>
            <w:r w:rsidRPr="003201D5">
              <w:t>, ose me gishtin e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65%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b) E gishtit të madh e gishtit tregues të unazës dhe gishtit të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</w:pPr>
            <w:r w:rsidRPr="003201D5">
              <w:t>c) E gishtit të madh, e gishtit të mesëm dhe të unazës së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45%</w:t>
            </w:r>
          </w:p>
        </w:tc>
      </w:tr>
      <w:tr w:rsidR="00BE1BB2" w:rsidRPr="003201D5">
        <w:tc>
          <w:tcPr>
            <w:tcW w:w="6768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d) E gisht</w:t>
            </w:r>
            <w:r w:rsidRPr="003201D5">
              <w:rPr>
                <w:szCs w:val="22"/>
              </w:rPr>
              <w:t>it tregues</w:t>
            </w:r>
            <w:r w:rsidRPr="003201D5">
              <w:t>, të mesëm të unazës dhe të vogël</w:t>
            </w:r>
          </w:p>
        </w:tc>
        <w:tc>
          <w:tcPr>
            <w:tcW w:w="1065" w:type="dxa"/>
          </w:tcPr>
          <w:p w:rsidR="00BE1BB2" w:rsidRPr="003201D5" w:rsidRDefault="00BE1BB2" w:rsidP="00BE1BB2">
            <w:pPr>
              <w:pStyle w:val="Tabele"/>
            </w:pPr>
            <w:r w:rsidRPr="003201D5">
              <w:t>65%</w:t>
            </w:r>
          </w:p>
        </w:tc>
        <w:tc>
          <w:tcPr>
            <w:tcW w:w="1454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</w:tbl>
    <w:p w:rsidR="00BE1BB2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5. Dëmtimi i të gjithë ose i disa gishtërinjve të të dyja duarve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12.5.1 Humbje e të gjithë gishtërinjve, si edhe nëngishtërinjve të dy duarve</w:t>
      </w:r>
      <w:r w:rsidRPr="003201D5">
        <w:rPr>
          <w:lang w:val="sq-AL"/>
        </w:rPr>
        <w:tab/>
        <w:t>100%.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12.5.2 Humbje e gishtërinjve të mëdhenj dhe tregues në të dy duart</w:t>
      </w:r>
      <w:r w:rsidRPr="003201D5">
        <w:rPr>
          <w:lang w:val="sq-AL"/>
        </w:rPr>
        <w:tab/>
      </w:r>
      <w:r w:rsidRPr="003201D5">
        <w:rPr>
          <w:lang w:val="sq-AL"/>
        </w:rPr>
        <w:tab/>
        <w:t>85%.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12.5.3 Humbje e gishtërinjve tregues në të dyja duart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40%.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12.5.4 Humbje e gishtit të madh dhe e gishtit tregues të dorës së djathtë dhe e gishtit tregues të dorës së majtë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60%.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12.5.5 Humbje e gishtit të madh dhe tregues të dorës së majtë dhe e gishtit tregues të dorës së djathtë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55%.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12.5.6 Humbje e gishtit të madh tregues dhe të mesëm ose e gishtit të unazës, ose e gishtit të vogël të dorës së djathtë dhe e gishtit tregues të dorës së majtë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70%.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12.5.7 Humbje e gishtit të madh tregues dhe të mesëm ose e gishtit të unazës, ose e gishtit të vogël të dorës së majtë dhe e gishtit tregues të dorës së djathtë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60%.</w:t>
      </w: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12.5.8 Humbje e të gjithë gishtërinjve të dorës së djathtë, përveç gishtit tregues dhe humbje e gishtit tëmadh të dorës së majtë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60%.</w:t>
      </w:r>
    </w:p>
    <w:p w:rsidR="00BE1BB2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12.5.9 Humbje e të gjithë gishtërinjve të dorës së majtë, përveç gishtit tregues dhe humbje e gishtit të madh të dorës së djathtë</w:t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</w:r>
      <w:r w:rsidRPr="003201D5">
        <w:rPr>
          <w:lang w:val="sq-AL"/>
        </w:rPr>
        <w:tab/>
        <w:t>60%.</w:t>
      </w:r>
    </w:p>
    <w:p w:rsidR="00BE1BB2" w:rsidRPr="003201D5" w:rsidRDefault="00BE1BB2" w:rsidP="00BE1BB2">
      <w:pPr>
        <w:pStyle w:val="Paragrafi"/>
        <w:rPr>
          <w:lang w:val="sq-AL"/>
        </w:rPr>
      </w:pPr>
    </w:p>
    <w:tbl>
      <w:tblPr>
        <w:tblStyle w:val="TitulliChar"/>
        <w:tblW w:w="0" w:type="auto"/>
        <w:jc w:val="center"/>
        <w:tblLook w:val="01E0" w:firstRow="1" w:lastRow="1" w:firstColumn="1" w:lastColumn="1" w:noHBand="0" w:noVBand="0"/>
      </w:tblPr>
      <w:tblGrid>
        <w:gridCol w:w="6134"/>
        <w:gridCol w:w="1585"/>
        <w:gridCol w:w="1460"/>
      </w:tblGrid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6. Kyçi i dorës</w:t>
            </w:r>
          </w:p>
        </w:tc>
        <w:tc>
          <w:tcPr>
            <w:tcW w:w="3045" w:type="dxa"/>
            <w:gridSpan w:val="2"/>
          </w:tcPr>
          <w:p w:rsidR="00BE1BB2" w:rsidRPr="003201D5" w:rsidRDefault="00BE1BB2" w:rsidP="00BE1BB2">
            <w:pPr>
              <w:pStyle w:val="Tabele"/>
            </w:pPr>
            <w:r w:rsidRPr="003201D5">
              <w:t>Dora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Djathtë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Majtë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12.6.1 Humbje e tërë kyçit (e karpit)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75%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12.6.2 Imobiliteti artkulacionitradio-karp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12.6.3 Imobilitet i vështirë në artikulacioninradiokarpal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12.6.4 Pseudoartrozë e artikulacionitradiokarpal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12.6.5 thyerje të kockave karpale që trondisin zotësinë e kapjes së sendeve me dorë të shoqëruara me një sindromë dhimbjeje permanente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7. Llëra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12.7.1 Humbja e heresderi në artikulacionin e bërrylit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75%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12.7.2 Imobilitet në artikulacionin e bërrylit në pozicionin fleksion ekstension në kënd të gjerë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12.7.3 Imobilitet në artikulacionin e bërrylit në një pozicion në fleksion në kënd të drejtë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12.7.4 Lëvizje e vështirë në artikulacionin e bërrylit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12.7.5 Pseudoartrozë në artikulacionin e bërrylit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12.7.6 Lëvizje të kufizuar</w:t>
            </w:r>
            <w:r w:rsidRPr="003201D5">
              <w:rPr>
                <w:szCs w:val="22"/>
              </w:rPr>
              <w:t>a të kyçit (në abduksion, pronancion dhe supinacion)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12.7.7 Lëvizje e vështirë në artikulacionin e bërrylit dhe radiokarpal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12.7.8 Thyerje të konsoliduara jo në rregull të dy kockave të llërës që vështirësojnë lëvizjen e kyçit ose të gi</w:t>
            </w:r>
            <w:r w:rsidRPr="003201D5">
              <w:rPr>
                <w:szCs w:val="22"/>
              </w:rPr>
              <w:t>shtërinjve të dorës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12.7.9 Imobilitet në artikulacionin e bërrylit dhe radiokarpal</w:t>
            </w:r>
          </w:p>
        </w:tc>
        <w:tc>
          <w:tcPr>
            <w:tcW w:w="1585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55%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8. Krahu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12.8.1 Humbja e krahut deri në mes të artikulacionit të supit dhe të bërrylit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 xml:space="preserve">        75%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  <w:r w:rsidRPr="00BE1BB2">
              <w:rPr>
                <w:lang w:val="it-IT"/>
              </w:rPr>
              <w:t>12.8.2 Imobilitet në artikulacionin e su</w:t>
            </w:r>
            <w:r w:rsidRPr="00BE1BB2">
              <w:rPr>
                <w:szCs w:val="22"/>
                <w:lang w:val="it-IT"/>
              </w:rPr>
              <w:t>pit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12.8.3 Pseudoartrozë e kockës së krahut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65%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12.8.4 Lëvizje e vështirë në artikulacionin e supit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12.8.5 Pamundësi e ngritjes së krahut më lart pozicionit horizontal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12.8.6 Thyerje të konsoliduara jo në rregull të klavik</w:t>
            </w:r>
            <w:r w:rsidRPr="003201D5">
              <w:rPr>
                <w:szCs w:val="22"/>
              </w:rPr>
              <w:t>ulës ose të shpatullës</w:t>
            </w:r>
            <w:r w:rsidRPr="003201D5">
              <w:t>, nëse janë të shoqëruara me kufizm të lëvizjeve në krah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12.8.7 Thyerje të konsoliduara jo në rregull të kockës së krahut që vështirësojnë lëvizje të krahut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35%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12.8.8 Atrofi e muskujve të krahut pas dëmtimeve të t</w:t>
            </w:r>
            <w:r w:rsidRPr="003201D5">
              <w:rPr>
                <w:szCs w:val="22"/>
              </w:rPr>
              <w:t>yre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12.8.9 Luksacion i zakonshëm i supit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12.8.10 Humbje të të dy krahëve ose të kyçeve të duarve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 Gjymtyrët e poshtme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1. Gishtërinjtë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13.1.1 Humbje e gishtit të madh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13.1.2 Humbje e falangës së thoit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13.1.3 Çrre</w:t>
            </w:r>
            <w:r w:rsidRPr="003201D5">
              <w:rPr>
                <w:szCs w:val="22"/>
              </w:rPr>
              <w:t>gullim permanent i funksionit të gishtit të madh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5-15%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13.1.4 Humbje e një gishti tjetër të çfarëdoshëm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13.1.5 Humbje e të gjithë gishtërinjve të një këmbe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13.1.6 Humbje e kokave të kockave të metalarësit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13.1.7 Thyerje e kockave të tar</w:t>
            </w:r>
            <w:r w:rsidRPr="003201D5">
              <w:rPr>
                <w:szCs w:val="22"/>
              </w:rPr>
              <w:t xml:space="preserve">sit ose të metarsit të shoqëruara me çrregullime </w:t>
            </w:r>
            <w:r w:rsidRPr="003201D5">
              <w:t>permanente të statikës ose me sindromë të dhimbshme të përhershme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2. Kyçi i këmbës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13.2.1 Humbje e këmbës deri në artikulacionin e tibio-tarsal ose më poshtë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13.2.2 Humbje e metatarsit (ampu</w:t>
            </w:r>
            <w:r w:rsidRPr="003201D5">
              <w:rPr>
                <w:szCs w:val="22"/>
              </w:rPr>
              <w:t>t</w:t>
            </w:r>
            <w:r w:rsidRPr="003201D5">
              <w:t>acion deri në artikulacionin e lisfrang ose të shopartit)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13.2.3 Çrregullim permanent i funksionit të kyçit të këmbës pas thyerjes së talus ose cacaneus sipas gradës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10-40%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BE1BB2" w:rsidRDefault="00BE1BB2" w:rsidP="00BE1BB2">
            <w:pPr>
              <w:pStyle w:val="Tabele"/>
              <w:rPr>
                <w:lang w:val="es-CL"/>
              </w:rPr>
            </w:pPr>
            <w:r w:rsidRPr="00BE1BB2">
              <w:rPr>
                <w:lang w:val="es-CL"/>
              </w:rPr>
              <w:t>13.2.4 Lëvizje e kufizuar në artikulacionin talo-kural sipas gradës</w:t>
            </w:r>
          </w:p>
        </w:tc>
        <w:tc>
          <w:tcPr>
            <w:tcW w:w="1585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es-CL"/>
              </w:rPr>
            </w:pPr>
          </w:p>
        </w:tc>
        <w:tc>
          <w:tcPr>
            <w:tcW w:w="1460" w:type="dxa"/>
          </w:tcPr>
          <w:p w:rsidR="00BE1BB2" w:rsidRPr="00BE1BB2" w:rsidRDefault="00BE1BB2" w:rsidP="00BE1BB2">
            <w:pPr>
              <w:pStyle w:val="Tabele"/>
              <w:rPr>
                <w:lang w:val="es-CL"/>
              </w:rPr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10-20%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13.2.5 Imobilitet i artikulacionit talo-kural të një këmbe me kyçin dhe kërcirin në pozicionin kënddrejtë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30%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13.2.6 Idem në pozicionin me kënd abtz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45%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13.2.7 Pseudoartrozë në artikulacionin talo-kural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45%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13.2.8 Pedisplana si konsekuencë e d</w:t>
            </w:r>
            <w:r w:rsidRPr="003201D5">
              <w:rPr>
                <w:szCs w:val="22"/>
              </w:rPr>
              <w:t>ëmtimeve traumatike që nevojitet për mbajtjen perm</w:t>
            </w:r>
            <w:r w:rsidRPr="003201D5">
              <w:t>anente të një supinatori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3. Kërciri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13.3.1 Humbja e kërcirit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13.3.2 Imobilitet (ankilozë) i artikulacionit të gjurit në gjendje të ngrirë drejt këmbës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 xml:space="preserve">13.3.3 Idem në një fleksion të </w:t>
            </w:r>
            <w:r w:rsidRPr="003201D5">
              <w:rPr>
                <w:szCs w:val="22"/>
              </w:rPr>
              <w:t>lehtë në këndaptuz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25%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13.3.4 Imobilitet i artikulacionit të gjurit në gjendje fleksioni në një kënd të drejtë ose afër, ose në akstencion në anën e kundërt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13.3.5 Pseudoartrozë e gjurit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13.3.6 Dëmtime dhe sëmundje të artikulacionit të gjur</w:t>
            </w:r>
            <w:r w:rsidRPr="003201D5">
              <w:rPr>
                <w:szCs w:val="22"/>
              </w:rPr>
              <w:t>it që kanë shkaktuar kufizime perm</w:t>
            </w:r>
            <w:r w:rsidRPr="003201D5">
              <w:t>anente të funksionit të tij sipas gradës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20-40%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13.3.7 Procese kronike purulente të kërcirit me fisula me plagë të pashëruar sipas gradës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10-40%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13.3.8 Thyeje të konsoliduara one rregull të kockave të kërcirit me sh</w:t>
            </w:r>
            <w:r w:rsidRPr="003201D5">
              <w:rPr>
                <w:szCs w:val="22"/>
              </w:rPr>
              <w:t>kurtim dhe kufizim të lëvizjeve të ekstremitetit sipas gradës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10-40%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13.3.9 Thyerje të pakonsoliduara e të dy kockave të kërcirit (pseudoartrozë)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13.3.10 Atrofi e muskujve të kërcirit pas dëmtimeve të ndryshme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20-40%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4. Kofsha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13.4.1 Humbj</w:t>
            </w:r>
            <w:r w:rsidRPr="003201D5">
              <w:rPr>
                <w:szCs w:val="22"/>
              </w:rPr>
              <w:t>a e kofshës deri në pjesën e tretë të sipërme të saj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70%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BE1BB2" w:rsidRDefault="00BE1BB2" w:rsidP="00BE1BB2">
            <w:pPr>
              <w:pStyle w:val="Tabele"/>
              <w:rPr>
                <w:lang w:val="it-IT"/>
              </w:rPr>
            </w:pPr>
            <w:r w:rsidRPr="00BE1BB2">
              <w:rPr>
                <w:lang w:val="it-IT"/>
              </w:rPr>
              <w:t>13.4.2 Idem më poshtë nga treat e sipërme</w:t>
            </w:r>
          </w:p>
        </w:tc>
        <w:tc>
          <w:tcPr>
            <w:tcW w:w="1585" w:type="dxa"/>
          </w:tcPr>
          <w:p w:rsidR="00BE1BB2" w:rsidRPr="00BE1BB2" w:rsidRDefault="00BE1BB2" w:rsidP="00BE1BB2">
            <w:pPr>
              <w:pStyle w:val="Tabele"/>
              <w:rPr>
                <w:szCs w:val="22"/>
                <w:lang w:val="it-IT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13.4.3 Imobilitet në artikulacionin kosko-femural në këmbë në gjendje ekstensioni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50%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13.4.4 Idem në gjendje fleksioni të këmbës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60%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13.4.5 Lëv</w:t>
            </w:r>
            <w:r w:rsidRPr="003201D5">
              <w:rPr>
                <w:szCs w:val="22"/>
              </w:rPr>
              <w:t>izje e kufizuar në artikulacionin kosko-femural sipas gradës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30-40%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13.4.6 Thyerje e konsoliduar jo në rregull e kofshës me shkurtim dhe çrregullim të funksioneve të ekstremitetit sipas gradës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20-40%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  <w:r w:rsidRPr="003201D5">
              <w:t>13.4.7 Thyerje e pakonsoliduar e kofshës (pseudoa</w:t>
            </w:r>
            <w:r w:rsidRPr="003201D5">
              <w:rPr>
                <w:szCs w:val="22"/>
              </w:rPr>
              <w:t>rtrozë)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70%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13.4.8 Atrofi e muskujve të kofshës sipas gradës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15-30%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13.4.9 Tromboflebite traumatike ose edema permanente të estremiteteve të poshtme sipas gradës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10-40%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13.4.10 Humbje të dy këmbëve deri në kyçin e këmbës në kërci ose në kofshë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</w:p>
          <w:p w:rsidR="00BE1BB2" w:rsidRPr="003201D5" w:rsidRDefault="00BE1BB2" w:rsidP="00BE1BB2">
            <w:pPr>
              <w:pStyle w:val="Tabele"/>
            </w:pPr>
            <w:r w:rsidRPr="003201D5">
              <w:t>100%</w:t>
            </w:r>
          </w:p>
        </w:tc>
      </w:tr>
      <w:tr w:rsidR="00BE1BB2" w:rsidRPr="003201D5">
        <w:trPr>
          <w:jc w:val="center"/>
        </w:trPr>
        <w:tc>
          <w:tcPr>
            <w:tcW w:w="6134" w:type="dxa"/>
          </w:tcPr>
          <w:p w:rsidR="00BE1BB2" w:rsidRPr="003201D5" w:rsidRDefault="00BE1BB2" w:rsidP="00BE1BB2">
            <w:pPr>
              <w:pStyle w:val="Tabele"/>
            </w:pPr>
            <w:r w:rsidRPr="003201D5">
              <w:t>13.4.11 Humbje e një këmbe ose e kyçit të këmbës me humbjen e një krahu ose të kyçit të dorës</w:t>
            </w:r>
          </w:p>
        </w:tc>
        <w:tc>
          <w:tcPr>
            <w:tcW w:w="1585" w:type="dxa"/>
          </w:tcPr>
          <w:p w:rsidR="00BE1BB2" w:rsidRPr="003201D5" w:rsidRDefault="00BE1BB2" w:rsidP="00BE1BB2">
            <w:pPr>
              <w:pStyle w:val="Tabele"/>
              <w:rPr>
                <w:szCs w:val="22"/>
              </w:rPr>
            </w:pPr>
          </w:p>
        </w:tc>
        <w:tc>
          <w:tcPr>
            <w:tcW w:w="1460" w:type="dxa"/>
          </w:tcPr>
          <w:p w:rsidR="00BE1BB2" w:rsidRPr="003201D5" w:rsidRDefault="00BE1BB2" w:rsidP="00BE1BB2">
            <w:pPr>
              <w:pStyle w:val="Tabele"/>
            </w:pPr>
            <w:r w:rsidRPr="003201D5">
              <w:t>100%</w:t>
            </w:r>
          </w:p>
        </w:tc>
      </w:tr>
    </w:tbl>
    <w:p w:rsidR="00BE1BB2" w:rsidRPr="003201D5" w:rsidRDefault="00BE1BB2" w:rsidP="00BE1BB2">
      <w:pPr>
        <w:pStyle w:val="Paragrafi"/>
        <w:rPr>
          <w:lang w:val="sq-AL"/>
        </w:rPr>
      </w:pPr>
    </w:p>
    <w:p w:rsidR="00BE1BB2" w:rsidRPr="003201D5" w:rsidRDefault="00BE1BB2" w:rsidP="00BE1BB2">
      <w:pPr>
        <w:pStyle w:val="Paragrafi"/>
        <w:rPr>
          <w:lang w:val="sq-AL"/>
        </w:rPr>
      </w:pPr>
      <w:r w:rsidRPr="003201D5">
        <w:rPr>
          <w:lang w:val="sq-AL"/>
        </w:rPr>
        <w:t>Shënim: Paralizat e plota të ekstremiteteve ose të pjesëve të tyre janë baras me humbjen e ekstremiteteve. Humbja e plotë konsiderohet, gjithashtu rrudhja e muskujve ose cikatrizimit, ulceracionet kronike, mbulim i pamjaftueshëm i monkoneve të kockës, pas një amputacioni i të ngjiturit ose të humburit të tendinave, nëse ato shkaktojnë pa mundësi të plotë të përdoret ekstremiteti i dëmtuar ose një pjesë e tij.</w:t>
      </w:r>
    </w:p>
    <w:p w:rsidR="000178C2" w:rsidRPr="00BE1BB2" w:rsidRDefault="000178C2" w:rsidP="00BE1BB2">
      <w:pPr>
        <w:pStyle w:val="Paragrafi"/>
        <w:rPr>
          <w:lang w:val="sq-AL"/>
        </w:rPr>
      </w:pPr>
    </w:p>
    <w:sectPr w:rsidR="000178C2" w:rsidRPr="00BE1BB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1BB2"/>
    <w:rsid w:val="000178C2"/>
    <w:rsid w:val="007B52E8"/>
    <w:rsid w:val="00BE1BB2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348B9E-3585-4B31-85B4-CACAA4D7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BB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E1BB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BE1BB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E1BB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BE1BB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E1BB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BE1BB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BE1BB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abele">
    <w:name w:val="Tabele"/>
    <w:rsid w:val="00BE1BB2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BE1BB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BE1BB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BE1BB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E1BB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BE1BB2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Figure">
    <w:name w:val="Figure"/>
    <w:next w:val="Normal"/>
    <w:rsid w:val="00BE1BB2"/>
    <w:pPr>
      <w:widowControl w:val="0"/>
      <w:outlineLvl w:val="2"/>
    </w:pPr>
    <w:rPr>
      <w:rFonts w:ascii="CG Times" w:hAnsi="CG Times"/>
      <w:sz w:val="22"/>
    </w:rPr>
  </w:style>
  <w:style w:type="paragraph" w:customStyle="1" w:styleId="KreuNr">
    <w:name w:val="Kreu_Nr"/>
    <w:rsid w:val="00BE1BB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Normal"/>
    <w:rsid w:val="00BE1BB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TitulliNr">
    <w:name w:val="Titulli_Nr"/>
    <w:rsid w:val="00BE1BB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BE1BB2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7400</Words>
  <Characters>42184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49486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QBZ Admin</cp:lastModifiedBy>
  <cp:revision>2</cp:revision>
  <dcterms:created xsi:type="dcterms:W3CDTF">2019-04-03T13:31:00Z</dcterms:created>
  <dcterms:modified xsi:type="dcterms:W3CDTF">2019-04-03T13:31:00Z</dcterms:modified>
</cp:coreProperties>
</file>