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650" w:rsidRPr="0051752B" w:rsidRDefault="007F0650" w:rsidP="007F0650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Udhëzim</w:t>
      </w:r>
    </w:p>
    <w:p w:rsidR="007F0650" w:rsidRPr="0051752B" w:rsidRDefault="007F0650" w:rsidP="007F0650">
      <w:pPr>
        <w:pStyle w:val="NumriData"/>
        <w:keepNext w:val="0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Nr.</w:t>
      </w:r>
      <w:r w:rsidR="0051752B" w:rsidRPr="0051752B">
        <w:rPr>
          <w:rFonts w:ascii="Garamond" w:hAnsi="Garamond"/>
          <w:sz w:val="24"/>
          <w:szCs w:val="24"/>
          <w:lang w:val="it-IT"/>
        </w:rPr>
        <w:t xml:space="preserve"> </w:t>
      </w:r>
      <w:r w:rsidRPr="0051752B">
        <w:rPr>
          <w:rFonts w:ascii="Garamond" w:hAnsi="Garamond"/>
          <w:sz w:val="24"/>
          <w:szCs w:val="24"/>
          <w:lang w:val="it-IT"/>
        </w:rPr>
        <w:t>25, datë 30.11.2007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Për procedURat e shqyrtimit të vlerës doganore, burimet e informacionit dhe afatet e publikimit të dosjes me të dhëna të disponueshme, si dhe zhdoganimin e automjeteve dhe pjesëve të këmbimit të tyre</w:t>
      </w:r>
    </w:p>
    <w:p w:rsidR="007F0650" w:rsidRPr="0051752B" w:rsidRDefault="0051752B" w:rsidP="0051752B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51752B">
        <w:rPr>
          <w:rFonts w:ascii="Garamond" w:hAnsi="Garamond"/>
          <w:i/>
          <w:sz w:val="24"/>
          <w:szCs w:val="24"/>
          <w:lang w:val="it-IT"/>
        </w:rPr>
        <w:t>(Ndryshuar me udhëzimin nr. 27, datë 7.12.2011</w:t>
      </w:r>
      <w:r w:rsidR="001E0F0D">
        <w:rPr>
          <w:rFonts w:ascii="Garamond" w:hAnsi="Garamond"/>
          <w:i/>
          <w:sz w:val="24"/>
          <w:szCs w:val="24"/>
          <w:lang w:val="it-IT"/>
        </w:rPr>
        <w:t>; nr. 12, datë 3.4.2015</w:t>
      </w:r>
      <w:r w:rsidRPr="0051752B">
        <w:rPr>
          <w:rFonts w:ascii="Garamond" w:hAnsi="Garamond"/>
          <w:i/>
          <w:sz w:val="24"/>
          <w:szCs w:val="24"/>
          <w:lang w:val="it-IT"/>
        </w:rPr>
        <w:t>)</w:t>
      </w:r>
    </w:p>
    <w:p w:rsidR="0051752B" w:rsidRPr="0051752B" w:rsidRDefault="0051752B" w:rsidP="0051752B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51752B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51752B" w:rsidRPr="0051752B" w:rsidRDefault="0051752B" w:rsidP="0051752B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7F0650" w:rsidRPr="0051752B" w:rsidRDefault="007F0650" w:rsidP="001C699C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51752B">
        <w:rPr>
          <w:rFonts w:ascii="Garamond" w:hAnsi="Garamond"/>
          <w:sz w:val="24"/>
          <w:szCs w:val="24"/>
        </w:rPr>
        <w:t>Në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mbështetje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nenit</w:t>
      </w:r>
      <w:proofErr w:type="spellEnd"/>
      <w:r w:rsidRPr="0051752B">
        <w:rPr>
          <w:rFonts w:ascii="Garamond" w:hAnsi="Garamond"/>
          <w:sz w:val="24"/>
          <w:szCs w:val="24"/>
        </w:rPr>
        <w:t xml:space="preserve"> 102, </w:t>
      </w:r>
      <w:proofErr w:type="spellStart"/>
      <w:r w:rsidRPr="0051752B">
        <w:rPr>
          <w:rFonts w:ascii="Garamond" w:hAnsi="Garamond"/>
          <w:sz w:val="24"/>
          <w:szCs w:val="24"/>
        </w:rPr>
        <w:t>pika</w:t>
      </w:r>
      <w:proofErr w:type="spellEnd"/>
      <w:r w:rsidRPr="0051752B">
        <w:rPr>
          <w:rFonts w:ascii="Garamond" w:hAnsi="Garamond"/>
          <w:sz w:val="24"/>
          <w:szCs w:val="24"/>
        </w:rPr>
        <w:t xml:space="preserve"> 4 </w:t>
      </w:r>
      <w:proofErr w:type="spellStart"/>
      <w:r w:rsidRPr="0051752B">
        <w:rPr>
          <w:rFonts w:ascii="Garamond" w:hAnsi="Garamond"/>
          <w:sz w:val="24"/>
          <w:szCs w:val="24"/>
        </w:rPr>
        <w:t>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Kushtetutës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dhe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në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zbatim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nenit</w:t>
      </w:r>
      <w:proofErr w:type="spellEnd"/>
      <w:r w:rsidRPr="0051752B">
        <w:rPr>
          <w:rFonts w:ascii="Garamond" w:hAnsi="Garamond"/>
          <w:sz w:val="24"/>
          <w:szCs w:val="24"/>
        </w:rPr>
        <w:t xml:space="preserve"> 36 </w:t>
      </w:r>
      <w:proofErr w:type="spellStart"/>
      <w:r w:rsidRPr="0051752B">
        <w:rPr>
          <w:rFonts w:ascii="Garamond" w:hAnsi="Garamond"/>
          <w:sz w:val="24"/>
          <w:szCs w:val="24"/>
        </w:rPr>
        <w:t>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ligjit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nr</w:t>
      </w:r>
      <w:proofErr w:type="spellEnd"/>
      <w:r w:rsidRPr="0051752B">
        <w:rPr>
          <w:rFonts w:ascii="Garamond" w:hAnsi="Garamond"/>
          <w:sz w:val="24"/>
          <w:szCs w:val="24"/>
        </w:rPr>
        <w:t>.</w:t>
      </w:r>
      <w:r w:rsidR="001E0F0D">
        <w:rPr>
          <w:rFonts w:ascii="Garamond" w:hAnsi="Garamond"/>
          <w:sz w:val="24"/>
          <w:szCs w:val="24"/>
        </w:rPr>
        <w:t xml:space="preserve"> </w:t>
      </w:r>
      <w:r w:rsidRPr="0051752B">
        <w:rPr>
          <w:rFonts w:ascii="Garamond" w:hAnsi="Garamond"/>
          <w:sz w:val="24"/>
          <w:szCs w:val="24"/>
        </w:rPr>
        <w:t xml:space="preserve">8449, </w:t>
      </w:r>
      <w:proofErr w:type="spellStart"/>
      <w:r w:rsidRPr="0051752B">
        <w:rPr>
          <w:rFonts w:ascii="Garamond" w:hAnsi="Garamond"/>
          <w:sz w:val="24"/>
          <w:szCs w:val="24"/>
        </w:rPr>
        <w:t>datë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27.1.1999 “</w:t>
      </w:r>
      <w:proofErr w:type="spellStart"/>
      <w:r w:rsidRPr="0051752B">
        <w:rPr>
          <w:rFonts w:ascii="Garamond" w:hAnsi="Garamond"/>
          <w:sz w:val="24"/>
          <w:szCs w:val="24"/>
        </w:rPr>
        <w:t>Kodi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Doganor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në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Republikën</w:t>
      </w:r>
      <w:proofErr w:type="spellEnd"/>
      <w:r w:rsidRPr="0051752B">
        <w:rPr>
          <w:rFonts w:ascii="Garamond" w:hAnsi="Garamond"/>
          <w:sz w:val="24"/>
          <w:szCs w:val="24"/>
        </w:rPr>
        <w:t xml:space="preserve"> e </w:t>
      </w:r>
      <w:proofErr w:type="spellStart"/>
      <w:r w:rsidRPr="0051752B">
        <w:rPr>
          <w:rFonts w:ascii="Garamond" w:hAnsi="Garamond"/>
          <w:sz w:val="24"/>
          <w:szCs w:val="24"/>
        </w:rPr>
        <w:t>Shqipërisë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1752B">
        <w:rPr>
          <w:rFonts w:ascii="Garamond" w:hAnsi="Garamond"/>
          <w:sz w:val="24"/>
          <w:szCs w:val="24"/>
        </w:rPr>
        <w:t>i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ndryshuar</w:t>
      </w:r>
      <w:proofErr w:type="spellEnd"/>
      <w:r w:rsidRPr="0051752B">
        <w:rPr>
          <w:rFonts w:ascii="Garamond" w:hAnsi="Garamond"/>
          <w:sz w:val="24"/>
          <w:szCs w:val="24"/>
        </w:rPr>
        <w:t xml:space="preserve">, </w:t>
      </w:r>
      <w:proofErr w:type="spellStart"/>
      <w:r w:rsidRPr="0051752B">
        <w:rPr>
          <w:rFonts w:ascii="Garamond" w:hAnsi="Garamond"/>
          <w:sz w:val="24"/>
          <w:szCs w:val="24"/>
        </w:rPr>
        <w:t>si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dhe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në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pikën</w:t>
      </w:r>
      <w:proofErr w:type="spellEnd"/>
      <w:r w:rsidRPr="0051752B">
        <w:rPr>
          <w:rFonts w:ascii="Garamond" w:hAnsi="Garamond"/>
          <w:sz w:val="24"/>
          <w:szCs w:val="24"/>
        </w:rPr>
        <w:t xml:space="preserve"> 81.4 </w:t>
      </w:r>
      <w:proofErr w:type="spellStart"/>
      <w:r w:rsidRPr="0051752B">
        <w:rPr>
          <w:rFonts w:ascii="Garamond" w:hAnsi="Garamond"/>
          <w:sz w:val="24"/>
          <w:szCs w:val="24"/>
        </w:rPr>
        <w:t>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vendimit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Këshillit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Ministrave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nr</w:t>
      </w:r>
      <w:proofErr w:type="spellEnd"/>
      <w:r w:rsidRPr="0051752B">
        <w:rPr>
          <w:rFonts w:ascii="Garamond" w:hAnsi="Garamond"/>
          <w:sz w:val="24"/>
          <w:szCs w:val="24"/>
        </w:rPr>
        <w:t>.</w:t>
      </w:r>
      <w:r w:rsidR="001E0F0D">
        <w:rPr>
          <w:rFonts w:ascii="Garamond" w:hAnsi="Garamond"/>
          <w:sz w:val="24"/>
          <w:szCs w:val="24"/>
        </w:rPr>
        <w:t xml:space="preserve"> </w:t>
      </w:r>
      <w:r w:rsidRPr="0051752B">
        <w:rPr>
          <w:rFonts w:ascii="Garamond" w:hAnsi="Garamond"/>
          <w:sz w:val="24"/>
          <w:szCs w:val="24"/>
        </w:rPr>
        <w:t xml:space="preserve">686, </w:t>
      </w:r>
      <w:proofErr w:type="spellStart"/>
      <w:r w:rsidRPr="0051752B">
        <w:rPr>
          <w:rFonts w:ascii="Garamond" w:hAnsi="Garamond"/>
          <w:sz w:val="24"/>
          <w:szCs w:val="24"/>
        </w:rPr>
        <w:t>datë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2.11.2005 me </w:t>
      </w:r>
      <w:proofErr w:type="spellStart"/>
      <w:r w:rsidRPr="0051752B">
        <w:rPr>
          <w:rFonts w:ascii="Garamond" w:hAnsi="Garamond"/>
          <w:sz w:val="24"/>
          <w:szCs w:val="24"/>
        </w:rPr>
        <w:t>propozimin</w:t>
      </w:r>
      <w:proofErr w:type="spellEnd"/>
      <w:r w:rsidRPr="0051752B">
        <w:rPr>
          <w:rFonts w:ascii="Garamond" w:hAnsi="Garamond"/>
          <w:sz w:val="24"/>
          <w:szCs w:val="24"/>
        </w:rPr>
        <w:t xml:space="preserve"> e </w:t>
      </w:r>
      <w:proofErr w:type="spellStart"/>
      <w:r w:rsidRPr="0051752B">
        <w:rPr>
          <w:rFonts w:ascii="Garamond" w:hAnsi="Garamond"/>
          <w:sz w:val="24"/>
          <w:szCs w:val="24"/>
        </w:rPr>
        <w:t>Komisionit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r w:rsidRPr="0051752B">
        <w:rPr>
          <w:rFonts w:ascii="Garamond" w:hAnsi="Garamond"/>
          <w:i/>
          <w:sz w:val="24"/>
          <w:szCs w:val="24"/>
        </w:rPr>
        <w:t>ad-hoc</w:t>
      </w:r>
      <w:r w:rsidRPr="0051752B">
        <w:rPr>
          <w:rFonts w:ascii="Garamond" w:hAnsi="Garamond"/>
          <w:sz w:val="24"/>
          <w:szCs w:val="24"/>
        </w:rPr>
        <w:t xml:space="preserve">, </w:t>
      </w:r>
      <w:proofErr w:type="spellStart"/>
      <w:r w:rsidRPr="0051752B">
        <w:rPr>
          <w:rFonts w:ascii="Garamond" w:hAnsi="Garamond"/>
          <w:sz w:val="24"/>
          <w:szCs w:val="24"/>
        </w:rPr>
        <w:t>Ministri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i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Financave</w:t>
      </w:r>
      <w:proofErr w:type="spellEnd"/>
    </w:p>
    <w:p w:rsidR="007F0650" w:rsidRPr="0051752B" w:rsidRDefault="007F0650" w:rsidP="007F0650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Udhëzon: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Sesioni I: Mbi procedurat e shqyrtimit të vlerës doganore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1. Me qëllim standardizimin e procedurave të shqyrtimit të vlerës së mallit për të evituar arbitraritetin, abuzivitetin dhe pabarazinë, në zbatim të neneve 34-39 të Kodit Doganor procedurat e shqyrtimit të vlerës doganore fillojnë me pranimin ose jo të vlerës së transaksionit të deklaruar, sipas indikatorëve të përcaktuar në pikën 2 të këtij udhëzimi.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 Indikatorët mbi të cilat do të mbështetet kjo analizë janë: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 vlerat e mallrave identike apo të ngjashme të pranuara me transaksionin në sistemin doganor brenda 3 muajve të fundit;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2.2 vlera të konfirmuara nga verifikimi i faturave që kanë rezultuar me diferenca;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2.3 vlera e mallrave të dërguara zyrtarisht nga Drejtoria e Përgjithshme e Doganave si të dhëna të disponueshme etj.;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2.4 vlera e produktit nuk mund të jetë më e ulët se vlera e lëndës së parë me të cilën është prodhuar;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 xml:space="preserve">2.5 vendi i origjinës me risk: Azisë, Lindjes së Largët, vendeve arabe, zonave të lira (zona </w:t>
      </w:r>
      <w:r w:rsidRPr="0051752B">
        <w:rPr>
          <w:rFonts w:ascii="Garamond" w:hAnsi="Garamond"/>
          <w:i/>
          <w:sz w:val="24"/>
          <w:szCs w:val="24"/>
          <w:lang w:val="it-IT"/>
        </w:rPr>
        <w:t>off-shore</w:t>
      </w:r>
      <w:r w:rsidRPr="0051752B">
        <w:rPr>
          <w:rFonts w:ascii="Garamond" w:hAnsi="Garamond"/>
          <w:sz w:val="24"/>
          <w:szCs w:val="24"/>
          <w:lang w:val="it-IT"/>
        </w:rPr>
        <w:t>), Amerika Latine;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2.6 në vendin e deklaruar si origjinë malli i deklaruar nuk prodhohet;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2.7 vulat te certifikatat e origjinës janë të dyshimta;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2.8 fatura nuk është lëshuar nga prodhuesi;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2.9 vendi i origjinës ndryshon nga vendi nga ku transportohet malli;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51752B">
        <w:rPr>
          <w:rFonts w:ascii="Garamond" w:hAnsi="Garamond"/>
          <w:sz w:val="24"/>
          <w:szCs w:val="24"/>
          <w:lang w:val="en-GB"/>
        </w:rPr>
        <w:t xml:space="preserve">2.10 </w:t>
      </w:r>
      <w:proofErr w:type="spellStart"/>
      <w:r w:rsidRPr="0051752B">
        <w:rPr>
          <w:rFonts w:ascii="Garamond" w:hAnsi="Garamond"/>
          <w:sz w:val="24"/>
          <w:szCs w:val="24"/>
          <w:lang w:val="en-GB"/>
        </w:rPr>
        <w:t>marrësi</w:t>
      </w:r>
      <w:proofErr w:type="spellEnd"/>
      <w:r w:rsidRPr="0051752B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51752B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n-GB"/>
        </w:rPr>
        <w:t>mallit</w:t>
      </w:r>
      <w:proofErr w:type="spellEnd"/>
      <w:r w:rsidRPr="0051752B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n-GB"/>
        </w:rPr>
        <w:t>ka</w:t>
      </w:r>
      <w:proofErr w:type="spellEnd"/>
      <w:r w:rsidRPr="0051752B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n-GB"/>
        </w:rPr>
        <w:t>historik</w:t>
      </w:r>
      <w:proofErr w:type="spellEnd"/>
      <w:r w:rsidRPr="0051752B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n-GB"/>
        </w:rPr>
        <w:t>shkeljesh</w:t>
      </w:r>
      <w:proofErr w:type="spellEnd"/>
      <w:r w:rsidRPr="0051752B">
        <w:rPr>
          <w:rFonts w:ascii="Garamond" w:hAnsi="Garamond"/>
          <w:sz w:val="24"/>
          <w:szCs w:val="24"/>
          <w:lang w:val="en-GB"/>
        </w:rPr>
        <w:t>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2.11 vendi i ngarkimit nuk korrespondon me vendin e adresën e eksportuesit;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2.12 mallrat janë të grupuara;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2.13 përshkrimi i mallrave në faturë nuk është i plotë ose me gabime;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2.14 në faturë nuk jepet informacion i plotë, mungojnë të dhënat tel/faks, e-mail,adresë dhe numri i regjistrit fiskal;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2.15 eksporti i mallit bëhet nga kompani transportuese;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2.16 dërguesi dhe marrësi i mallit janë të lidhur duke krijuar lehtësi për ulje vlere, me kushte përfitimi në fushën e marketingut, investimeve, hyrjes në treg etj.;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2.17 itinierari i transportit të përdorur është i gjatë dhe i pamotivuar ose arsyetuar;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2.18 metoda e pagesës është me para në dorë ose parapagim;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2.19 dokumente jo të printuara por të shkruajtura me dorë;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2.20 diferenca në kohë midis datës së lëshimit të CMR/TIR dhe datës së fillimit të udhëtimit;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2.21 kosto e transportit jo e pajtueshme me çmimet e mallrave të deklaruara;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lastRenderedPageBreak/>
        <w:t>2.22 kontratë me firmën shitëse;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2.23 deklaratë eksporti nga vendi eksportues;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2.24 fatura të sigurimit të mallit;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2.25 dokumentacione të tjera shtesë që lidhen me sasinë, vlerën, origjinën, transportin, magazinimin, transitimin, mënyrën e pagesës, dokumente justifikuese të kushteve të livrimit të mallit. Për shembull në rastet e deklarimit të kushtit CIF, mund të kërkohen faturat e pagesave për transport dhe siguracion malli.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3. Nëse nga analiza e indikatorëve të mësipërm justifikohet plotësisht vlera e deklaruar pranohet vlera e transaksionit. Në rastet, kur vlera e deklaruar krahasuar me të “dhënat e disponueshme” të përmendura më sipër është dukshëm më e ulët praktika e plotë i dërgohet për verifikim Departamentit Operativ Hetimor-Drejtorisë së Inteligjencies dhe një kopje njësisë së kontrolleve aposteriori, që janë përgjegjës për verifikimin e plotë brenda dhe jashtë vendit.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Në rastet që rezultojnë të rregullta, pas verifikimit nga Drejtoritë përkatëse dhe përgjegjëse për shqyrtimin e praktikës, i kthehet përgjigje degës doganore përkatëse, ku është kryer deklarimi. Shkresa në emër të Drejtorit të Përgjithshëm përpilohet nga drejtoria që ka kryer konfirmimin, gjithashtu informohet dhe Zëvendësdrejtori i Përgjithshëm Teknik.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Në rastet kur ka diferenca në sasi, vlerë, cilësi, origjinë etj., zbatohet neni 261 i Kodit Doganor që parashikon penalizim për kundërvajtjet administrative. Gjithashtu për këto raste informohet Zëvendësdrejtori i Përgjithshëm Teknik.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4. Nëse nga analiza e indikatorëve të mësipërm, nuk justifikohet plotësisht vlera e transaksionit e deklaruar, pra është e dyshuar, njoftohet me shkrim deklaruesi (agjencia doganore ose përfaqësuesi) në rast se kërkohet nga subjekti deklarues.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Në zbatim të nenit 345 të Kodit Doganor, mund të përdoren metoda alternative të vlerësimit të mallrave (mallra identike/të ngjashme). Kjo e bazuar në të dhënat e transaksioneve të pranuara. Këto të dhëna janë të disponueshme edhe në formë elektronike, përmes moduleve të veçanta të ndërtuara për këtë qëllim në nivel qendror.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5. Vetëm në rastet, kur nuk është e mundur që çmimi i mallit të përcaktohet sipas procedurave të përcaktuar më sipër bazuar në nenet 34, 35 të Kodit Doganor, si bazë vlerësimi mund të përdoret “dosja e të dhënave të disponueshme”.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5.1 Në rastet, kur njësia matëse e mallit të deklaruar nuk i korrespondon njësisë matëse të mallit të përshkruar në dosjen e të dhënave të disponueshme, të bëhet konvertmi i njësisë matëse duke aplikuar njësinë matëse të përshkruar në dosje.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5.2 Në rastet, kur për mallin e deklaruar nuk është e mundur të gjendet në “dosjen e të dhënave të disponueshme”atëherë në degën doganore ngrihet grup pune për përcaktimin e vlerës së mallit dhe vihet në dijeni zyrtarisht me shkrim Zëvendësdrejtori i Departamentit Teknik.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5/3 Në rastet e deklarimit të mallrave me pjesë, vlera e pjesëve duhet llogaritur sipas peshës që zë në vlerën e mallit të përfunduar.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5.4 Në rastet e importit të mallrave të përdorura nga dega doganore të ngrihet komision për vlerësimin e tyre që duhet të përcaktojë shkallën e amortizimit të mallrave për të cilat bazë llogaritjesh duhet të jenë vlera referuese, viti i prodhimit dhe vlera e llogaritur nuk mund të jetë më e vogël se 30% e vlerës së mallit të ri.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6. Përcaktimi i vlerës së mallit bazuar në pikat e mësipërme, gjithmonë duhet të shoqërohet nga një procesverbal sipas shtojcës 1 bashkëlidhur këtij udhëzimi, ku duhet të plotësohen indikatorët e kontrolluar me shenjë “X”. Shqyrtimi i mostrave të mallit, duhet të jetë pjesë e detyrueshme e procedurave të vlerësimit të mallit.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7. Monitorimi dhe mbikëqyrja e procedurave të parashikuara në këtë udhëzim është detyrë e Drejtorisë së Kontrollit të Brendshëm, Njësisë së kontrolleve aposteriori, sektorit të vlerës, drejtorisë së informacionit.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8. Strukturat e parashikuara në pikën 7 dërgojnë me miratim të eprorëve të drejtpërdrejtë për dijeni informacion me shkrim te Zëvendësdrejtori i Përgjithshëm Teknik për shkeljet e konstatuara, si  dhe vënë në dijeni eprorët e punonjësve që iu janë konstatuar shkelje.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lastRenderedPageBreak/>
        <w:t>9. Bashkëngjitur do të gjeni dy ankese 1 dhe 2 të këtij udhëzimi, që janë pjesë përbërëse e tij: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Aneks 1: Indikatorët e shqyrtimit të vlerës doganore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Aneks 2: Inkotermat e azhurnuar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Sesioni II: Burimet e informacionit dhe afatet e publikimit të dosjes me të dhëna të disponueshme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10. Si burim informacioni për krijimin e dosjes me “Të dhënat e disponueshme” shërbejnë burimet e përcaktuara në pikat 10.1 deri në pikën 10.7, si më poshtë vijon:</w:t>
      </w:r>
    </w:p>
    <w:p w:rsidR="007F0650" w:rsidRPr="001E0F0D" w:rsidRDefault="007F0650" w:rsidP="001E0F0D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1752B">
        <w:rPr>
          <w:rFonts w:ascii="Garamond" w:hAnsi="Garamond"/>
          <w:sz w:val="24"/>
          <w:szCs w:val="24"/>
          <w:lang w:val="it-IT"/>
        </w:rPr>
        <w:t xml:space="preserve">10.1 </w:t>
      </w:r>
      <w:r w:rsidR="001E0F0D" w:rsidRPr="001E0F0D">
        <w:rPr>
          <w:rFonts w:ascii="Garamond" w:hAnsi="Garamond"/>
          <w:i/>
          <w:spacing w:val="-4"/>
          <w:sz w:val="24"/>
          <w:szCs w:val="24"/>
          <w:lang w:val="sq-AL"/>
        </w:rPr>
        <w:t>Çmimet e tregjeve ndërkombëtare, të marra nga Agjencia “</w:t>
      </w:r>
      <w:proofErr w:type="spellStart"/>
      <w:r w:rsidR="001E0F0D" w:rsidRPr="001E0F0D">
        <w:rPr>
          <w:rFonts w:ascii="Garamond" w:hAnsi="Garamond"/>
          <w:i/>
          <w:spacing w:val="-4"/>
          <w:sz w:val="24"/>
          <w:szCs w:val="24"/>
          <w:lang w:val="sq-AL"/>
        </w:rPr>
        <w:t>Thompson</w:t>
      </w:r>
      <w:proofErr w:type="spellEnd"/>
      <w:r w:rsidR="001E0F0D" w:rsidRPr="001E0F0D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proofErr w:type="spellStart"/>
      <w:r w:rsidR="001E0F0D" w:rsidRPr="001E0F0D">
        <w:rPr>
          <w:rFonts w:ascii="Garamond" w:hAnsi="Garamond"/>
          <w:i/>
          <w:spacing w:val="-4"/>
          <w:sz w:val="24"/>
          <w:szCs w:val="24"/>
          <w:lang w:val="sq-AL"/>
        </w:rPr>
        <w:t>Reuters</w:t>
      </w:r>
      <w:proofErr w:type="spellEnd"/>
      <w:r w:rsidR="001E0F0D" w:rsidRPr="001E0F0D">
        <w:rPr>
          <w:rFonts w:ascii="Garamond" w:hAnsi="Garamond"/>
          <w:i/>
          <w:spacing w:val="-4"/>
          <w:sz w:val="24"/>
          <w:szCs w:val="24"/>
          <w:lang w:val="sq-AL"/>
        </w:rPr>
        <w:t xml:space="preserve">” </w:t>
      </w:r>
      <w:proofErr w:type="spellStart"/>
      <w:r w:rsidR="001E0F0D" w:rsidRPr="001E0F0D">
        <w:rPr>
          <w:rFonts w:ascii="Garamond" w:hAnsi="Garamond"/>
          <w:i/>
          <w:spacing w:val="-4"/>
          <w:sz w:val="24"/>
          <w:szCs w:val="24"/>
          <w:lang w:val="sq-AL"/>
        </w:rPr>
        <w:t>PLATTIS</w:t>
      </w:r>
      <w:proofErr w:type="spellEnd"/>
      <w:r w:rsidR="001E0F0D" w:rsidRPr="001E0F0D">
        <w:rPr>
          <w:rFonts w:ascii="Garamond" w:hAnsi="Garamond"/>
          <w:i/>
          <w:spacing w:val="-4"/>
          <w:sz w:val="24"/>
          <w:szCs w:val="24"/>
          <w:lang w:val="sq-AL"/>
        </w:rPr>
        <w:t>. Informimi për të dhënat e marra nga këto agjenci, të bëhet drejtpërsëdrejti nga Drejtoria e Përgjithshme e Doganave</w:t>
      </w:r>
      <w:r w:rsidR="001E0F0D" w:rsidRPr="001E0F0D">
        <w:rPr>
          <w:rFonts w:ascii="Garamond" w:hAnsi="Garamond"/>
          <w:spacing w:val="-4"/>
          <w:sz w:val="24"/>
          <w:szCs w:val="24"/>
          <w:lang w:val="sq-AL"/>
        </w:rPr>
        <w:t>;</w:t>
      </w:r>
      <w:bookmarkStart w:id="0" w:name="_GoBack"/>
      <w:bookmarkEnd w:id="0"/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10.2 Buletine të tjera zyrtare ndërkombëtare, që mund të përdoren për vlerësimin doganor të çmimeve të çeliqeve, si “Steel Week” Metal Bulletin”;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10.3 Fatura të konfirmuara nga Departamenti Operativo-Hetimor (DOH), marrëveshjet me homologët doganorë;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10.4 Çmime të publikuara në Eurostat dhe Organizata Botërore e Tregtisë (OBT);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10.5 Buletine të çmimeve të automjeteve si: “Quattroroute”, “Tuttotransproti”, “Zacke” dhe TecDoc;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10.6 Të dhëna statistikore të nxjerra nga Drejtoria e Përgjithshme e Doganave;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10.7 Statistikat e Organizatës së Kombeve të Bashkuara (OKB) për tregtinë.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10.8 Oferta dhe publikimi nga interneti etj.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11.  Afatet e azhurnimit dhe publikimit të çmimeve janë përcaktuar si më poshtë, në pikat 11.1,11.2,11.3 dhe 11.4.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11.1 Për artikujt e karburanteve të tilla si benzinë, gazoil, mazut, vajgurë, gazi i lëngshëm (butan,propan), sektori i vlerës harton shkresën dhe, pas firmosjes nga titullarët e institucionit e dërgon me faks në qendrën e ndërlidhjes së DPD-së dhe kjo e fundit e dërgon me faks në degët doganore, afati i publikimit është çdo ditë.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11.2 Për artikujt grurë dhe misër, sektori i vlerës harton shkresën dhe, pas firmosjes nga titullarët e institucionit e dërgon me faks në qendrën e ndërlidhjes së DPD-së dhe kjo e fundit e dërgon me faks në degët doganore, afati i publikimit është çdo muaj. Nëse brenda kësaj periudhe ndryshimet janë ±10% e çmimit të publikuar, atëherë bëhet publikimi i ri i tij, si më sipër.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11.3 Për artikujt oriz, sheqer, vaj ushqimor, miell dhe produktet e çelikut si hekur ndërtimi, llamarinë e zezë, profile çeliku, tel, prokate, skrape, llamarinë inoksi etj., afati i publikimit është çdo muaj. Nëse brenda kësaj periudhe ndryshimet janë±10% e çmimit të publikuar, atëherë bëhet publikimi i ri i tij.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11.4 Artikujt të tjerë të papërfshirë në pikat 11.1, 11.2 dhe 11.3 përditësohen duke u bazuar në burimet e përmendura në pikën 10 sa herë që ka luhatje çmimesh. Nëse brenda kësaj periudhe ndryshimet janë±10% e çmimit të publikuar, atëherë bëhet publikimi i ri i tij.</w:t>
      </w:r>
    </w:p>
    <w:p w:rsidR="007F0650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11.5 Për artikujt që nuk është siguruar informacion nga burimet e përmendura në pikën 10, vendosja apo rishikimi i çmimeve të tyre në dosjen me të dhëna të disponueshme”, të bëhet nga sektori i vlerës në Drejtorinë e Përgjithshme të Doganave.</w:t>
      </w:r>
    </w:p>
    <w:p w:rsidR="00A82795" w:rsidRPr="00A82795" w:rsidRDefault="00A82795" w:rsidP="00A82795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proofErr w:type="spellStart"/>
      <w:r w:rsidRPr="00A82795">
        <w:rPr>
          <w:rFonts w:ascii="Garamond" w:hAnsi="Garamond"/>
          <w:i/>
          <w:lang w:bidi="en-US"/>
        </w:rPr>
        <w:t>Miratimi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i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vlerave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për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artikujt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që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publikohen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në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bursën</w:t>
      </w:r>
      <w:proofErr w:type="spellEnd"/>
      <w:r w:rsidRPr="00A82795">
        <w:rPr>
          <w:rFonts w:ascii="Garamond" w:hAnsi="Garamond"/>
          <w:i/>
          <w:lang w:bidi="en-US"/>
        </w:rPr>
        <w:t xml:space="preserve"> “Reuters”, </w:t>
      </w:r>
      <w:proofErr w:type="spellStart"/>
      <w:r w:rsidRPr="00A82795">
        <w:rPr>
          <w:rFonts w:ascii="Garamond" w:hAnsi="Garamond"/>
          <w:i/>
          <w:lang w:bidi="en-US"/>
        </w:rPr>
        <w:t>si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dhe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në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buletine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të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posaçme</w:t>
      </w:r>
      <w:proofErr w:type="spellEnd"/>
      <w:r w:rsidRPr="00A82795">
        <w:rPr>
          <w:rFonts w:ascii="Garamond" w:hAnsi="Garamond"/>
          <w:i/>
          <w:lang w:bidi="en-US"/>
        </w:rPr>
        <w:t xml:space="preserve">, </w:t>
      </w:r>
      <w:proofErr w:type="spellStart"/>
      <w:r w:rsidRPr="00A82795">
        <w:rPr>
          <w:rFonts w:ascii="Garamond" w:hAnsi="Garamond"/>
          <w:i/>
          <w:lang w:bidi="en-US"/>
        </w:rPr>
        <w:t>bëhet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nga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Drejtoria</w:t>
      </w:r>
      <w:proofErr w:type="spellEnd"/>
      <w:r w:rsidRPr="00A82795">
        <w:rPr>
          <w:rFonts w:ascii="Garamond" w:hAnsi="Garamond"/>
          <w:i/>
          <w:lang w:bidi="en-US"/>
        </w:rPr>
        <w:t xml:space="preserve"> e </w:t>
      </w:r>
      <w:proofErr w:type="spellStart"/>
      <w:r w:rsidRPr="00A82795">
        <w:rPr>
          <w:rFonts w:ascii="Garamond" w:hAnsi="Garamond"/>
          <w:i/>
          <w:lang w:bidi="en-US"/>
        </w:rPr>
        <w:t>Përgjithshme</w:t>
      </w:r>
      <w:proofErr w:type="spellEnd"/>
      <w:r w:rsidRPr="00A82795">
        <w:rPr>
          <w:rFonts w:ascii="Garamond" w:hAnsi="Garamond"/>
          <w:i/>
          <w:lang w:bidi="en-US"/>
        </w:rPr>
        <w:t xml:space="preserve"> e </w:t>
      </w:r>
      <w:proofErr w:type="spellStart"/>
      <w:r w:rsidRPr="00A82795">
        <w:rPr>
          <w:rFonts w:ascii="Garamond" w:hAnsi="Garamond"/>
          <w:i/>
          <w:lang w:bidi="en-US"/>
        </w:rPr>
        <w:t>Doganave</w:t>
      </w:r>
      <w:proofErr w:type="spellEnd"/>
      <w:r w:rsidRPr="00A82795">
        <w:rPr>
          <w:rFonts w:ascii="Garamond" w:hAnsi="Garamond"/>
          <w:i/>
          <w:lang w:bidi="en-US"/>
        </w:rPr>
        <w:t xml:space="preserve">. </w:t>
      </w:r>
      <w:proofErr w:type="spellStart"/>
      <w:r w:rsidRPr="00A82795">
        <w:rPr>
          <w:rFonts w:ascii="Garamond" w:hAnsi="Garamond"/>
          <w:i/>
          <w:lang w:bidi="en-US"/>
        </w:rPr>
        <w:t>Të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tillë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artikuj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janë</w:t>
      </w:r>
      <w:proofErr w:type="spellEnd"/>
      <w:r w:rsidRPr="00A82795">
        <w:rPr>
          <w:rFonts w:ascii="Garamond" w:hAnsi="Garamond"/>
          <w:i/>
          <w:lang w:bidi="en-US"/>
        </w:rPr>
        <w:t>:</w:t>
      </w:r>
    </w:p>
    <w:p w:rsidR="00A82795" w:rsidRPr="00A82795" w:rsidRDefault="00A82795" w:rsidP="00A82795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r w:rsidRPr="00A82795">
        <w:rPr>
          <w:rFonts w:ascii="Garamond" w:hAnsi="Garamond"/>
          <w:i/>
          <w:lang w:bidi="en-US"/>
        </w:rPr>
        <w:t xml:space="preserve">a) </w:t>
      </w:r>
      <w:proofErr w:type="spellStart"/>
      <w:r w:rsidRPr="00A82795">
        <w:rPr>
          <w:rFonts w:ascii="Garamond" w:hAnsi="Garamond"/>
          <w:i/>
          <w:lang w:bidi="en-US"/>
        </w:rPr>
        <w:t>Artikujt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që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publikohen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në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bursën</w:t>
      </w:r>
      <w:proofErr w:type="spellEnd"/>
      <w:r w:rsidRPr="00A82795">
        <w:rPr>
          <w:rFonts w:ascii="Garamond" w:hAnsi="Garamond"/>
          <w:i/>
          <w:lang w:bidi="en-US"/>
        </w:rPr>
        <w:t xml:space="preserve"> “Reuters”- </w:t>
      </w:r>
      <w:proofErr w:type="spellStart"/>
      <w:r w:rsidRPr="00A82795">
        <w:rPr>
          <w:rFonts w:ascii="Garamond" w:hAnsi="Garamond"/>
          <w:i/>
          <w:lang w:bidi="en-US"/>
        </w:rPr>
        <w:t>oriz</w:t>
      </w:r>
      <w:proofErr w:type="spellEnd"/>
      <w:r w:rsidRPr="00A82795">
        <w:rPr>
          <w:rFonts w:ascii="Garamond" w:hAnsi="Garamond"/>
          <w:i/>
          <w:lang w:bidi="en-US"/>
        </w:rPr>
        <w:t xml:space="preserve">, </w:t>
      </w:r>
      <w:proofErr w:type="spellStart"/>
      <w:r w:rsidRPr="00A82795">
        <w:rPr>
          <w:rFonts w:ascii="Garamond" w:hAnsi="Garamond"/>
          <w:i/>
          <w:lang w:bidi="en-US"/>
        </w:rPr>
        <w:t>sheqer</w:t>
      </w:r>
      <w:proofErr w:type="spellEnd"/>
      <w:r w:rsidRPr="00A82795">
        <w:rPr>
          <w:rFonts w:ascii="Garamond" w:hAnsi="Garamond"/>
          <w:i/>
          <w:lang w:bidi="en-US"/>
        </w:rPr>
        <w:t xml:space="preserve">, </w:t>
      </w:r>
      <w:proofErr w:type="spellStart"/>
      <w:r w:rsidRPr="00A82795">
        <w:rPr>
          <w:rFonts w:ascii="Garamond" w:hAnsi="Garamond"/>
          <w:i/>
          <w:lang w:bidi="en-US"/>
        </w:rPr>
        <w:t>vaj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ushqimor</w:t>
      </w:r>
      <w:proofErr w:type="spellEnd"/>
      <w:r w:rsidRPr="00A82795">
        <w:rPr>
          <w:rFonts w:ascii="Garamond" w:hAnsi="Garamond"/>
          <w:i/>
          <w:lang w:bidi="en-US"/>
        </w:rPr>
        <w:t>.</w:t>
      </w:r>
    </w:p>
    <w:p w:rsidR="00A82795" w:rsidRPr="00A82795" w:rsidRDefault="00A82795" w:rsidP="00A82795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r w:rsidRPr="00A82795">
        <w:rPr>
          <w:rFonts w:ascii="Garamond" w:hAnsi="Garamond"/>
          <w:i/>
          <w:lang w:bidi="en-US"/>
        </w:rPr>
        <w:t xml:space="preserve">b) </w:t>
      </w:r>
      <w:proofErr w:type="spellStart"/>
      <w:r w:rsidRPr="00A82795">
        <w:rPr>
          <w:rFonts w:ascii="Garamond" w:hAnsi="Garamond"/>
          <w:i/>
          <w:lang w:bidi="en-US"/>
        </w:rPr>
        <w:t>Artikulli</w:t>
      </w:r>
      <w:proofErr w:type="spellEnd"/>
      <w:r w:rsidRPr="00A82795">
        <w:rPr>
          <w:rFonts w:ascii="Garamond" w:hAnsi="Garamond"/>
          <w:i/>
          <w:lang w:bidi="en-US"/>
        </w:rPr>
        <w:t xml:space="preserve"> “</w:t>
      </w:r>
      <w:proofErr w:type="spellStart"/>
      <w:r w:rsidRPr="00A82795">
        <w:rPr>
          <w:rFonts w:ascii="Garamond" w:hAnsi="Garamond"/>
          <w:i/>
          <w:lang w:bidi="en-US"/>
        </w:rPr>
        <w:t>Banane</w:t>
      </w:r>
      <w:proofErr w:type="spellEnd"/>
      <w:r w:rsidRPr="00A82795">
        <w:rPr>
          <w:rFonts w:ascii="Garamond" w:hAnsi="Garamond"/>
          <w:i/>
          <w:lang w:bidi="en-US"/>
        </w:rPr>
        <w:t xml:space="preserve">”, </w:t>
      </w:r>
      <w:proofErr w:type="spellStart"/>
      <w:r w:rsidRPr="00A82795">
        <w:rPr>
          <w:rFonts w:ascii="Garamond" w:hAnsi="Garamond"/>
          <w:i/>
          <w:lang w:bidi="en-US"/>
        </w:rPr>
        <w:t>që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publikohen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në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bursën</w:t>
      </w:r>
      <w:proofErr w:type="spellEnd"/>
      <w:r w:rsidRPr="00A82795">
        <w:rPr>
          <w:rFonts w:ascii="Garamond" w:hAnsi="Garamond"/>
          <w:i/>
          <w:lang w:bidi="en-US"/>
        </w:rPr>
        <w:t xml:space="preserve"> “Reuters”.</w:t>
      </w:r>
    </w:p>
    <w:p w:rsidR="00A82795" w:rsidRPr="00A82795" w:rsidRDefault="00A82795" w:rsidP="00A82795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r w:rsidRPr="00A82795">
        <w:rPr>
          <w:rFonts w:ascii="Garamond" w:hAnsi="Garamond"/>
          <w:i/>
          <w:lang w:bidi="en-US"/>
        </w:rPr>
        <w:t xml:space="preserve">c) </w:t>
      </w:r>
      <w:proofErr w:type="spellStart"/>
      <w:r w:rsidRPr="00A82795">
        <w:rPr>
          <w:rFonts w:ascii="Garamond" w:hAnsi="Garamond"/>
          <w:i/>
          <w:lang w:bidi="en-US"/>
        </w:rPr>
        <w:t>Autovetura</w:t>
      </w:r>
      <w:proofErr w:type="spellEnd"/>
      <w:r w:rsidRPr="00A82795">
        <w:rPr>
          <w:rFonts w:ascii="Garamond" w:hAnsi="Garamond"/>
          <w:i/>
          <w:lang w:bidi="en-US"/>
        </w:rPr>
        <w:t xml:space="preserve">, </w:t>
      </w:r>
      <w:proofErr w:type="spellStart"/>
      <w:r w:rsidRPr="00A82795">
        <w:rPr>
          <w:rFonts w:ascii="Garamond" w:hAnsi="Garamond"/>
          <w:i/>
          <w:lang w:bidi="en-US"/>
        </w:rPr>
        <w:t>vlera</w:t>
      </w:r>
      <w:proofErr w:type="spellEnd"/>
      <w:r w:rsidRPr="00A82795">
        <w:rPr>
          <w:rFonts w:ascii="Garamond" w:hAnsi="Garamond"/>
          <w:i/>
          <w:lang w:bidi="en-US"/>
        </w:rPr>
        <w:t xml:space="preserve"> e </w:t>
      </w:r>
      <w:proofErr w:type="spellStart"/>
      <w:r w:rsidRPr="00A82795">
        <w:rPr>
          <w:rFonts w:ascii="Garamond" w:hAnsi="Garamond"/>
          <w:i/>
          <w:lang w:bidi="en-US"/>
        </w:rPr>
        <w:t>të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cilave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publikohet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në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buletinin</w:t>
      </w:r>
      <w:proofErr w:type="spellEnd"/>
      <w:r w:rsidRPr="00A82795">
        <w:rPr>
          <w:rFonts w:ascii="Garamond" w:hAnsi="Garamond"/>
          <w:i/>
          <w:lang w:bidi="en-US"/>
        </w:rPr>
        <w:t xml:space="preserve"> “</w:t>
      </w:r>
      <w:proofErr w:type="spellStart"/>
      <w:r w:rsidRPr="00A82795">
        <w:rPr>
          <w:rFonts w:ascii="Garamond" w:hAnsi="Garamond"/>
          <w:i/>
          <w:lang w:bidi="en-US"/>
        </w:rPr>
        <w:t>Quattroroutte</w:t>
      </w:r>
      <w:proofErr w:type="spellEnd"/>
      <w:r w:rsidRPr="00A82795">
        <w:rPr>
          <w:rFonts w:ascii="Garamond" w:hAnsi="Garamond"/>
          <w:i/>
          <w:lang w:bidi="en-US"/>
        </w:rPr>
        <w:t>”.</w:t>
      </w:r>
    </w:p>
    <w:p w:rsidR="00A82795" w:rsidRPr="00A82795" w:rsidRDefault="00A82795" w:rsidP="00A82795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r w:rsidRPr="00A82795">
        <w:rPr>
          <w:rFonts w:ascii="Garamond" w:hAnsi="Garamond"/>
          <w:i/>
          <w:lang w:bidi="en-US"/>
        </w:rPr>
        <w:t xml:space="preserve">d) </w:t>
      </w:r>
      <w:proofErr w:type="spellStart"/>
      <w:r w:rsidRPr="00A82795">
        <w:rPr>
          <w:rFonts w:ascii="Garamond" w:hAnsi="Garamond"/>
          <w:i/>
          <w:lang w:bidi="en-US"/>
        </w:rPr>
        <w:t>Automjetet</w:t>
      </w:r>
      <w:proofErr w:type="spellEnd"/>
      <w:r w:rsidRPr="00A82795">
        <w:rPr>
          <w:rFonts w:ascii="Garamond" w:hAnsi="Garamond"/>
          <w:i/>
          <w:lang w:bidi="en-US"/>
        </w:rPr>
        <w:t xml:space="preserve">, </w:t>
      </w:r>
      <w:proofErr w:type="spellStart"/>
      <w:r w:rsidRPr="00A82795">
        <w:rPr>
          <w:rFonts w:ascii="Garamond" w:hAnsi="Garamond"/>
          <w:i/>
          <w:lang w:bidi="en-US"/>
        </w:rPr>
        <w:t>vlera</w:t>
      </w:r>
      <w:proofErr w:type="spellEnd"/>
      <w:r w:rsidRPr="00A82795">
        <w:rPr>
          <w:rFonts w:ascii="Garamond" w:hAnsi="Garamond"/>
          <w:i/>
          <w:lang w:bidi="en-US"/>
        </w:rPr>
        <w:t xml:space="preserve"> e </w:t>
      </w:r>
      <w:proofErr w:type="spellStart"/>
      <w:r w:rsidRPr="00A82795">
        <w:rPr>
          <w:rFonts w:ascii="Garamond" w:hAnsi="Garamond"/>
          <w:i/>
          <w:lang w:bidi="en-US"/>
        </w:rPr>
        <w:t>të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cilave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publikohet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në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buletinin</w:t>
      </w:r>
      <w:proofErr w:type="spellEnd"/>
      <w:r w:rsidRPr="00A82795">
        <w:rPr>
          <w:rFonts w:ascii="Garamond" w:hAnsi="Garamond"/>
          <w:i/>
          <w:lang w:bidi="en-US"/>
        </w:rPr>
        <w:t xml:space="preserve"> “</w:t>
      </w:r>
      <w:proofErr w:type="spellStart"/>
      <w:r w:rsidRPr="00A82795">
        <w:rPr>
          <w:rFonts w:ascii="Garamond" w:hAnsi="Garamond"/>
          <w:i/>
          <w:lang w:bidi="en-US"/>
        </w:rPr>
        <w:t>Tuttotrasporti</w:t>
      </w:r>
      <w:proofErr w:type="spellEnd"/>
      <w:r w:rsidRPr="00A82795">
        <w:rPr>
          <w:rFonts w:ascii="Garamond" w:hAnsi="Garamond"/>
          <w:i/>
          <w:lang w:bidi="en-US"/>
        </w:rPr>
        <w:t>”.</w:t>
      </w:r>
    </w:p>
    <w:p w:rsidR="00A82795" w:rsidRPr="00A82795" w:rsidRDefault="00A82795" w:rsidP="00A82795">
      <w:pPr>
        <w:widowControl w:val="0"/>
        <w:ind w:firstLine="720"/>
        <w:jc w:val="both"/>
        <w:rPr>
          <w:rFonts w:ascii="Garamond" w:hAnsi="Garamond"/>
          <w:i/>
          <w:lang w:eastAsia="ja-JP" w:bidi="en-US"/>
        </w:rPr>
      </w:pPr>
      <w:r w:rsidRPr="00A82795">
        <w:rPr>
          <w:rFonts w:ascii="Garamond" w:hAnsi="Garamond"/>
          <w:i/>
          <w:lang w:bidi="en-US"/>
        </w:rPr>
        <w:t xml:space="preserve">e) </w:t>
      </w:r>
      <w:proofErr w:type="spellStart"/>
      <w:r w:rsidRPr="00A82795">
        <w:rPr>
          <w:rFonts w:ascii="Garamond" w:hAnsi="Garamond"/>
          <w:i/>
          <w:lang w:bidi="en-US"/>
        </w:rPr>
        <w:t>Produktet</w:t>
      </w:r>
      <w:proofErr w:type="spellEnd"/>
      <w:r w:rsidRPr="00A82795">
        <w:rPr>
          <w:rFonts w:ascii="Garamond" w:hAnsi="Garamond"/>
          <w:i/>
          <w:lang w:bidi="en-US"/>
        </w:rPr>
        <w:t xml:space="preserve"> e </w:t>
      </w:r>
      <w:proofErr w:type="spellStart"/>
      <w:r w:rsidRPr="00A82795">
        <w:rPr>
          <w:rFonts w:ascii="Garamond" w:hAnsi="Garamond"/>
          <w:i/>
          <w:lang w:eastAsia="ja-JP" w:bidi="en-US"/>
        </w:rPr>
        <w:t>çelikut</w:t>
      </w:r>
      <w:proofErr w:type="spellEnd"/>
      <w:r w:rsidRPr="00A82795">
        <w:rPr>
          <w:rFonts w:ascii="Garamond" w:hAnsi="Garamond"/>
          <w:i/>
          <w:lang w:eastAsia="ja-JP" w:bidi="en-US"/>
        </w:rPr>
        <w:t xml:space="preserve">, </w:t>
      </w:r>
      <w:proofErr w:type="spellStart"/>
      <w:r w:rsidRPr="00A82795">
        <w:rPr>
          <w:rFonts w:ascii="Garamond" w:hAnsi="Garamond"/>
          <w:i/>
          <w:lang w:eastAsia="ja-JP" w:bidi="en-US"/>
        </w:rPr>
        <w:t>që</w:t>
      </w:r>
      <w:proofErr w:type="spellEnd"/>
      <w:r w:rsidRPr="00A82795">
        <w:rPr>
          <w:rFonts w:ascii="Garamond" w:hAnsi="Garamond"/>
          <w:i/>
          <w:lang w:eastAsia="ja-JP" w:bidi="en-US"/>
        </w:rPr>
        <w:t xml:space="preserve"> </w:t>
      </w:r>
      <w:proofErr w:type="spellStart"/>
      <w:r w:rsidRPr="00A82795">
        <w:rPr>
          <w:rFonts w:ascii="Garamond" w:hAnsi="Garamond"/>
          <w:i/>
          <w:lang w:eastAsia="ja-JP" w:bidi="en-US"/>
        </w:rPr>
        <w:t>publikohen</w:t>
      </w:r>
      <w:proofErr w:type="spellEnd"/>
      <w:r w:rsidRPr="00A82795">
        <w:rPr>
          <w:rFonts w:ascii="Garamond" w:hAnsi="Garamond"/>
          <w:i/>
          <w:lang w:eastAsia="ja-JP" w:bidi="en-US"/>
        </w:rPr>
        <w:t xml:space="preserve"> </w:t>
      </w:r>
      <w:proofErr w:type="spellStart"/>
      <w:r w:rsidRPr="00A82795">
        <w:rPr>
          <w:rFonts w:ascii="Garamond" w:hAnsi="Garamond"/>
          <w:i/>
          <w:lang w:eastAsia="ja-JP" w:bidi="en-US"/>
        </w:rPr>
        <w:t>në</w:t>
      </w:r>
      <w:proofErr w:type="spellEnd"/>
      <w:r w:rsidRPr="00A82795">
        <w:rPr>
          <w:rFonts w:ascii="Garamond" w:hAnsi="Garamond"/>
          <w:i/>
          <w:lang w:eastAsia="ja-JP" w:bidi="en-US"/>
        </w:rPr>
        <w:t xml:space="preserve"> </w:t>
      </w:r>
      <w:proofErr w:type="spellStart"/>
      <w:r w:rsidRPr="00A82795">
        <w:rPr>
          <w:rFonts w:ascii="Garamond" w:hAnsi="Garamond"/>
          <w:i/>
          <w:lang w:eastAsia="ja-JP" w:bidi="en-US"/>
        </w:rPr>
        <w:t>revistën</w:t>
      </w:r>
      <w:proofErr w:type="spellEnd"/>
      <w:r w:rsidRPr="00A82795">
        <w:rPr>
          <w:rFonts w:ascii="Garamond" w:hAnsi="Garamond"/>
          <w:i/>
          <w:lang w:eastAsia="ja-JP" w:bidi="en-US"/>
        </w:rPr>
        <w:t xml:space="preserve"> “Metal-</w:t>
      </w:r>
      <w:proofErr w:type="spellStart"/>
      <w:r w:rsidRPr="00A82795">
        <w:rPr>
          <w:rFonts w:ascii="Garamond" w:hAnsi="Garamond"/>
          <w:i/>
          <w:lang w:eastAsia="ja-JP" w:bidi="en-US"/>
        </w:rPr>
        <w:t>Buleti</w:t>
      </w:r>
      <w:proofErr w:type="spellEnd"/>
      <w:r w:rsidRPr="00A82795">
        <w:rPr>
          <w:rFonts w:ascii="Garamond" w:hAnsi="Garamond"/>
          <w:i/>
          <w:lang w:eastAsia="ja-JP" w:bidi="en-US"/>
        </w:rPr>
        <w:t>”.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Seksioni III. Zhdoganimi i automjeteve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12. Për vlerësimin e automjeteve të përdorura si burim informacioni të shërbejnë buletinet: “QUATTROROUTE”, “TUTTOTRASPORTI”, “ZACKE” etj., që pasqyrojnë çmimet e shitjes në tregjet europiane.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lastRenderedPageBreak/>
        <w:t>13. Vlera e një autoveture do të gjendet në tabelë (“QUATTROROUTE”) duke u nisur nga marka, modeli dhe viti i prodhimit. Në këtë rast vlera doganore nuk duhet të jetë më e ulët se 70% e çmimit të gjendur në tabelë.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14. Vlera e një kamionçine nga furgoni ose kamioni do të gjendet në tabelën (“TUTTOTRASPORTI”) duke u nisur: marka, modeli dhe viti i prodhimit. Në këtë rast vlera doganore nuk duhet të jetë më e ulët se 90% e çmimit të gjendur në tabelë.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15. Kur për autoveturën që vlerësohet në buletin nuk gjendet modeli, vlerësimi të bëhet duke u nisur nga modeli dhe cilindrata më e afërt. Në këtë rast vlera nuk duhet të jetë më e ulët se 70% e çmimit që jepet në tabelë.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16. Për llogaritjen e vlerës doganore të automjeteve të nxjerra nga buletinet, në asnjë rast çmimet nuk mund të merren më të ulëta se ato sipas pikës 17.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17. Në vlerësimin e automjeteve me vit prodhimi, para vitit të fundit të publikuar në buletin, vlera nuk mund të llogaritet më pak se: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17.1 Për autoveturat: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a) Deri 1400 cc jo më pak se 100 000 lekë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51752B">
        <w:rPr>
          <w:rFonts w:ascii="Garamond" w:hAnsi="Garamond"/>
          <w:sz w:val="24"/>
          <w:szCs w:val="24"/>
          <w:lang w:val="es-CL"/>
        </w:rPr>
        <w:t xml:space="preserve">b)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Mbi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1400-1900 cc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jo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më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pak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se 150 000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lekë</w:t>
      </w:r>
      <w:proofErr w:type="spellEnd"/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51752B">
        <w:rPr>
          <w:rFonts w:ascii="Garamond" w:hAnsi="Garamond"/>
          <w:sz w:val="24"/>
          <w:szCs w:val="24"/>
          <w:lang w:val="es-CL"/>
        </w:rPr>
        <w:t xml:space="preserve">c)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Mbi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1900-2500 cc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jo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më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pak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se 250 000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lekë</w:t>
      </w:r>
      <w:proofErr w:type="spellEnd"/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51752B">
        <w:rPr>
          <w:rFonts w:ascii="Garamond" w:hAnsi="Garamond"/>
          <w:sz w:val="24"/>
          <w:szCs w:val="24"/>
          <w:lang w:val="es-CL"/>
        </w:rPr>
        <w:t xml:space="preserve">d)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Mbi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2500-3000 cc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jo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më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pak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se 300 000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lekë</w:t>
      </w:r>
      <w:proofErr w:type="spellEnd"/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e) Mbi 3000 cc jo më pak se 350 000 lekë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17.2 Kamionçinë, furgonë dhe kamionë: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a) Deri në 3.5 tonë jo më pak se 480 000 lekë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b) Mbi 3.5-10 tonë jo më pak se 600 000 lekë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c) Mbi 10 tonë jo më pak se 840 000 lekë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18. Për mjetet e transportit të udhëtarëve (autobusë dhe furgonë) vlera doganore sipas viteve të prodhimit të llogaritet jo më e vogël se vlerat e përcaktuara në listën bashkëngjitur këtij udhëzimi.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19. Azhurnimi i të dhënave që sigurohen nga buletinet e çmimeve të bëhet dy herë në vit sipas njoftimit zyrtar nga DPD-ja.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Sesioni IV. Zhdoganimi i pjesëve të këmbimit për automjete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20. Fatura e paraqitur për zhdoganim duhet të pasqyrojë numrin identifikues të artikullit. Kur fatura nuk e përmban këtë element, duhet t’i kërkohet subjektit depozitimi i një dokumenti, ku të identifikohet çdo artikull me kodin identifikues të tij.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21 Bazuar në nenin 12, pika 2 të Kodit Doganor zhdoganimi i pjesëve të këmbimit do të kryhet për të gjitha subjektet detyrimisht pranë Degës Doganore, Tiranë.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22. Burimi i informacionit janë të dhënat e përcaktuara në pikën 10 të këtij udhëzimi.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23. Për çdo artikull që zhdoganohet duhet të futet kodi në programin e instaluar për këtë qëllim dhe të aplikohet një ulje deri në 80%.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24. Vlera që rezulton pas zbritjes të shërbejë për doganierët e vlerësimit si një indikator i rëndësishëm vlerësimi në shqyrtimin e vlerave të transaksionit të deklaruar.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25. Kur çmimi i faturës është poshtë kësaj vlere, atëherë ky fakt mund të shërbejë për rivlerësimin e mallit të deklaruar.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26. Kur mallrat nuk janë të identifikueshme, sipas metodës së mësipërme, për vlerësim përdoret një nga metodat alternative të vlerësimit të parashikuar në Kodin Doganor.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27. Ky udhëzim hyn në fuqi menjëherë.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Ministri i Financave</w:t>
      </w:r>
    </w:p>
    <w:p w:rsidR="007F0650" w:rsidRPr="0051752B" w:rsidRDefault="007F0650" w:rsidP="007F0650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Ridvan Bode</w:t>
      </w: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Shtojca 1: Procesverbali i kontrollit të vlerës doganore</w:t>
      </w:r>
    </w:p>
    <w:p w:rsidR="007F0650" w:rsidRPr="0051752B" w:rsidRDefault="00C7319E" w:rsidP="007F0650">
      <w:pPr>
        <w:pStyle w:val="Figure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466725</wp:posOffset>
            </wp:positionH>
            <wp:positionV relativeFrom="paragraph">
              <wp:posOffset>177800</wp:posOffset>
            </wp:positionV>
            <wp:extent cx="5118735" cy="7658100"/>
            <wp:effectExtent l="0" t="0" r="5715" b="0"/>
            <wp:wrapTopAndBottom/>
            <wp:docPr id="4" name="Picture 3" descr="tab do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 dog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73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C7319E" w:rsidP="007F0650">
      <w:pPr>
        <w:pStyle w:val="Figure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4724400" cy="8587740"/>
            <wp:effectExtent l="0" t="0" r="0" b="3810"/>
            <wp:docPr id="1" name="Picture 2" descr="UD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DH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858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650" w:rsidRPr="0051752B" w:rsidRDefault="00C7319E" w:rsidP="007F0650">
      <w:pPr>
        <w:pStyle w:val="Figure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3867150" cy="8886825"/>
            <wp:effectExtent l="0" t="0" r="0" b="9525"/>
            <wp:docPr id="2" name="Picture 2" descr="do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g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650" w:rsidRPr="0051752B" w:rsidRDefault="00C7319E" w:rsidP="007F0650">
      <w:pPr>
        <w:pStyle w:val="Figure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762625" cy="7000875"/>
            <wp:effectExtent l="0" t="0" r="9525" b="9525"/>
            <wp:docPr id="3" name="Picture 3" descr="do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g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sectPr w:rsidR="007F0650" w:rsidRPr="0051752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650"/>
    <w:rsid w:val="000178C2"/>
    <w:rsid w:val="00170474"/>
    <w:rsid w:val="001C699C"/>
    <w:rsid w:val="001E0F0D"/>
    <w:rsid w:val="00293613"/>
    <w:rsid w:val="0051752B"/>
    <w:rsid w:val="006A54CB"/>
    <w:rsid w:val="007F0650"/>
    <w:rsid w:val="00A82795"/>
    <w:rsid w:val="00C7319E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F998D"/>
  <w15:chartTrackingRefBased/>
  <w15:docId w15:val="{07611D9F-4F39-4D84-A460-21261630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link w:val="AutoritetiEmer"/>
    <w:rsid w:val="007F065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7F065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link w:val="Titulli"/>
    <w:rsid w:val="007F065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link w:val="VENDOSI"/>
    <w:rsid w:val="007F065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2032</Words>
  <Characters>11587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cp:lastModifiedBy>Marsela Xhepa</cp:lastModifiedBy>
  <cp:revision>3</cp:revision>
  <cp:lastPrinted>2018-10-19T09:28:00Z</cp:lastPrinted>
  <dcterms:created xsi:type="dcterms:W3CDTF">2025-12-05T12:36:00Z</dcterms:created>
  <dcterms:modified xsi:type="dcterms:W3CDTF">2025-12-05T12:40:00Z</dcterms:modified>
</cp:coreProperties>
</file>