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E10" w:rsidRPr="00DB38B7" w:rsidRDefault="00AF2E10" w:rsidP="00AF2E10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B38B7">
        <w:rPr>
          <w:sz w:val="21"/>
          <w:szCs w:val="21"/>
          <w:lang w:val="it-IT"/>
        </w:rPr>
        <w:t>Udhëzim</w:t>
      </w:r>
    </w:p>
    <w:p w:rsidR="00AF2E10" w:rsidRPr="00DB38B7" w:rsidRDefault="00AF2E10" w:rsidP="00AF2E10">
      <w:pPr>
        <w:pStyle w:val="NumriData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Nr.2, datë 11.1.2008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</w:p>
    <w:p w:rsidR="00AF2E10" w:rsidRPr="00DB38B7" w:rsidRDefault="00AF2E10" w:rsidP="00AF2E10">
      <w:pPr>
        <w:pStyle w:val="Titull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Për disa shtesa dhe ndryshime në udhëzimin nr.3, datë 30.1.2006 “Për tatimin mbi vlerën e shtuar”, i ndryshuar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Në mbështetje të nenit 102, pika 4 të Kushtetutës së Republikës së Shqipërisë, si dhe në zbatim të neneve 58.1, 58.2, 58.3, 58.4 të ligjit nr.7928, datë 27.4.1995 “Për tatimin mbi vlerën e shtuar”, i ndryshuar, Ministri i Financave</w:t>
      </w:r>
    </w:p>
    <w:p w:rsidR="00AF2E10" w:rsidRPr="00304EBE" w:rsidRDefault="00AF2E10" w:rsidP="00AF2E10">
      <w:pPr>
        <w:pStyle w:val="Paragrafi"/>
        <w:rPr>
          <w:sz w:val="14"/>
          <w:szCs w:val="21"/>
          <w:lang w:val="it-IT"/>
        </w:rPr>
      </w:pPr>
    </w:p>
    <w:p w:rsidR="00AF2E10" w:rsidRPr="00DB38B7" w:rsidRDefault="00AF2E10" w:rsidP="00AF2E10">
      <w:pPr>
        <w:pStyle w:val="VENDOS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udhËzon:</w:t>
      </w:r>
    </w:p>
    <w:p w:rsidR="00AF2E10" w:rsidRPr="00304EBE" w:rsidRDefault="00AF2E10" w:rsidP="00AF2E10">
      <w:pPr>
        <w:pStyle w:val="Paragrafi"/>
        <w:rPr>
          <w:sz w:val="12"/>
          <w:szCs w:val="21"/>
          <w:lang w:val="it-IT"/>
        </w:rPr>
      </w:pP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1. Pas pikës 7.9.3 të udhëzimit, shtohet pika 7.9.4 “Lista e produkteve të përfshira në skemën e kompensimit për fermerët” me përmbajtje: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7.9.4 Lista e produkteve të përfshira në skemën e kompensimit për fermerët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Fermerët, të cilët në kuadër të veprimtarisë së kryer prej tyre, në një nga fushat e prodhimit të produkteve bujqësore e blegtorale, furnizojnë një person të tatueshëm sipas kuptimit të ligjit nr.7928, datë 27.4.1995 “Për tatimin mbi vlerën e shtuar”, i ndryshuar, përfitojnë një kompensim kundrejt furnizimeve të kryera, sipas skemës së kompensimit të akorduar.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Lista e produkteve për të cilat zbatohet skema e kompensimit është si më poshtë: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A. Produkte bujqësore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produkte bujqësore të përgjithshme;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bimë zbukuruese dhe lulet, të natyrës ose të serave;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prodhimi i kërpudhave;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prodhimi i fidanishteve (kultivimin e pemëve të reja për shitje), farave;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produkte medicinale.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B. Produkte blegtorale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qumësht dhe nënprodukte të qumështit.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C. Të tjera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mbarështim i bagëtive;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mbarështim i shpendëve;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mbarështim i lepujve;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mbarështim i bletëve;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mbarështim i krimbit të mëndafshit;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- mbarështim i kërmillit.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Fermerët, përfitues të skemës së kompensimit dhe që janë të pajisur me një kod personal lëshuar nga Ministria e Bujqësisë, Ushqimit dhe Mbrojtjes së Konsumatorit duhet të kenë kartën e fermerit, bashkëlidhur këtij udhëzimi.”.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2.Pika 9.1 “Libri i blerjeve” ndryshohet me përmbajtjen, si më poshtë: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“9.1 Libri i blerjeve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Libri i blerjeve është i detyrueshëm të mbahet nga të gjithë personat e tatueshëm. Forma dhe përmbajtja e tij është sipas formularit bashkëngjitur këtij udhëzimi. Ai duhet të tregojë në faqen e parë numrin e identifikimit dhe emrin e personit. Të gjitha faqet duhet të kenë numër rendor. Libri plotësohet çdo ditë. Në të regjistrohen për çdo transaksion furnizuesi dhe të dhënat e faturës që paraqet transaksionin.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Në këtë libër regjistrohen data e lëshimit të faturës, numri rendor i faturës, numri serial i shtypur nga shtypshkronja ose nga tatimpagues, i kur i lejohet, të dhënat e deklaratës së importit, emri i shitësit dhe numri i identifikimit tatimor të tij.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Blerjet regjistrohen në vlerë totale, e cila përfshin edhe TVSH-në (në qoftë se ka), si dhe të ndara në blerje me TVSH dhe në blerje pa TVSH. Blerjet me TVSH regjistrohen të ndara në importe dhe blerje brenda vendit.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Për çdo blerje me TVSH personi regjistron vlerën e tatueshme dhe TVSH-në që i korrespondon kësaj blerjeje.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Për çdo blerje nga fermerët, sipas skemës së paraqitur në nenet 58.1, 58.2, 58.3, 58.4 të ligjit nr.7928, datë 27.4.1995 “Për tatimin mbi vlerën e shtuar”, i ndryshuar, personi regjistron vlerën e mallit të blerë te fermerët. Në një kolonë të veçantë, regjistrohet kompensimi i paguar fermerit, si produkt i vlerës së mallit të blerë me përqindjen e kompensimit.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Në fund të librit të blerjeve janë fletët e inventarit, të cilat përdoren për të pasqyruar inventarin e mallrave në fund të vitit.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lastRenderedPageBreak/>
        <w:t>Një kopje e regjistrimeve mujore në librin e blerjeve paraqitet në degën e tatimeve brenda datës 14 të çdo muaji.”.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3. Në zbatim të pikës 10.1 “Deklarata dhe pagesa e TVSH-së”, formulari ekzistues i deklarimit dhe pagesës shfuqizohet dhe zëvendësohet me formularin e paraqitur bashkëlidhur këtij udhëzimi.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4. Pas pikës 19.6 të udhëzimit, shtohet pika 19.7 “Dënime për shkelje të skemës së kompensimit të fermerëve”, me përmbajtje: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“Në qoftë se fatura e lëshuar nga blerësi, person i tatueshëm, nuk përmban të gjitha të dhënat që janë të përcaktuara në nenin 58.4 të ligjit, personi i tatueshëm nuk ka të drejtë të kreditojë kompensimin e paraqitur në të dhe, detyrohet të paguajë një dënim të barabartë me vlerën e kompensimit, por jo më të vogël se 10 000 lekë.”.</w:t>
      </w:r>
    </w:p>
    <w:p w:rsidR="00AF2E10" w:rsidRDefault="00AF2E10" w:rsidP="00AF2E10">
      <w:pPr>
        <w:pStyle w:val="Paragraf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Ky udhëzim hyn në fuqi me botimin në Fletoren Zyrtare dhe i shtrin efektet nga 1 janari 2008.</w:t>
      </w:r>
    </w:p>
    <w:p w:rsidR="00AF2E10" w:rsidRPr="00DB38B7" w:rsidRDefault="00AF2E10" w:rsidP="00AF2E10">
      <w:pPr>
        <w:pStyle w:val="Paragrafi"/>
        <w:rPr>
          <w:sz w:val="21"/>
          <w:szCs w:val="21"/>
          <w:lang w:val="it-IT"/>
        </w:rPr>
      </w:pPr>
    </w:p>
    <w:p w:rsidR="00AF2E10" w:rsidRPr="00DB38B7" w:rsidRDefault="00AF2E10" w:rsidP="00AF2E10">
      <w:pPr>
        <w:pStyle w:val="Autoriteti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Ministri i Financave</w:t>
      </w:r>
    </w:p>
    <w:p w:rsidR="00AF2E10" w:rsidRPr="00DB38B7" w:rsidRDefault="00AF2E10" w:rsidP="00AF2E10">
      <w:pPr>
        <w:pStyle w:val="AutoritetiEmer"/>
        <w:rPr>
          <w:sz w:val="21"/>
          <w:szCs w:val="21"/>
          <w:lang w:val="it-IT"/>
        </w:rPr>
      </w:pPr>
      <w:r w:rsidRPr="00DB38B7">
        <w:rPr>
          <w:sz w:val="21"/>
          <w:szCs w:val="21"/>
          <w:lang w:val="it-IT"/>
        </w:rPr>
        <w:t>Ridvan Bode</w:t>
      </w:r>
    </w:p>
    <w:p w:rsidR="00AF2E10" w:rsidRPr="00DB38B7" w:rsidRDefault="00E87465" w:rsidP="00AF2E10">
      <w:pPr>
        <w:pStyle w:val="Figure"/>
      </w:pPr>
      <w:r w:rsidRPr="00DB38B7">
        <w:rPr>
          <w:noProof/>
          <w:lang w:val="en-GB" w:eastAsia="en-GB"/>
        </w:rPr>
        <w:drawing>
          <wp:inline distT="0" distB="0" distL="0" distR="0">
            <wp:extent cx="4867275" cy="6048375"/>
            <wp:effectExtent l="0" t="0" r="9525" b="9525"/>
            <wp:docPr id="1" name="Picture 1" descr="tab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E10" w:rsidRPr="00DB38B7" w:rsidRDefault="00AF2E10" w:rsidP="00AF2E10">
      <w:pPr>
        <w:pStyle w:val="Figure"/>
      </w:pPr>
    </w:p>
    <w:p w:rsidR="00AF2E10" w:rsidRPr="00DB38B7" w:rsidRDefault="00AF2E10" w:rsidP="00AF2E10">
      <w:pPr>
        <w:pStyle w:val="Figure"/>
      </w:pPr>
    </w:p>
    <w:p w:rsidR="00AF2E10" w:rsidRPr="00DB38B7" w:rsidRDefault="00AF2E10" w:rsidP="00AF2E10">
      <w:pPr>
        <w:pStyle w:val="Figure"/>
      </w:pPr>
    </w:p>
    <w:p w:rsidR="00AF2E10" w:rsidRPr="00DB38B7" w:rsidRDefault="00E87465" w:rsidP="00AF2E10">
      <w:pPr>
        <w:pStyle w:val="Figure"/>
      </w:pPr>
      <w:r w:rsidRPr="00DB38B7">
        <w:rPr>
          <w:noProof/>
          <w:lang w:val="en-GB" w:eastAsia="en-GB"/>
        </w:rPr>
        <w:lastRenderedPageBreak/>
        <w:drawing>
          <wp:inline distT="0" distB="0" distL="0" distR="0">
            <wp:extent cx="5762625" cy="8648700"/>
            <wp:effectExtent l="0" t="0" r="9525" b="0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E10" w:rsidRPr="00DB38B7" w:rsidRDefault="00E87465" w:rsidP="00AF2E10">
      <w:pPr>
        <w:pStyle w:val="Figure"/>
      </w:pPr>
      <w:r w:rsidRPr="00DB38B7">
        <w:rPr>
          <w:noProof/>
          <w:lang w:val="en-GB" w:eastAsia="en-GB"/>
        </w:rPr>
        <w:lastRenderedPageBreak/>
        <w:drawing>
          <wp:inline distT="0" distB="0" distL="0" distR="0">
            <wp:extent cx="5657850" cy="8886825"/>
            <wp:effectExtent l="0" t="0" r="0" b="9525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E10" w:rsidRPr="00DB38B7" w:rsidRDefault="00E87465" w:rsidP="00AF2E10">
      <w:pPr>
        <w:pStyle w:val="Figure"/>
      </w:pPr>
      <w:r w:rsidRPr="00DB38B7">
        <w:rPr>
          <w:noProof/>
          <w:lang w:val="en-GB" w:eastAsia="en-GB"/>
        </w:rPr>
        <w:lastRenderedPageBreak/>
        <w:drawing>
          <wp:inline distT="0" distB="0" distL="0" distR="0">
            <wp:extent cx="5753100" cy="8458200"/>
            <wp:effectExtent l="0" t="0" r="0" b="0"/>
            <wp:docPr id="4" name="Picture 4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2E10" w:rsidRPr="00DB38B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2E10"/>
    <w:rsid w:val="000178C2"/>
    <w:rsid w:val="00AF2E10"/>
    <w:rsid w:val="00C84B66"/>
    <w:rsid w:val="00E8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8FDF4E-6381-4CAC-96CB-3DBE5D33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F2E1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AF2E1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F2E1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Figure">
    <w:name w:val="Figure"/>
    <w:next w:val="Normal"/>
    <w:rsid w:val="00AF2E10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AF2E1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F2E1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F2E1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F2E1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F2E1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F2E1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2E1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2019-03-16T15:06:00Z</dcterms:created>
  <dcterms:modified xsi:type="dcterms:W3CDTF">2019-03-16T15:06:00Z</dcterms:modified>
</cp:coreProperties>
</file>