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9D9" w:rsidRPr="00270C22" w:rsidRDefault="00C429D9" w:rsidP="00C429D9">
      <w:pPr>
        <w:pStyle w:val="Akti"/>
        <w:keepNext w:val="0"/>
        <w:rPr>
          <w:lang w:val="sq-AL"/>
        </w:rPr>
      </w:pPr>
      <w:bookmarkStart w:id="0" w:name="_GoBack"/>
      <w:bookmarkEnd w:id="0"/>
      <w:r w:rsidRPr="00270C22">
        <w:rPr>
          <w:lang w:val="sq-AL"/>
        </w:rPr>
        <w:t>UDHËZIM</w:t>
      </w:r>
    </w:p>
    <w:p w:rsidR="00C429D9" w:rsidRPr="00270C22" w:rsidRDefault="00C429D9" w:rsidP="00C429D9">
      <w:pPr>
        <w:pStyle w:val="NumriData"/>
        <w:keepNext w:val="0"/>
        <w:rPr>
          <w:szCs w:val="22"/>
          <w:lang w:val="sq-AL"/>
        </w:rPr>
      </w:pPr>
      <w:r w:rsidRPr="00270C22">
        <w:rPr>
          <w:szCs w:val="22"/>
          <w:lang w:val="sq-AL"/>
        </w:rPr>
        <w:t>Nr.6, datë 18.1.2008</w:t>
      </w:r>
    </w:p>
    <w:p w:rsidR="00C429D9" w:rsidRPr="00270C22" w:rsidRDefault="00C429D9" w:rsidP="00C429D9">
      <w:pPr>
        <w:pStyle w:val="Paragrafi"/>
        <w:rPr>
          <w:szCs w:val="22"/>
          <w:lang w:val="sq-AL"/>
        </w:rPr>
      </w:pPr>
    </w:p>
    <w:p w:rsidR="00C429D9" w:rsidRPr="00270C22" w:rsidRDefault="00C429D9" w:rsidP="00C429D9">
      <w:pPr>
        <w:pStyle w:val="Titulli"/>
        <w:keepNext w:val="0"/>
      </w:pPr>
      <w:r w:rsidRPr="00270C22">
        <w:rPr>
          <w:lang w:val="sq-AL"/>
        </w:rPr>
        <w:t>PËR NJË NDRYSHIM NË UDHËZIMIN NR.3, D</w:t>
      </w:r>
      <w:r w:rsidRPr="00270C22">
        <w:t xml:space="preserve">ATË 30.1.2006 </w:t>
      </w:r>
    </w:p>
    <w:p w:rsidR="00C429D9" w:rsidRPr="00270C22" w:rsidRDefault="00C429D9" w:rsidP="00C429D9">
      <w:pPr>
        <w:pStyle w:val="Titulli"/>
        <w:keepNext w:val="0"/>
        <w:rPr>
          <w:lang w:val="it-IT"/>
        </w:rPr>
      </w:pPr>
      <w:r w:rsidRPr="00270C22">
        <w:rPr>
          <w:lang w:val="it-IT"/>
        </w:rPr>
        <w:t>“PËR TATIMIN MBI VLERËN E SHTUAR”</w:t>
      </w:r>
    </w:p>
    <w:p w:rsidR="00C429D9" w:rsidRPr="00270C22" w:rsidRDefault="00C429D9" w:rsidP="00C429D9">
      <w:pPr>
        <w:pStyle w:val="Paragrafi"/>
        <w:rPr>
          <w:szCs w:val="22"/>
          <w:lang w:val="sq-AL"/>
        </w:rPr>
      </w:pPr>
    </w:p>
    <w:p w:rsidR="00C429D9" w:rsidRPr="00270C22" w:rsidRDefault="00C429D9" w:rsidP="00C429D9">
      <w:pPr>
        <w:pStyle w:val="Paragrafi"/>
        <w:rPr>
          <w:szCs w:val="22"/>
          <w:lang w:val="sq-AL"/>
        </w:rPr>
      </w:pPr>
      <w:r w:rsidRPr="00270C22">
        <w:rPr>
          <w:szCs w:val="22"/>
          <w:lang w:val="sq-AL"/>
        </w:rPr>
        <w:t>Në mbështetje të nenit 102, pika 4 të Kushtetutës së Republikës së Shqipërisë, si dhe në zbatim të ligjit nr.7928, datë 27.4.1995 “Për tatimin mbi vlerën e shtuar”, i ndryshuar, Ministri i Financave</w:t>
      </w:r>
    </w:p>
    <w:p w:rsidR="00C429D9" w:rsidRPr="00270C22" w:rsidRDefault="00C429D9" w:rsidP="00C429D9">
      <w:pPr>
        <w:pStyle w:val="Paragrafi"/>
        <w:rPr>
          <w:szCs w:val="22"/>
          <w:lang w:val="sq-AL"/>
        </w:rPr>
      </w:pPr>
    </w:p>
    <w:p w:rsidR="00C429D9" w:rsidRPr="00C429D9" w:rsidRDefault="00C429D9" w:rsidP="00C429D9">
      <w:pPr>
        <w:pStyle w:val="VENDOSI"/>
        <w:keepNext w:val="0"/>
        <w:rPr>
          <w:lang w:val="sq-AL"/>
        </w:rPr>
      </w:pPr>
      <w:r w:rsidRPr="00C429D9">
        <w:rPr>
          <w:lang w:val="sq-AL"/>
        </w:rPr>
        <w:t>UDHËZON:</w:t>
      </w:r>
    </w:p>
    <w:p w:rsidR="00C429D9" w:rsidRPr="00270C22" w:rsidRDefault="00C429D9" w:rsidP="00C429D9">
      <w:pPr>
        <w:pStyle w:val="Paragrafi"/>
        <w:rPr>
          <w:szCs w:val="22"/>
          <w:lang w:val="sq-AL"/>
        </w:rPr>
      </w:pPr>
    </w:p>
    <w:p w:rsidR="00C429D9" w:rsidRPr="00270C22" w:rsidRDefault="00C429D9" w:rsidP="00C429D9">
      <w:pPr>
        <w:pStyle w:val="Paragrafi"/>
        <w:rPr>
          <w:szCs w:val="22"/>
          <w:lang w:val="sq-AL"/>
        </w:rPr>
      </w:pPr>
      <w:r w:rsidRPr="00270C22">
        <w:rPr>
          <w:szCs w:val="22"/>
          <w:lang w:val="sq-AL"/>
        </w:rPr>
        <w:t>Në udhëzimin nr.3, datë 30.1.2006 “Për tatimin mbi vlerën e shtuar”, i ndryshuar, bëhen këto ndryshime:</w:t>
      </w:r>
    </w:p>
    <w:p w:rsidR="00C429D9" w:rsidRPr="00270C22" w:rsidRDefault="00C429D9" w:rsidP="00C429D9">
      <w:pPr>
        <w:pStyle w:val="Paragrafi"/>
        <w:rPr>
          <w:szCs w:val="22"/>
          <w:lang w:val="sq-AL"/>
        </w:rPr>
      </w:pPr>
      <w:r w:rsidRPr="00270C22">
        <w:rPr>
          <w:szCs w:val="22"/>
          <w:lang w:val="sq-AL"/>
        </w:rPr>
        <w:t>1. Pika 1.1 “Detyrimi për të kërkuar</w:t>
      </w:r>
      <w:r>
        <w:rPr>
          <w:szCs w:val="22"/>
          <w:lang w:val="sq-AL"/>
        </w:rPr>
        <w:t xml:space="preserve"> regjistrimin”</w:t>
      </w:r>
      <w:r w:rsidRPr="00270C22">
        <w:rPr>
          <w:szCs w:val="22"/>
          <w:lang w:val="sq-AL"/>
        </w:rPr>
        <w:t xml:space="preserve"> shfuqizohet dhe zëvendësohet me pikën 1.1 të formuluar si më poshtë:</w:t>
      </w:r>
    </w:p>
    <w:p w:rsidR="00C429D9" w:rsidRPr="00270C22" w:rsidRDefault="00C429D9" w:rsidP="00C429D9">
      <w:pPr>
        <w:pStyle w:val="Paragrafi"/>
        <w:rPr>
          <w:szCs w:val="22"/>
          <w:lang w:val="sq-AL"/>
        </w:rPr>
      </w:pPr>
      <w:r w:rsidRPr="00270C22">
        <w:rPr>
          <w:szCs w:val="22"/>
          <w:lang w:val="sq-AL"/>
        </w:rPr>
        <w:t>“1.1 Detyrimi për të kërkuar regjistrimin</w:t>
      </w:r>
    </w:p>
    <w:p w:rsidR="00C429D9" w:rsidRPr="00270C22" w:rsidRDefault="00C429D9" w:rsidP="00C429D9">
      <w:pPr>
        <w:pStyle w:val="Paragrafi"/>
        <w:rPr>
          <w:szCs w:val="22"/>
          <w:lang w:val="sq-AL"/>
        </w:rPr>
      </w:pPr>
      <w:r w:rsidRPr="00270C22">
        <w:rPr>
          <w:szCs w:val="22"/>
          <w:lang w:val="sq-AL"/>
        </w:rPr>
        <w:t>Çdo person fizik apo juridik që zhvillon veprimtari ekonomike, qarkullimi i të cilit tejkalon apo parashikohet të tejkalojë 8 milionë lekë për një vit kalendarik, si dhe importues me vendndodhje të biznesit në njësi administrative, përveç atyre të cituara në paragrafin e parafundit të kësaj pike, detyrohet të kërkojë të regjistrohet.</w:t>
      </w:r>
    </w:p>
    <w:p w:rsidR="00C429D9" w:rsidRPr="00270C22" w:rsidRDefault="00C429D9" w:rsidP="00C429D9">
      <w:pPr>
        <w:pStyle w:val="Paragrafi"/>
        <w:rPr>
          <w:szCs w:val="22"/>
          <w:lang w:val="sq-AL"/>
        </w:rPr>
      </w:pPr>
      <w:r w:rsidRPr="00270C22">
        <w:rPr>
          <w:szCs w:val="22"/>
          <w:lang w:val="sq-AL"/>
        </w:rPr>
        <w:t>Termi “person” përfshin çdo subjekt që kryen një veprimtari ekonomike pavarësisht nga forma juridike e organizimit të tij. Ai përfshin edhe institucionet, organet e pushtetit qendror e vendor, organizatat shoqërore e politike që kryejnë veprimtari ekonomike të tatueshme.</w:t>
      </w:r>
    </w:p>
    <w:p w:rsidR="00C429D9" w:rsidRPr="00270C22" w:rsidRDefault="00C429D9" w:rsidP="00C429D9">
      <w:pPr>
        <w:pStyle w:val="Paragrafi"/>
        <w:rPr>
          <w:szCs w:val="22"/>
          <w:lang w:val="sq-AL"/>
        </w:rPr>
      </w:pPr>
      <w:r w:rsidRPr="00270C22">
        <w:rPr>
          <w:szCs w:val="22"/>
          <w:lang w:val="sq-AL"/>
        </w:rPr>
        <w:t>Janë të detyruar të regjistrohen, gjithashtu edhe çdo subjekt tjetër si individët, organet e pushtetit qendror e lokal, organizatat shoqërore, politike, ndërkombëtare, misionet diplomatike etj., që kryejnë aktivitete import-eksporti, pavarësisht nga qarkullimi. Për çdo subjekt që kryen import-eksporte veprimet doganore bëhen vetëm pasi ai të ketë paraqitur origjinalin ose kopjen e noterizuar të Certifikatës së Numrit të Identifikimit për Personin e Tatueshëm (NIPT).</w:t>
      </w:r>
    </w:p>
    <w:p w:rsidR="00C429D9" w:rsidRPr="00270C22" w:rsidRDefault="00C429D9" w:rsidP="00C429D9">
      <w:pPr>
        <w:pStyle w:val="Paragrafi"/>
        <w:rPr>
          <w:szCs w:val="22"/>
          <w:lang w:val="sq-AL"/>
        </w:rPr>
      </w:pPr>
      <w:r w:rsidRPr="00270C22">
        <w:rPr>
          <w:szCs w:val="22"/>
          <w:lang w:val="sq-AL"/>
        </w:rPr>
        <w:t>Mund të kryejnë veprime doganore</w:t>
      </w:r>
      <w:r>
        <w:rPr>
          <w:szCs w:val="22"/>
          <w:lang w:val="sq-AL"/>
        </w:rPr>
        <w:t>,</w:t>
      </w:r>
      <w:r w:rsidRPr="00270C22">
        <w:rPr>
          <w:szCs w:val="22"/>
          <w:lang w:val="sq-AL"/>
        </w:rPr>
        <w:t xml:space="preserve"> pa qenë të detyruar të regjistrohen, vetëm individët për mallrat e përdorimit personal. Përcaktimi “mallra të përdorimit personal” bëhet në përputhje me dispozitat e nenit 199 të Kodit Doganor dhe të pikës 2.12 të vendimit të Këshillit të Ministrave “Për dispozitat zbatuese të Kodit Doganor”. Nuk janë të detyruar të regjistrohen, gjithashtu individët që kryejnë importe të rastësishme, si mjete transporti për përdorim privat, dhe të tjera të kësaj natyre, pavarësisht se për importet e mësipërme ata janë të detyruar të paguajnë tatimin mbi vlerën e shtuar në doganë. Në këtë rast importimi bëhet me një NIPT të përbashkët, i cili akordohet nga Drejtoria</w:t>
      </w:r>
      <w:r>
        <w:rPr>
          <w:szCs w:val="22"/>
          <w:lang w:val="sq-AL"/>
        </w:rPr>
        <w:t xml:space="preserve"> e Përgjithshme e Tatimeve dhe u</w:t>
      </w:r>
      <w:r w:rsidRPr="00270C22">
        <w:rPr>
          <w:szCs w:val="22"/>
          <w:lang w:val="sq-AL"/>
        </w:rPr>
        <w:t xml:space="preserve"> bëhet e ditur të gjitha pikave doganore nga Drejtoria e Përgjithshme e Doganave.</w:t>
      </w:r>
    </w:p>
    <w:p w:rsidR="00C429D9" w:rsidRPr="00270C22" w:rsidRDefault="00C429D9" w:rsidP="00C429D9">
      <w:pPr>
        <w:pStyle w:val="Paragrafi"/>
        <w:rPr>
          <w:szCs w:val="22"/>
          <w:lang w:val="sq-AL"/>
        </w:rPr>
      </w:pPr>
      <w:r w:rsidRPr="00270C22">
        <w:rPr>
          <w:szCs w:val="22"/>
          <w:lang w:val="sq-AL"/>
        </w:rPr>
        <w:t>Tatimpaguesit importues, që kanë vendndodhje të biznesit në Malësinë e Madhe, Tropojë, Has, Kukës, Dibër, Librazhd, Pogradec, Korçë, Devoll, Përmet, Gjirokastër e Sarandë, si dhe që realizojnë një qarkullim më të vogël se 8 milionë lekë në çdo vit kalendarik, nuk janë të detyruar të regjistrohen si persona të tatueshëm.</w:t>
      </w:r>
    </w:p>
    <w:p w:rsidR="00C429D9" w:rsidRPr="00270C22" w:rsidRDefault="00C429D9" w:rsidP="00C429D9">
      <w:pPr>
        <w:pStyle w:val="Paragrafi"/>
        <w:rPr>
          <w:szCs w:val="22"/>
          <w:lang w:val="sq-AL"/>
        </w:rPr>
      </w:pPr>
      <w:r w:rsidRPr="00270C22">
        <w:rPr>
          <w:szCs w:val="22"/>
          <w:lang w:val="sq-AL"/>
        </w:rPr>
        <w:t>Në këtë rast, për mallrat që importojnë paguajnë taksat doganore, TVSH, akcizë dhe çdo detyrim të lidhur me importin e kryer, duke mbetur tatimpagues të taksës vendore mbi biznesin e vogël dhe çdo detyrimi tjetër të përcaktuar në ligjet e veçanta për këtë kategori tatimpaguesish.”.</w:t>
      </w:r>
    </w:p>
    <w:p w:rsidR="00C429D9" w:rsidRPr="00270C22" w:rsidRDefault="00C429D9" w:rsidP="00C429D9">
      <w:pPr>
        <w:pStyle w:val="Paragrafi"/>
        <w:rPr>
          <w:szCs w:val="22"/>
          <w:lang w:val="sq-AL"/>
        </w:rPr>
      </w:pPr>
      <w:r w:rsidRPr="00270C22">
        <w:rPr>
          <w:szCs w:val="22"/>
          <w:lang w:val="sq-AL"/>
        </w:rPr>
        <w:t>2. Paragrafi i dytë i shkronjës “a”, në pikën 15.2, shfuqizohet dhe zëvendësohet me paragrafin e formuluar si më poshtë:</w:t>
      </w:r>
    </w:p>
    <w:p w:rsidR="00C429D9" w:rsidRPr="00270C22" w:rsidRDefault="00C429D9" w:rsidP="00C429D9">
      <w:pPr>
        <w:pStyle w:val="Paragrafi"/>
        <w:rPr>
          <w:szCs w:val="22"/>
          <w:lang w:val="sq-AL"/>
        </w:rPr>
      </w:pPr>
      <w:r w:rsidRPr="00270C22">
        <w:rPr>
          <w:szCs w:val="22"/>
          <w:lang w:val="sq-AL"/>
        </w:rPr>
        <w:t xml:space="preserve"> “Në rastet kur karburanti përdoret për nevoja teknologjike në funksion të arritjes së qëllimit primar të biznesit, e drejta e kreditimit fitohet menjëherë me kushtin që ai të përdoret vetëm për këto nevoja teknologjike dhe për asnjë nevojë tjetër. Barra e provës për të provuar këtë bie mbi personin e tatueshëm. Njëkohësisht, kërkohet që të notifikohet pranë Drejtorisë së Përgjithshme të Tatimeve për specifikimet teknike, kartën teknologjike etj. Notifikimi duhet të shoqërohet me të dhënat e nevojshme, si:</w:t>
      </w:r>
    </w:p>
    <w:p w:rsidR="00C429D9" w:rsidRPr="00270C22" w:rsidRDefault="00C429D9" w:rsidP="00C429D9">
      <w:pPr>
        <w:pStyle w:val="Paragrafi"/>
        <w:rPr>
          <w:szCs w:val="22"/>
          <w:lang w:val="sq-AL"/>
        </w:rPr>
      </w:pPr>
      <w:r w:rsidRPr="00270C22">
        <w:rPr>
          <w:szCs w:val="22"/>
          <w:lang w:val="sq-AL"/>
        </w:rPr>
        <w:t>a) konsumi i parashikuar vjetor i gazoilit;</w:t>
      </w:r>
    </w:p>
    <w:p w:rsidR="00C429D9" w:rsidRPr="00270C22" w:rsidRDefault="00C429D9" w:rsidP="00C429D9">
      <w:pPr>
        <w:pStyle w:val="Paragrafi"/>
        <w:rPr>
          <w:szCs w:val="22"/>
          <w:lang w:val="sq-AL"/>
        </w:rPr>
      </w:pPr>
      <w:r w:rsidRPr="00270C22">
        <w:rPr>
          <w:szCs w:val="22"/>
          <w:lang w:val="sq-AL"/>
        </w:rPr>
        <w:t xml:space="preserve">b) konsumi faktik i një viti më parë, si dhe niveli i përqindjes që zënë shpenzimet e gazoilit në </w:t>
      </w:r>
      <w:r w:rsidRPr="00270C22">
        <w:rPr>
          <w:szCs w:val="22"/>
          <w:lang w:val="sq-AL"/>
        </w:rPr>
        <w:lastRenderedPageBreak/>
        <w:t>kosto;</w:t>
      </w:r>
    </w:p>
    <w:p w:rsidR="00C429D9" w:rsidRPr="00270C22" w:rsidRDefault="00C429D9" w:rsidP="00C429D9">
      <w:pPr>
        <w:pStyle w:val="Paragrafi"/>
        <w:rPr>
          <w:szCs w:val="22"/>
          <w:lang w:val="sq-AL"/>
        </w:rPr>
      </w:pPr>
      <w:r w:rsidRPr="00270C22">
        <w:rPr>
          <w:szCs w:val="22"/>
          <w:lang w:val="sq-AL"/>
        </w:rPr>
        <w:t>c) inventari i plotë i mjeteve të transportit që personi ka në pronësi ose me kontratë të rregullt qiraje;</w:t>
      </w:r>
    </w:p>
    <w:p w:rsidR="00C429D9" w:rsidRPr="00270C22" w:rsidRDefault="00C429D9" w:rsidP="00C429D9">
      <w:pPr>
        <w:pStyle w:val="Paragrafi"/>
        <w:rPr>
          <w:szCs w:val="22"/>
          <w:lang w:val="sq-AL"/>
        </w:rPr>
      </w:pPr>
      <w:r w:rsidRPr="00270C22">
        <w:rPr>
          <w:szCs w:val="22"/>
          <w:lang w:val="sq-AL"/>
        </w:rPr>
        <w:t>ç) inventari i makinerive dhe pajisjeve teknologjike që ka në dispozicion personi, të cilat përdorin gazoil për procese teknologjike, si dhe konsumi orar i gazoilit për makineritë përbërëse të linjës sipas manualit të tyre;</w:t>
      </w:r>
    </w:p>
    <w:p w:rsidR="00C429D9" w:rsidRPr="00270C22" w:rsidRDefault="00C429D9" w:rsidP="00C429D9">
      <w:pPr>
        <w:pStyle w:val="Paragrafi"/>
        <w:rPr>
          <w:szCs w:val="22"/>
          <w:lang w:val="sq-AL"/>
        </w:rPr>
      </w:pPr>
      <w:r w:rsidRPr="00270C22">
        <w:rPr>
          <w:szCs w:val="22"/>
          <w:lang w:val="sq-AL"/>
        </w:rPr>
        <w:t>d) kartën teknologjike të linjës në rast se gazoili përdoret si burim energjie për procese teknologjike, si dhe konsumi për njësi kohe i gazoilit për mjetet motorike përbërës të linjës;</w:t>
      </w:r>
    </w:p>
    <w:p w:rsidR="00C429D9" w:rsidRPr="00270C22" w:rsidRDefault="00C429D9" w:rsidP="00C429D9">
      <w:pPr>
        <w:pStyle w:val="Paragrafi"/>
        <w:rPr>
          <w:szCs w:val="22"/>
          <w:lang w:val="sq-AL"/>
        </w:rPr>
      </w:pPr>
      <w:r w:rsidRPr="00270C22">
        <w:rPr>
          <w:szCs w:val="22"/>
          <w:lang w:val="sq-AL"/>
        </w:rPr>
        <w:t>dh) vërtetim nga drejtoria rajonale e transportit rrugor për pagesën e taksave vjetore për mjetet e transportit, në pronësi të personit apo të marra me qira;</w:t>
      </w:r>
    </w:p>
    <w:p w:rsidR="00C429D9" w:rsidRPr="00270C22" w:rsidRDefault="00C429D9" w:rsidP="00C429D9">
      <w:pPr>
        <w:pStyle w:val="Paragrafi"/>
        <w:rPr>
          <w:szCs w:val="22"/>
          <w:lang w:val="sq-AL"/>
        </w:rPr>
      </w:pPr>
      <w:r w:rsidRPr="00270C22">
        <w:rPr>
          <w:szCs w:val="22"/>
          <w:lang w:val="sq-AL"/>
        </w:rPr>
        <w:t>e) vërtetim nga dega e tatimeve, ku është regjistruar personi, për pagesën e detyrimeve tatimore (TVSH, tatim mbi fitimin, kontributet e sigurimeve shoqërore e shëndetësore) për vitin në të cilin bëhet kërkesa dhe vitin paraardhës;</w:t>
      </w:r>
    </w:p>
    <w:p w:rsidR="00C429D9" w:rsidRPr="00270C22" w:rsidRDefault="00C429D9" w:rsidP="00C429D9">
      <w:pPr>
        <w:pStyle w:val="Paragrafi"/>
        <w:rPr>
          <w:szCs w:val="22"/>
          <w:lang w:val="sq-AL"/>
        </w:rPr>
      </w:pPr>
      <w:r w:rsidRPr="00270C22">
        <w:rPr>
          <w:szCs w:val="22"/>
          <w:lang w:val="sq-AL"/>
        </w:rPr>
        <w:t>ë) vërtetim nga dega e tatimeve, ku është regjistruar personi, lidhur me situatën e borxhit për detyrime tatimore e kontribute të papaguara.</w:t>
      </w:r>
    </w:p>
    <w:p w:rsidR="00C429D9" w:rsidRPr="00270C22" w:rsidRDefault="00C429D9" w:rsidP="00C429D9">
      <w:pPr>
        <w:pStyle w:val="Paragrafi"/>
        <w:rPr>
          <w:szCs w:val="22"/>
          <w:lang w:val="sq-AL"/>
        </w:rPr>
      </w:pPr>
      <w:r w:rsidRPr="00270C22">
        <w:rPr>
          <w:szCs w:val="22"/>
          <w:lang w:val="sq-AL"/>
        </w:rPr>
        <w:t xml:space="preserve">Nëse dosja notifikuese e personit të tatueshëm </w:t>
      </w:r>
      <w:r>
        <w:rPr>
          <w:szCs w:val="22"/>
          <w:lang w:val="sq-AL"/>
        </w:rPr>
        <w:t>përmban dokumente të rreme</w:t>
      </w:r>
      <w:r w:rsidRPr="00270C22">
        <w:rPr>
          <w:szCs w:val="22"/>
          <w:lang w:val="sq-AL"/>
        </w:rPr>
        <w:t xml:space="preserve"> apo nuk i përmban të gjitha të dhënat e kërkuara më sipër, apo i përmban me pasaktësi ato, Drejtoria e Përgjithshme e Tatimeve përzgjedh subjektin për kontroll të thelluar dhe, nëse nga kontrolli vërtetohet që kemi të bëjmë me kreditim të pajustifikuar, Drejtoria e Përgjiths</w:t>
      </w:r>
      <w:r>
        <w:rPr>
          <w:szCs w:val="22"/>
          <w:lang w:val="sq-AL"/>
        </w:rPr>
        <w:t>hme e Tatimeve vendos heqjen e s</w:t>
      </w:r>
      <w:r w:rsidRPr="00270C22">
        <w:rPr>
          <w:szCs w:val="22"/>
          <w:lang w:val="sq-AL"/>
        </w:rPr>
        <w:t>ë drejtës për kreditim pa autorizim për një afat 1-vjeçar, si dhe aplikon të gjitha sanksionet që parashikon legjislacioni tatimor në fuqi.</w:t>
      </w:r>
    </w:p>
    <w:p w:rsidR="00C429D9" w:rsidRPr="00270C22" w:rsidRDefault="00C429D9" w:rsidP="00C429D9">
      <w:pPr>
        <w:pStyle w:val="Paragrafi"/>
        <w:rPr>
          <w:szCs w:val="22"/>
          <w:lang w:val="sq-AL"/>
        </w:rPr>
      </w:pPr>
      <w:r w:rsidRPr="00270C22">
        <w:rPr>
          <w:szCs w:val="22"/>
          <w:lang w:val="sq-AL"/>
        </w:rPr>
        <w:t>3. Ky udhëzim hyn në fuqi 15 ditë pas botimit në Fletoren Zyrtare.</w:t>
      </w:r>
    </w:p>
    <w:p w:rsidR="00C429D9" w:rsidRPr="00270C22" w:rsidRDefault="00C429D9" w:rsidP="00C429D9">
      <w:pPr>
        <w:pStyle w:val="Paragrafi"/>
        <w:rPr>
          <w:szCs w:val="22"/>
          <w:lang w:val="sq-AL"/>
        </w:rPr>
      </w:pPr>
    </w:p>
    <w:p w:rsidR="00C429D9" w:rsidRPr="00270C22" w:rsidRDefault="00C429D9" w:rsidP="00C429D9">
      <w:pPr>
        <w:pStyle w:val="Autoriteti"/>
        <w:keepNext w:val="0"/>
        <w:rPr>
          <w:lang w:val="it-IT"/>
        </w:rPr>
      </w:pPr>
      <w:r w:rsidRPr="00270C22">
        <w:rPr>
          <w:lang w:val="it-IT"/>
        </w:rPr>
        <w:t xml:space="preserve">MINISTRI I FINANCAVE   </w:t>
      </w:r>
    </w:p>
    <w:p w:rsidR="00C429D9" w:rsidRPr="00270C22" w:rsidRDefault="00C429D9" w:rsidP="00C429D9">
      <w:pPr>
        <w:pStyle w:val="AutoritetiEmer"/>
        <w:rPr>
          <w:lang w:val="it-IT"/>
        </w:rPr>
      </w:pPr>
      <w:r w:rsidRPr="00270C22">
        <w:rPr>
          <w:lang w:val="it-IT"/>
        </w:rPr>
        <w:t xml:space="preserve">   Ridvan Bode</w:t>
      </w:r>
    </w:p>
    <w:p w:rsidR="000178C2" w:rsidRPr="00C84B66" w:rsidRDefault="000178C2" w:rsidP="00C429D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429D9"/>
    <w:rsid w:val="000178C2"/>
    <w:rsid w:val="00C429D9"/>
    <w:rsid w:val="00C84B66"/>
    <w:rsid w:val="00EB5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CC24F1-459A-41A0-B6EB-D730F195E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429D9"/>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C429D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C429D9"/>
    <w:pPr>
      <w:widowControl w:val="0"/>
      <w:jc w:val="right"/>
    </w:pPr>
    <w:rPr>
      <w:rFonts w:ascii="CG Times" w:hAnsi="CG Times"/>
      <w:b/>
      <w:sz w:val="22"/>
      <w:szCs w:val="22"/>
      <w:lang w:eastAsia="en-US"/>
    </w:rPr>
  </w:style>
  <w:style w:type="paragraph" w:customStyle="1" w:styleId="NumriData">
    <w:name w:val="Numri_Data"/>
    <w:next w:val="Normal"/>
    <w:rsid w:val="00C429D9"/>
    <w:pPr>
      <w:keepNext/>
      <w:widowControl w:val="0"/>
      <w:jc w:val="center"/>
      <w:outlineLvl w:val="0"/>
    </w:pPr>
    <w:rPr>
      <w:rFonts w:ascii="CG Times" w:hAnsi="CG Times"/>
      <w:b/>
      <w:sz w:val="22"/>
      <w:lang w:eastAsia="en-US"/>
    </w:rPr>
  </w:style>
  <w:style w:type="paragraph" w:customStyle="1" w:styleId="Paragrafi">
    <w:name w:val="Paragrafi"/>
    <w:link w:val="ParagrafiChar"/>
    <w:rsid w:val="00C429D9"/>
    <w:pPr>
      <w:widowControl w:val="0"/>
      <w:ind w:firstLine="720"/>
      <w:jc w:val="both"/>
    </w:pPr>
    <w:rPr>
      <w:rFonts w:ascii="CG Times" w:hAnsi="CG Times"/>
      <w:sz w:val="22"/>
      <w:lang w:val="en-US" w:eastAsia="en-US"/>
    </w:rPr>
  </w:style>
  <w:style w:type="paragraph" w:customStyle="1" w:styleId="Titulli">
    <w:name w:val="Titulli"/>
    <w:next w:val="Normal"/>
    <w:link w:val="TitulliChar"/>
    <w:rsid w:val="00C429D9"/>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C429D9"/>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429D9"/>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C429D9"/>
    <w:rPr>
      <w:rFonts w:ascii="CG Times" w:hAnsi="CG Times"/>
      <w:b/>
      <w:sz w:val="22"/>
      <w:szCs w:val="22"/>
      <w:lang w:val="en-GB" w:eastAsia="en-US" w:bidi="ar-SA"/>
    </w:rPr>
  </w:style>
  <w:style w:type="character" w:customStyle="1" w:styleId="TitulliChar">
    <w:name w:val="Titulli Char"/>
    <w:basedOn w:val="DefaultParagraphFont"/>
    <w:link w:val="Titulli"/>
    <w:rsid w:val="00C429D9"/>
    <w:rPr>
      <w:rFonts w:ascii="CG Times" w:hAnsi="CG Times"/>
      <w:b/>
      <w:caps/>
      <w:sz w:val="22"/>
      <w:szCs w:val="22"/>
      <w:lang w:val="en-GB" w:eastAsia="en-US" w:bidi="ar-SA"/>
    </w:rPr>
  </w:style>
  <w:style w:type="character" w:customStyle="1" w:styleId="ParagrafiChar">
    <w:name w:val="Paragrafi Char"/>
    <w:basedOn w:val="DefaultParagraphFont"/>
    <w:link w:val="Paragrafi"/>
    <w:rsid w:val="00C429D9"/>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2019-03-16T18:02:00Z</dcterms:created>
  <dcterms:modified xsi:type="dcterms:W3CDTF">2019-03-16T18:02:00Z</dcterms:modified>
</cp:coreProperties>
</file>