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30D" w:rsidRPr="006A4676" w:rsidRDefault="00B3430D" w:rsidP="00B3430D">
      <w:pPr>
        <w:pStyle w:val="Akti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Udhëzim</w:t>
      </w:r>
    </w:p>
    <w:p w:rsidR="00B3430D" w:rsidRPr="006A4676" w:rsidRDefault="00B3430D" w:rsidP="00B3430D">
      <w:pPr>
        <w:pStyle w:val="NumriData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Nr.4, datë 19.1.2009</w:t>
      </w:r>
    </w:p>
    <w:p w:rsidR="00B3430D" w:rsidRPr="006A4676" w:rsidRDefault="00B3430D" w:rsidP="00B3430D">
      <w:pPr>
        <w:jc w:val="both"/>
        <w:rPr>
          <w:rFonts w:ascii="Garamond" w:hAnsi="Garamond"/>
        </w:rPr>
      </w:pPr>
    </w:p>
    <w:p w:rsidR="00B3430D" w:rsidRPr="006A4676" w:rsidRDefault="00B3430D" w:rsidP="00B3430D">
      <w:pPr>
        <w:pStyle w:val="Titulli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Për përcaktimin e fondit të ngurtësimit për garancinë e fituesit/fituesve në lojërat e fatit</w:t>
      </w:r>
    </w:p>
    <w:p w:rsidR="009B41DE" w:rsidRPr="006A4676" w:rsidRDefault="009B41DE" w:rsidP="009B41DE">
      <w:pPr>
        <w:jc w:val="center"/>
        <w:rPr>
          <w:rFonts w:ascii="Garamond" w:hAnsi="Garamond"/>
          <w:lang w:val="en-GB"/>
        </w:rPr>
      </w:pPr>
      <w:r w:rsidRPr="006A4676">
        <w:rPr>
          <w:rFonts w:ascii="Garamond" w:hAnsi="Garamond"/>
          <w:lang w:val="en-GB"/>
        </w:rPr>
        <w:t>(</w:t>
      </w:r>
      <w:r w:rsidRPr="006A4676">
        <w:rPr>
          <w:rFonts w:ascii="Garamond" w:hAnsi="Garamond"/>
          <w:i/>
          <w:lang w:val="en-GB"/>
        </w:rPr>
        <w:t>Ndryshuar me udhëzimin nr. 19, datë 17.6.2013</w:t>
      </w:r>
      <w:r w:rsidRPr="006A4676">
        <w:rPr>
          <w:rFonts w:ascii="Garamond" w:hAnsi="Garamond"/>
          <w:lang w:val="en-GB"/>
        </w:rPr>
        <w:t>)</w:t>
      </w:r>
    </w:p>
    <w:p w:rsidR="00A44F16" w:rsidRPr="006A4676" w:rsidRDefault="00A44F16" w:rsidP="00DB460B">
      <w:pPr>
        <w:jc w:val="right"/>
        <w:rPr>
          <w:rFonts w:ascii="Garamond" w:hAnsi="Garamond"/>
          <w:lang w:val="en-GB"/>
        </w:rPr>
      </w:pPr>
      <w:r w:rsidRPr="006A4676">
        <w:rPr>
          <w:rFonts w:ascii="Garamond" w:hAnsi="Garamond"/>
          <w:i/>
          <w:lang w:val="it-IT"/>
        </w:rPr>
        <w:t xml:space="preserve">(i përditësuar) </w:t>
      </w:r>
    </w:p>
    <w:p w:rsidR="00B3430D" w:rsidRPr="006A4676" w:rsidRDefault="00B3430D" w:rsidP="00B3430D">
      <w:pPr>
        <w:jc w:val="both"/>
        <w:rPr>
          <w:rFonts w:ascii="Garamond" w:hAnsi="Garamond"/>
        </w:rPr>
      </w:pPr>
    </w:p>
    <w:p w:rsidR="00B3430D" w:rsidRPr="006A4676" w:rsidRDefault="00B3430D" w:rsidP="00B3430D">
      <w:pPr>
        <w:pStyle w:val="BazLigjPropozues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Në mbështetje të nenit 102, pika 4 të Kushtetutës së Republikës së Shqipërisë dhe në zbatim të nenit 42 të ligjit nr.10033, datë 11.12.2008 “Për lojërat e fatit”,</w:t>
      </w:r>
    </w:p>
    <w:p w:rsidR="00B3430D" w:rsidRPr="006A4676" w:rsidRDefault="00B3430D" w:rsidP="00B3430D">
      <w:pPr>
        <w:pStyle w:val="Paragrafi"/>
        <w:rPr>
          <w:rFonts w:ascii="Garamond" w:hAnsi="Garamond"/>
          <w:sz w:val="24"/>
          <w:szCs w:val="24"/>
        </w:rPr>
      </w:pPr>
    </w:p>
    <w:p w:rsidR="00B3430D" w:rsidRPr="006A4676" w:rsidRDefault="00B3430D" w:rsidP="00B3430D">
      <w:pPr>
        <w:pStyle w:val="VENDOSI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Udhëzoj:</w:t>
      </w:r>
    </w:p>
    <w:p w:rsidR="00B3430D" w:rsidRPr="006A4676" w:rsidRDefault="00B3430D" w:rsidP="00B3430D">
      <w:pPr>
        <w:pStyle w:val="Paragrafi"/>
        <w:rPr>
          <w:rFonts w:ascii="Garamond" w:hAnsi="Garamond"/>
          <w:sz w:val="24"/>
          <w:szCs w:val="24"/>
        </w:rPr>
      </w:pPr>
    </w:p>
    <w:p w:rsidR="00B3430D" w:rsidRPr="006A4676" w:rsidRDefault="00B3430D" w:rsidP="00B3430D">
      <w:pPr>
        <w:pStyle w:val="Paragrafi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Organizatorët e lojërave të fatit, për garantimin e fituesit/fituesve të lojërave të fatit, duhet të ngurtësojnë në një llogari të veçantë bankare, një shumë të caktuar si më poshtë vijon:</w:t>
      </w:r>
    </w:p>
    <w:p w:rsidR="00904B9F" w:rsidRPr="006A4676" w:rsidRDefault="00904B9F" w:rsidP="00904B9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A4676">
        <w:rPr>
          <w:rFonts w:ascii="Garamond" w:hAnsi="Garamond"/>
          <w:i/>
          <w:sz w:val="24"/>
          <w:szCs w:val="24"/>
          <w:lang w:val="sq-AL"/>
        </w:rPr>
        <w:t>1. Për çdo sallë bingo, organizatori duhet të garantojë, për çdo lojë, fituesin/fituesit e lojërave të fatit, me kapitalin themeltar të shoqërisë, si dhe me fondin e ngurtësimit:</w:t>
      </w:r>
    </w:p>
    <w:p w:rsidR="00904B9F" w:rsidRPr="006A4676" w:rsidRDefault="00904B9F" w:rsidP="00904B9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A4676">
        <w:rPr>
          <w:rFonts w:ascii="Garamond" w:hAnsi="Garamond"/>
          <w:i/>
          <w:sz w:val="24"/>
          <w:szCs w:val="24"/>
          <w:lang w:val="sq-AL"/>
        </w:rPr>
        <w:t>a) Për sallat në rrethet e kategorisë së parë, në masën 2 000 000 (dy milionë) lekë;</w:t>
      </w:r>
    </w:p>
    <w:p w:rsidR="00904B9F" w:rsidRPr="006A4676" w:rsidRDefault="00904B9F" w:rsidP="00904B9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A4676">
        <w:rPr>
          <w:rFonts w:ascii="Garamond" w:hAnsi="Garamond"/>
          <w:i/>
          <w:sz w:val="24"/>
          <w:szCs w:val="24"/>
          <w:lang w:val="sq-AL"/>
        </w:rPr>
        <w:t>b) Për sallat në rrethet e kategorisë së dytë, në masën 1 500 000 (një milion e pesëqind mijë) lekë.</w:t>
      </w:r>
    </w:p>
    <w:p w:rsidR="00904B9F" w:rsidRPr="006A4676" w:rsidRDefault="00904B9F" w:rsidP="00904B9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A4676">
        <w:rPr>
          <w:rFonts w:ascii="Garamond" w:hAnsi="Garamond"/>
          <w:i/>
          <w:sz w:val="24"/>
          <w:szCs w:val="24"/>
          <w:lang w:val="sq-AL"/>
        </w:rPr>
        <w:t>c) Për sallat në rrethet e kategorisë së tretë, në masën 1 000 000 (një milion) lekë.</w:t>
      </w:r>
    </w:p>
    <w:p w:rsidR="00904B9F" w:rsidRPr="006A4676" w:rsidRDefault="00904B9F" w:rsidP="00904B9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A4676">
        <w:rPr>
          <w:rFonts w:ascii="Garamond" w:hAnsi="Garamond"/>
          <w:i/>
          <w:sz w:val="24"/>
          <w:szCs w:val="24"/>
          <w:lang w:val="sq-AL"/>
        </w:rPr>
        <w:t>Organizatori mund të kërkojë çngurtësimin e pjesshëm për shumën e fondit të garancisë për fituesit, në përputhje me përkatësinë e sallës me njërën nga kategoritë e parashikuara në pikat “a”, “b” apo “c”.</w:t>
      </w:r>
    </w:p>
    <w:p w:rsidR="00B3430D" w:rsidRPr="006A4676" w:rsidRDefault="00B3430D" w:rsidP="00B3430D">
      <w:pPr>
        <w:pStyle w:val="Paragrafi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2.Për bastet sportive dhe baste për gara në pistë:</w:t>
      </w:r>
    </w:p>
    <w:p w:rsidR="00B3430D" w:rsidRPr="006A4676" w:rsidRDefault="00B3430D" w:rsidP="00B3430D">
      <w:pPr>
        <w:pStyle w:val="Paragrafi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a) Organizatori të garantojë për çdo lojë, fituesin/fituesit e lojërave të fatit, me kapitalin themeltar të shoqërisë, si dhe me fondin e ngurtësimit në masën 7 000 000 (shtatë milionë) lekë.</w:t>
      </w:r>
    </w:p>
    <w:p w:rsidR="00B3430D" w:rsidRPr="006A4676" w:rsidRDefault="00B3430D" w:rsidP="00B3430D">
      <w:pPr>
        <w:pStyle w:val="Paragrafi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3.Për lotarinë kombëtare dhe për kazinotë:</w:t>
      </w:r>
    </w:p>
    <w:p w:rsidR="00B3430D" w:rsidRPr="006A4676" w:rsidRDefault="00B3430D" w:rsidP="00B3430D">
      <w:pPr>
        <w:pStyle w:val="Paragrafi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a)Organizatori të garantojë për çdo lojë, fituesin/fituesit e lojërave të fatit, me kapitalin themeltar të shoqërisë, si dhe me fondin e ngurtësimit në masëm 20 000 000 (njëzet milionë lekë).</w:t>
      </w:r>
    </w:p>
    <w:p w:rsidR="00C30271" w:rsidRPr="006A4676" w:rsidRDefault="00B3430D" w:rsidP="00282BA3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A4676">
        <w:rPr>
          <w:rFonts w:ascii="Garamond" w:hAnsi="Garamond"/>
          <w:sz w:val="24"/>
          <w:szCs w:val="24"/>
        </w:rPr>
        <w:t>4.Për kazinotë elektronike, fondi i ngurtësimit të jetë në masën 50 000 (pesëdhjetë mijë) lekë për çdo makinë elektronike, por jo më shumë se 5 000 000 (pesë milionë) lekë.</w:t>
      </w:r>
      <w:r w:rsidR="00030D1E">
        <w:rPr>
          <w:rFonts w:ascii="Garamond" w:hAnsi="Garamond"/>
          <w:sz w:val="24"/>
          <w:szCs w:val="24"/>
        </w:rPr>
        <w:t xml:space="preserve"> </w:t>
      </w:r>
      <w:r w:rsidR="00C30271" w:rsidRPr="006A4676">
        <w:rPr>
          <w:rFonts w:ascii="Garamond" w:hAnsi="Garamond"/>
          <w:i/>
          <w:sz w:val="24"/>
          <w:szCs w:val="24"/>
          <w:lang w:val="sq-AL"/>
        </w:rPr>
        <w:t>Për kazinotë elektronike në distancë, fondi i ngurtësimit të jetë në masën 200 000 000 (dyqind milionë) lekë.</w:t>
      </w:r>
    </w:p>
    <w:p w:rsidR="00B3430D" w:rsidRPr="0065694A" w:rsidRDefault="00B3430D" w:rsidP="00030D1E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A4676">
        <w:rPr>
          <w:rFonts w:ascii="Garamond" w:hAnsi="Garamond"/>
          <w:sz w:val="24"/>
          <w:szCs w:val="24"/>
        </w:rPr>
        <w:t>5.NJMLF-ja i propozon Ministrit të Financave zhbllokimin e këtij fondi, me kërkesë të organizatorit të lojërave, në rast se vërtetohet se ky i fundit nuk ka detyrime tatimore, nuk ka gjoba të pashlyera, si dhe kur mbyll veprimtarinë e tij, të vërtetuara këto nga organet shetërore përkatëse.</w:t>
      </w:r>
      <w:r w:rsidR="00030D1E">
        <w:rPr>
          <w:rFonts w:ascii="Garamond" w:hAnsi="Garamond"/>
          <w:sz w:val="24"/>
          <w:szCs w:val="24"/>
        </w:rPr>
        <w:t xml:space="preserve"> </w:t>
      </w:r>
      <w:r w:rsidR="00282BA3" w:rsidRPr="006A4676">
        <w:rPr>
          <w:rFonts w:ascii="Garamond" w:hAnsi="Garamond"/>
          <w:i/>
          <w:sz w:val="24"/>
          <w:szCs w:val="24"/>
          <w:lang w:val="sq-AL"/>
        </w:rPr>
        <w:t>Në rast se shoqëria, edhe pse e ka bllokuar fondin e garancisë, nuk është pajisur me leje, zhbllokimi i këtij fondi bëhet nga Ministri i Financ</w:t>
      </w:r>
      <w:r w:rsidR="00527F0A" w:rsidRPr="006A4676">
        <w:rPr>
          <w:rFonts w:ascii="Garamond" w:hAnsi="Garamond"/>
          <w:i/>
          <w:sz w:val="24"/>
          <w:szCs w:val="24"/>
          <w:lang w:val="sq-AL"/>
        </w:rPr>
        <w:t>ave pas propozimit të NJMLF-së.</w:t>
      </w:r>
    </w:p>
    <w:p w:rsidR="006A4676" w:rsidRPr="006A4676" w:rsidRDefault="00B3430D" w:rsidP="006A467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A4676">
        <w:rPr>
          <w:rFonts w:ascii="Garamond" w:hAnsi="Garamond"/>
          <w:sz w:val="24"/>
          <w:szCs w:val="24"/>
        </w:rPr>
        <w:t>6.Ngurtësimi duhet të jetë në formën e garancisë bankare të pakushtëzuar.</w:t>
      </w:r>
      <w:r w:rsidR="006A4676" w:rsidRPr="006A4676">
        <w:rPr>
          <w:rFonts w:ascii="Garamond" w:hAnsi="Garamond"/>
          <w:sz w:val="24"/>
          <w:szCs w:val="24"/>
        </w:rPr>
        <w:t xml:space="preserve"> </w:t>
      </w:r>
      <w:r w:rsidR="006A4676" w:rsidRPr="006A4676">
        <w:rPr>
          <w:rFonts w:ascii="Garamond" w:hAnsi="Garamond"/>
          <w:i/>
          <w:sz w:val="24"/>
          <w:szCs w:val="24"/>
          <w:lang w:val="sq-AL"/>
        </w:rPr>
        <w:t>Për kazinotë elektronike në distancë, garancia duhet të jetë sipas formatit bashkëlidhur këtij udhëzimi si pjesë përbërëse e tij.</w:t>
      </w:r>
    </w:p>
    <w:p w:rsidR="00B3430D" w:rsidRDefault="00B3430D" w:rsidP="006A4676">
      <w:pPr>
        <w:pStyle w:val="Paragrafi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Ky urdhër hyn  në fuqi me botimin e Fletoren Zyrtare.</w:t>
      </w:r>
      <w:r w:rsidR="00D123FC" w:rsidRPr="006A4676">
        <w:rPr>
          <w:rFonts w:ascii="Garamond" w:hAnsi="Garamond"/>
          <w:sz w:val="24"/>
          <w:szCs w:val="24"/>
        </w:rPr>
        <w:t xml:space="preserve"> </w:t>
      </w:r>
    </w:p>
    <w:p w:rsidR="00702D7F" w:rsidRDefault="00702D7F" w:rsidP="006A4676">
      <w:pPr>
        <w:pStyle w:val="Paragrafi"/>
        <w:rPr>
          <w:rFonts w:ascii="Garamond" w:hAnsi="Garamond"/>
          <w:sz w:val="24"/>
          <w:szCs w:val="24"/>
        </w:rPr>
      </w:pPr>
    </w:p>
    <w:p w:rsidR="00702D7F" w:rsidRPr="006A4676" w:rsidRDefault="00702D7F" w:rsidP="006A4676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B3430D" w:rsidRPr="006A4676" w:rsidRDefault="00B3430D" w:rsidP="00B3430D">
      <w:pPr>
        <w:pStyle w:val="Autoriteti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Ministri i Financave</w:t>
      </w:r>
    </w:p>
    <w:p w:rsidR="00B3430D" w:rsidRPr="006A4676" w:rsidRDefault="00B3430D" w:rsidP="00B3430D">
      <w:pPr>
        <w:pStyle w:val="AutoritetiEmer"/>
        <w:rPr>
          <w:rFonts w:ascii="Garamond" w:hAnsi="Garamond"/>
          <w:sz w:val="24"/>
          <w:szCs w:val="24"/>
        </w:rPr>
      </w:pPr>
      <w:r w:rsidRPr="006A4676">
        <w:rPr>
          <w:rFonts w:ascii="Garamond" w:hAnsi="Garamond"/>
          <w:sz w:val="24"/>
          <w:szCs w:val="24"/>
        </w:rPr>
        <w:t>Ridvan Bode</w:t>
      </w:r>
    </w:p>
    <w:sectPr w:rsidR="00B3430D" w:rsidRPr="006A46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6BB0B4D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6606"/>
    <w:rsid w:val="00030D1E"/>
    <w:rsid w:val="00083C61"/>
    <w:rsid w:val="00282BA3"/>
    <w:rsid w:val="002C663A"/>
    <w:rsid w:val="003474E0"/>
    <w:rsid w:val="00402051"/>
    <w:rsid w:val="00433B13"/>
    <w:rsid w:val="004960D6"/>
    <w:rsid w:val="004F094A"/>
    <w:rsid w:val="00527F0A"/>
    <w:rsid w:val="00581DB4"/>
    <w:rsid w:val="005F0572"/>
    <w:rsid w:val="0065694A"/>
    <w:rsid w:val="006A4676"/>
    <w:rsid w:val="00702D7F"/>
    <w:rsid w:val="00761725"/>
    <w:rsid w:val="00904B9F"/>
    <w:rsid w:val="00946018"/>
    <w:rsid w:val="009B41DE"/>
    <w:rsid w:val="00A44F16"/>
    <w:rsid w:val="00B00225"/>
    <w:rsid w:val="00B31AA8"/>
    <w:rsid w:val="00B3430D"/>
    <w:rsid w:val="00B63041"/>
    <w:rsid w:val="00C30271"/>
    <w:rsid w:val="00C5019E"/>
    <w:rsid w:val="00D123FC"/>
    <w:rsid w:val="00D521AB"/>
    <w:rsid w:val="00DB460B"/>
    <w:rsid w:val="00DB7939"/>
    <w:rsid w:val="00E45E0B"/>
    <w:rsid w:val="00F25E06"/>
    <w:rsid w:val="00F4203E"/>
    <w:rsid w:val="00F7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12426B-6D57-4AE2-B191-C3A7E636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rPr>
      <w:sz w:val="24"/>
      <w:szCs w:val="24"/>
    </w:rPr>
  </w:style>
  <w:style w:type="paragraph" w:styleId="Heading1">
    <w:name w:val="heading 1"/>
    <w:basedOn w:val="Normal"/>
    <w:next w:val="Normal"/>
    <w:qFormat/>
    <w:rsid w:val="004960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4960D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CharCharCharCharCharChar">
    <w:name w:val="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">
    <w:name w:val="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">
    <w:name w:val="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Char">
    <w:name w:val="Char Char Char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4960D6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60D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4960D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60D6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60D6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60D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60D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60D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60D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60D6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60D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60D6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60D6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60D6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60D6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60D6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60D6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60D6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60D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0">
    <w:name w:val="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960D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60D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60D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4960D6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60D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60D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60D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60D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60D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60D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60D6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fr-FR"/>
    </w:rPr>
  </w:style>
  <w:style w:type="paragraph" w:customStyle="1" w:styleId="Institucioni">
    <w:name w:val="Institucioni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60D6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NrChar">
    <w:name w:val="Kreu_Nr Char"/>
    <w:rsid w:val="004960D6"/>
    <w:pPr>
      <w:keepNext/>
      <w:widowControl w:val="0"/>
      <w:jc w:val="center"/>
    </w:pPr>
    <w:rPr>
      <w:rFonts w:ascii="CG Times" w:eastAsia="MS Mincho" w:hAnsi="CG Times"/>
      <w:caps/>
      <w:sz w:val="22"/>
      <w:szCs w:val="22"/>
    </w:rPr>
  </w:style>
  <w:style w:type="character" w:customStyle="1" w:styleId="KreuNrCharCharChar">
    <w:name w:val="Kreu_Nr Char Char Char"/>
    <w:basedOn w:val="DefaultParagraphFont"/>
    <w:rsid w:val="004960D6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KreuTitull">
    <w:name w:val="Kreu_Titull"/>
    <w:next w:val="Kapitulli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Char">
    <w:name w:val="Kreu_Titull Char"/>
    <w:next w:val="Normal"/>
    <w:rsid w:val="004960D6"/>
    <w:pPr>
      <w:keepNext/>
      <w:widowControl w:val="0"/>
      <w:jc w:val="center"/>
    </w:pPr>
    <w:rPr>
      <w:rFonts w:ascii="CG Times" w:eastAsia="MS Mincho" w:hAnsi="CG Times"/>
      <w:caps/>
      <w:sz w:val="22"/>
      <w:szCs w:val="22"/>
    </w:rPr>
  </w:style>
  <w:style w:type="character" w:customStyle="1" w:styleId="KreuTitullCharCharChar">
    <w:name w:val="Kreu_Titull Char Char Char"/>
    <w:basedOn w:val="DefaultParagraphFont"/>
    <w:rsid w:val="004960D6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Level11">
    <w:name w:val="Level 1.1"/>
    <w:basedOn w:val="Normal"/>
    <w:rsid w:val="004960D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4960D6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60D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  <w:lang w:val="fr-FR"/>
    </w:rPr>
  </w:style>
  <w:style w:type="paragraph" w:styleId="ListBullet2">
    <w:name w:val="List Bullet 2"/>
    <w:basedOn w:val="Normal"/>
    <w:rsid w:val="004960D6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60D6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60D6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60D6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60D6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60D6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60D6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4960D6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60D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60D6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60D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60D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60D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60D6"/>
    <w:pPr>
      <w:ind w:left="720"/>
    </w:pPr>
  </w:style>
  <w:style w:type="paragraph" w:customStyle="1" w:styleId="Pas">
    <w:name w:val="Pas"/>
    <w:basedOn w:val="Normal"/>
    <w:rsid w:val="004960D6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60D6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60D6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60D6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60D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60D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Caption">
    <w:name w:val="Style Caption"/>
    <w:basedOn w:val="Normal"/>
    <w:rsid w:val="004960D6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60D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60D6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60D6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4960D6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60D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60D6"/>
    <w:pPr>
      <w:spacing w:after="120"/>
    </w:pPr>
  </w:style>
  <w:style w:type="paragraph" w:customStyle="1" w:styleId="TableFootnote">
    <w:name w:val="Table Footnote"/>
    <w:basedOn w:val="Normal"/>
    <w:rsid w:val="004960D6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60D6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60D6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4960D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Char">
    <w:name w:val="Titulli Char"/>
    <w:next w:val="Normal"/>
    <w:rsid w:val="004960D6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60D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Char">
    <w:name w:val="Titulli_Titull Char"/>
    <w:rsid w:val="004960D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3">
    <w:name w:val="xl23"/>
    <w:basedOn w:val="Normal"/>
    <w:rsid w:val="004960D6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val="fr-FR" w:eastAsia="en-GB"/>
    </w:rPr>
  </w:style>
  <w:style w:type="paragraph" w:customStyle="1" w:styleId="xl24">
    <w:name w:val="xl24"/>
    <w:basedOn w:val="Normal"/>
    <w:rsid w:val="004960D6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60D6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4960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val="fr-FR"/>
    </w:rPr>
  </w:style>
  <w:style w:type="paragraph" w:customStyle="1" w:styleId="xl46">
    <w:name w:val="xl46"/>
    <w:basedOn w:val="Normal"/>
    <w:rsid w:val="004960D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60D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904B9F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Rovena Nikolla</cp:lastModifiedBy>
  <cp:revision>10</cp:revision>
  <dcterms:created xsi:type="dcterms:W3CDTF">2025-11-18T11:29:00Z</dcterms:created>
  <dcterms:modified xsi:type="dcterms:W3CDTF">2025-11-18T11:30:00Z</dcterms:modified>
</cp:coreProperties>
</file>