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5D9" w:rsidRPr="002457FB" w:rsidRDefault="004045D9" w:rsidP="004045D9">
      <w:pPr>
        <w:pStyle w:val="Akt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 xml:space="preserve">Udhëzim </w:t>
      </w:r>
    </w:p>
    <w:p w:rsidR="004045D9" w:rsidRPr="002457FB" w:rsidRDefault="004045D9" w:rsidP="004045D9">
      <w:pPr>
        <w:pStyle w:val="NumriData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Nr.5, datë 19.1.2009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</w:p>
    <w:p w:rsidR="004045D9" w:rsidRPr="002457FB" w:rsidRDefault="004045D9" w:rsidP="004045D9">
      <w:pPr>
        <w:pStyle w:val="Titull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“Për procedurat e hapjes dhe mbylljes së sallave të lojërave basteve sportive, kazinove elektronike, bingove tradicionale”</w:t>
      </w:r>
    </w:p>
    <w:p w:rsidR="000319E9" w:rsidRPr="002457FB" w:rsidRDefault="000319E9" w:rsidP="000319E9">
      <w:pPr>
        <w:jc w:val="center"/>
        <w:rPr>
          <w:rFonts w:ascii="Garamond" w:hAnsi="Garamond"/>
          <w:lang w:val="en-GB"/>
        </w:rPr>
      </w:pPr>
      <w:r w:rsidRPr="002457FB">
        <w:rPr>
          <w:rFonts w:ascii="Garamond" w:hAnsi="Garamond"/>
          <w:lang w:val="en-GB"/>
        </w:rPr>
        <w:t>(</w:t>
      </w:r>
      <w:r w:rsidRPr="002457FB">
        <w:rPr>
          <w:rFonts w:ascii="Garamond" w:hAnsi="Garamond"/>
          <w:i/>
          <w:lang w:val="en-GB"/>
        </w:rPr>
        <w:t>Ndryshuar me udhëzimin nr. 20, dt. 30.7.2015</w:t>
      </w:r>
      <w:r w:rsidRPr="002457FB">
        <w:rPr>
          <w:rFonts w:ascii="Garamond" w:hAnsi="Garamond"/>
          <w:lang w:val="en-GB"/>
        </w:rPr>
        <w:t>)</w:t>
      </w:r>
    </w:p>
    <w:p w:rsidR="000319E9" w:rsidRPr="002457FB" w:rsidRDefault="000319E9" w:rsidP="000319E9">
      <w:pPr>
        <w:jc w:val="right"/>
        <w:rPr>
          <w:rFonts w:ascii="Garamond" w:hAnsi="Garamond"/>
          <w:i/>
          <w:lang w:val="en-GB"/>
        </w:rPr>
      </w:pPr>
      <w:r>
        <w:rPr>
          <w:rFonts w:ascii="Garamond" w:hAnsi="Garamond"/>
          <w:i/>
          <w:lang w:val="en-GB"/>
        </w:rPr>
        <w:t>(i</w:t>
      </w:r>
      <w:r w:rsidRPr="002457FB">
        <w:rPr>
          <w:rFonts w:ascii="Garamond" w:hAnsi="Garamond"/>
          <w:i/>
          <w:lang w:val="en-GB"/>
        </w:rPr>
        <w:t xml:space="preserve"> përditësuar</w:t>
      </w:r>
      <w:r>
        <w:rPr>
          <w:rFonts w:ascii="Garamond" w:hAnsi="Garamond"/>
          <w:i/>
          <w:lang w:val="en-GB"/>
        </w:rPr>
        <w:t>)</w:t>
      </w:r>
    </w:p>
    <w:p w:rsidR="000319E9" w:rsidRPr="002457FB" w:rsidRDefault="000319E9" w:rsidP="000319E9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045D9" w:rsidRPr="002457FB" w:rsidRDefault="004045D9" w:rsidP="004045D9">
      <w:pPr>
        <w:pStyle w:val="BazLigjPropozues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Në mbështetje të nenit 102/4 të Kushtetutës së Republikës së Shqipërisë, dhe  në zbatim të nenit 10 pika 4, germa (dh) të ligjit nr.10033, datë 11.12.2008 “Për lojërat e fatit” Ministri i Financave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</w:p>
    <w:p w:rsidR="004045D9" w:rsidRPr="002457FB" w:rsidRDefault="004045D9" w:rsidP="004045D9">
      <w:pPr>
        <w:pStyle w:val="VENDOS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Udhëzon: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1.Shoqëritë e lojërave të fatit për kategoritë bingo tradicionale, kazino elektronike, për hapjen e sallave të reja të lojërave të fatit duhet të paraqesin pranë NJMLF-së dokumentacionin e mëposhtëm: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a)Njoftim për hapjen e sallës dhe adresën e saktë të saj.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b)Të dhënat e mëposhtme për personelin e sallës: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b.1.Certifikatë personale të personelit;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b.2.Vërtetim të gjendjes gjyqësore të personelit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b.3.Dëshmi kualifikimi të personelit.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c.Kontratë pune të personelit: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c.1.Garancinë për fituesin e lojës;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c.2.Vërtetimin e pronësisë ose kontratën e qirasë për sallën e re;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c.3.Vërtetim pronësie, deklaratë zhdoganimi dhe certifikatë origjine për pajisjet e përdorura për lojra fati;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c.4.Rregulloret përkatëse për lojërat që do të zhvillohen në këto salla.</w:t>
      </w:r>
    </w:p>
    <w:p w:rsidR="00B7578F" w:rsidRPr="002457FB" w:rsidRDefault="00B7578F" w:rsidP="004045D9">
      <w:pPr>
        <w:pStyle w:val="Paragrafi"/>
        <w:rPr>
          <w:rFonts w:ascii="Garamond" w:hAnsi="Garamond"/>
          <w:i/>
          <w:sz w:val="24"/>
          <w:szCs w:val="24"/>
        </w:rPr>
      </w:pPr>
      <w:r w:rsidRPr="00CB3BA2">
        <w:rPr>
          <w:rFonts w:ascii="Garamond" w:hAnsi="Garamond"/>
          <w:i/>
          <w:sz w:val="24"/>
          <w:szCs w:val="24"/>
          <w:lang w:val="sq-AL"/>
        </w:rPr>
        <w:t>d) Vërtetim për shlyerjen e detyrimeve tatimore</w:t>
      </w:r>
      <w:r w:rsidRPr="002457FB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2.Shoqëritë e lojërave të fatit, për hapjen e pikave të lojërave të fatit baste sportive duhet të paraqesin në NJMLF dokumentacionin e mëposhtëm: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a)njoftimin për hapjen e pikave dhe aresën e saktë të saj;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b)të dhënat e mëposhtme për personelin e sallës: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b.1.certifikatë personale të personelit;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b.2.vërtetim të gjendjes gjyqësore të personelit;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b.3.dëshmi kualifikimi të personelit;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b.4.kontratë pune të personelit.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c)Vërtetimin e pronësisë së pikave të lojrave të fatit sportive ose kontratën e qirasë.</w:t>
      </w:r>
    </w:p>
    <w:p w:rsidR="00E44169" w:rsidRPr="002457FB" w:rsidRDefault="007F2875" w:rsidP="007F2875">
      <w:pPr>
        <w:pStyle w:val="Paragrafi"/>
        <w:ind w:firstLine="0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          </w:t>
      </w:r>
      <w:r w:rsidR="00E44169" w:rsidRPr="002457FB">
        <w:rPr>
          <w:rFonts w:ascii="Garamond" w:hAnsi="Garamond"/>
          <w:i/>
          <w:sz w:val="24"/>
          <w:szCs w:val="24"/>
          <w:lang w:val="sq-AL"/>
        </w:rPr>
        <w:t>d) vërtetim për shlyerjen e detyrimeve tatimore.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3.Shoqëritë e lojërave të fatit për mbylljen e sallave të bingove, kazinove elektronike dhe të pikave të lojërave të fatit sportive duhet të paraqesin në NJMLF dokumentacionin e mëposhtëm: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a)Kërkesë për mbylljen e sallës.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b)Vërtetim për shlyerjen e detyrimeve tatimore.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c)Zgjidhjen e kontratës për ambientet e marra me qira.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 xml:space="preserve">4.Shoqëritë që ushtrojnë aktivitet lojëra fati, për transferimin e automateve të miratuara nga sallat ekzistuese në salla të tjera duhet të paraqesin në NJMLF dokumentacionin e </w:t>
      </w:r>
      <w:r w:rsidRPr="002457FB">
        <w:rPr>
          <w:rFonts w:ascii="Garamond" w:hAnsi="Garamond"/>
          <w:sz w:val="24"/>
          <w:szCs w:val="24"/>
        </w:rPr>
        <w:lastRenderedPageBreak/>
        <w:t>mëposhtëm: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a)Kërkesë për transferimin e automateve.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b)Arsyet e transferimit të automateve.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5.Shoqëritë e lojërave të fatit detyrohen të njoftojnë NJMLF-në, Drejtorinë e Përgjithshme të Tatimeve, degën e tatim-taksave të rrethit përkatës, 30 ditë përpara për transferimin, shtimin dhe heqjen e automateve elektronike.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Në rast se shoqëritë e lojërave të fatit nuk paraqesin dokumentacionin e parashikuar në pikat 1, 2 dhe 3 të udhëzimit, nuk mund të ushtrojnë veprimtarinë pa e plotësuar këtë dokumentacion sipas kërkesave së këtij udhëzimi.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6.Ky udhëzim hyn në fuqi me botimin në Fletoren Zyrtare.</w:t>
      </w:r>
    </w:p>
    <w:p w:rsidR="004045D9" w:rsidRPr="002457FB" w:rsidRDefault="004045D9" w:rsidP="004045D9">
      <w:pPr>
        <w:pStyle w:val="Paragrafi"/>
        <w:rPr>
          <w:rFonts w:ascii="Garamond" w:hAnsi="Garamond"/>
          <w:sz w:val="24"/>
          <w:szCs w:val="24"/>
        </w:rPr>
      </w:pPr>
    </w:p>
    <w:p w:rsidR="004045D9" w:rsidRPr="002457FB" w:rsidRDefault="004045D9" w:rsidP="004045D9">
      <w:pPr>
        <w:pStyle w:val="Autoriteti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Ministri i Financave</w:t>
      </w:r>
    </w:p>
    <w:p w:rsidR="004045D9" w:rsidRPr="002457FB" w:rsidRDefault="004045D9" w:rsidP="004045D9">
      <w:pPr>
        <w:pStyle w:val="AutoritetiEmer"/>
        <w:rPr>
          <w:rFonts w:ascii="Garamond" w:hAnsi="Garamond"/>
          <w:sz w:val="24"/>
          <w:szCs w:val="24"/>
        </w:rPr>
      </w:pPr>
      <w:r w:rsidRPr="002457FB">
        <w:rPr>
          <w:rFonts w:ascii="Garamond" w:hAnsi="Garamond"/>
          <w:sz w:val="24"/>
          <w:szCs w:val="24"/>
        </w:rPr>
        <w:t>Ridvan Bode</w:t>
      </w:r>
    </w:p>
    <w:sectPr w:rsidR="004045D9" w:rsidRPr="002457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6BB0B4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5D9"/>
    <w:rsid w:val="00016606"/>
    <w:rsid w:val="000319E9"/>
    <w:rsid w:val="002457FB"/>
    <w:rsid w:val="002C663A"/>
    <w:rsid w:val="003B2F3C"/>
    <w:rsid w:val="00402051"/>
    <w:rsid w:val="004045D9"/>
    <w:rsid w:val="00433B13"/>
    <w:rsid w:val="004960D6"/>
    <w:rsid w:val="007F2875"/>
    <w:rsid w:val="008902C5"/>
    <w:rsid w:val="009806AD"/>
    <w:rsid w:val="00AE289E"/>
    <w:rsid w:val="00B31AA8"/>
    <w:rsid w:val="00B7578F"/>
    <w:rsid w:val="00C5019E"/>
    <w:rsid w:val="00CB3BA2"/>
    <w:rsid w:val="00D60BD0"/>
    <w:rsid w:val="00E21555"/>
    <w:rsid w:val="00E44169"/>
    <w:rsid w:val="00F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2AD922-C2F3-4384-B4E0-A047184F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60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4960D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CharCharCharCharCharChar">
    <w:name w:val="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">
    <w:name w:val="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Char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4960D6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60D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4960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60D6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60D6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60D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0D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60D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60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60D6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60D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60D6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60D6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60D6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60D6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60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60D6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60D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0">
    <w:name w:val="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960D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60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60D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4960D6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60D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60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60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60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60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60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60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fr-FR"/>
    </w:rPr>
  </w:style>
  <w:style w:type="paragraph" w:customStyle="1" w:styleId="Institucioni">
    <w:name w:val="Institucion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60D6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NrChar">
    <w:name w:val="Kreu_Nr Char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NrCharCharChar">
    <w:name w:val="Kreu_Nr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Char">
    <w:name w:val="Kreu_Titull Char"/>
    <w:next w:val="Normal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TitullCharCharChar">
    <w:name w:val="Kreu_Titull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Level11">
    <w:name w:val="Level 1.1"/>
    <w:basedOn w:val="Normal"/>
    <w:rsid w:val="004960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4960D6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60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  <w:lang w:val="fr-FR"/>
    </w:rPr>
  </w:style>
  <w:style w:type="paragraph" w:styleId="ListBullet2">
    <w:name w:val="List Bullet 2"/>
    <w:basedOn w:val="Normal"/>
    <w:rsid w:val="004960D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60D6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60D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60D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60D6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4960D6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60D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60D6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60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60D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60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60D6"/>
    <w:pPr>
      <w:ind w:left="720"/>
    </w:pPr>
  </w:style>
  <w:style w:type="paragraph" w:customStyle="1" w:styleId="Pas">
    <w:name w:val="Pas"/>
    <w:basedOn w:val="Normal"/>
    <w:rsid w:val="004960D6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60D6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60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60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60D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Caption">
    <w:name w:val="Style Caption"/>
    <w:basedOn w:val="Normal"/>
    <w:rsid w:val="004960D6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60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60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60D6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4960D6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60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60D6"/>
    <w:pPr>
      <w:spacing w:after="120"/>
    </w:pPr>
  </w:style>
  <w:style w:type="paragraph" w:customStyle="1" w:styleId="TableFootnote">
    <w:name w:val="Table Footnote"/>
    <w:basedOn w:val="Normal"/>
    <w:rsid w:val="004960D6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60D6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60D6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4960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Char">
    <w:name w:val="Titulli Char"/>
    <w:next w:val="Normal"/>
    <w:rsid w:val="004960D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Char">
    <w:name w:val="Titulli_Titull Char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3">
    <w:name w:val="xl23"/>
    <w:basedOn w:val="Normal"/>
    <w:rsid w:val="004960D6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 w:eastAsia="en-GB"/>
    </w:rPr>
  </w:style>
  <w:style w:type="paragraph" w:customStyle="1" w:styleId="xl24">
    <w:name w:val="xl24"/>
    <w:basedOn w:val="Normal"/>
    <w:rsid w:val="004960D6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60D6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4960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/>
    </w:rPr>
  </w:style>
  <w:style w:type="paragraph" w:customStyle="1" w:styleId="xl46">
    <w:name w:val="xl46"/>
    <w:basedOn w:val="Normal"/>
    <w:rsid w:val="004960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60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44169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Rovena Nikolla</cp:lastModifiedBy>
  <cp:revision>31</cp:revision>
  <dcterms:created xsi:type="dcterms:W3CDTF">2025-11-19T12:47:00Z</dcterms:created>
  <dcterms:modified xsi:type="dcterms:W3CDTF">2025-12-11T13:44:00Z</dcterms:modified>
</cp:coreProperties>
</file>